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392B" w14:textId="77777777" w:rsidR="00770FEE" w:rsidRDefault="00770FEE" w:rsidP="00A900DC">
      <w:pPr>
        <w:spacing w:before="100" w:after="100"/>
        <w:jc w:val="right"/>
      </w:pPr>
    </w:p>
    <w:p w14:paraId="1927F1ED" w14:textId="77777777" w:rsidR="00770FEE" w:rsidRDefault="00770FEE" w:rsidP="00A900DC">
      <w:pPr>
        <w:spacing w:before="100" w:after="100"/>
        <w:jc w:val="right"/>
      </w:pPr>
    </w:p>
    <w:p w14:paraId="2C78D9A1" w14:textId="77777777" w:rsidR="00770FEE" w:rsidRDefault="00770FEE" w:rsidP="00872DCA">
      <w:pPr>
        <w:pStyle w:val="Heading3"/>
      </w:pPr>
    </w:p>
    <w:p w14:paraId="3341C8BC" w14:textId="351BBB74" w:rsidR="00770FEE" w:rsidRPr="00770FEE" w:rsidRDefault="00B63F3F" w:rsidP="00A900DC">
      <w:pPr>
        <w:spacing w:before="100" w:after="100"/>
        <w:jc w:val="center"/>
        <w:rPr>
          <w:sz w:val="56"/>
          <w:szCs w:val="56"/>
        </w:rPr>
      </w:pPr>
      <w:r>
        <w:rPr>
          <w:sz w:val="56"/>
          <w:szCs w:val="56"/>
        </w:rPr>
        <w:t>Waste Management and Resource Recovery Amendment Regulation</w:t>
      </w:r>
      <w:r w:rsidR="00BF38C7">
        <w:rPr>
          <w:sz w:val="56"/>
          <w:szCs w:val="56"/>
        </w:rPr>
        <w:t> </w:t>
      </w:r>
      <w:r w:rsidR="00CF2328">
        <w:rPr>
          <w:sz w:val="56"/>
          <w:szCs w:val="56"/>
        </w:rPr>
        <w:t>2021</w:t>
      </w:r>
      <w:r w:rsidR="00055E81">
        <w:rPr>
          <w:sz w:val="56"/>
          <w:szCs w:val="56"/>
        </w:rPr>
        <w:t> </w:t>
      </w:r>
      <w:r w:rsidR="008D5CA8">
        <w:rPr>
          <w:sz w:val="56"/>
          <w:szCs w:val="56"/>
        </w:rPr>
        <w:t>(No 1)</w:t>
      </w:r>
    </w:p>
    <w:p w14:paraId="6368EFB3" w14:textId="32BCA0EE" w:rsidR="00E51925" w:rsidRPr="008D5CA8" w:rsidRDefault="008D5CA8" w:rsidP="000B641B">
      <w:pPr>
        <w:pStyle w:val="Subtitle"/>
        <w:jc w:val="center"/>
        <w:rPr>
          <w:b/>
          <w:bCs/>
        </w:rPr>
      </w:pPr>
      <w:r w:rsidRPr="008D5CA8">
        <w:rPr>
          <w:b/>
          <w:bCs/>
        </w:rPr>
        <w:t>SL2021-24</w:t>
      </w:r>
    </w:p>
    <w:p w14:paraId="3B454439" w14:textId="6B570AC2" w:rsidR="00B63044" w:rsidRDefault="00B63044" w:rsidP="00B63044"/>
    <w:p w14:paraId="0544B356" w14:textId="37A08B49" w:rsidR="00B63044" w:rsidRDefault="00B63044" w:rsidP="00B63044"/>
    <w:p w14:paraId="250C4D55" w14:textId="63FF793D" w:rsidR="00B63044" w:rsidRDefault="00B63044" w:rsidP="00B63044"/>
    <w:p w14:paraId="5ADAFE50" w14:textId="1E5B2525" w:rsidR="00B63044" w:rsidRDefault="00B63044" w:rsidP="00B63044"/>
    <w:p w14:paraId="280EE38F" w14:textId="77777777" w:rsidR="00B63044" w:rsidRPr="00B63044" w:rsidRDefault="00B63044" w:rsidP="00B63044"/>
    <w:p w14:paraId="1608F374" w14:textId="3AF2A21B" w:rsidR="00770FEE" w:rsidRPr="00770FEE" w:rsidRDefault="00770FEE" w:rsidP="00A900DC">
      <w:pPr>
        <w:spacing w:before="100" w:after="100"/>
        <w:jc w:val="center"/>
        <w:rPr>
          <w:sz w:val="56"/>
          <w:szCs w:val="56"/>
        </w:rPr>
      </w:pPr>
      <w:r w:rsidRPr="00770FEE">
        <w:rPr>
          <w:sz w:val="56"/>
          <w:szCs w:val="56"/>
        </w:rPr>
        <w:t xml:space="preserve">Regulatory Impact Statement </w:t>
      </w:r>
    </w:p>
    <w:p w14:paraId="70705678" w14:textId="77777777" w:rsidR="00770FEE" w:rsidRPr="00770FEE" w:rsidRDefault="00770FEE" w:rsidP="00A900DC">
      <w:pPr>
        <w:spacing w:before="100" w:after="100"/>
        <w:jc w:val="center"/>
        <w:rPr>
          <w:sz w:val="32"/>
          <w:szCs w:val="32"/>
        </w:rPr>
      </w:pPr>
      <w:r w:rsidRPr="00770FEE">
        <w:rPr>
          <w:sz w:val="32"/>
          <w:szCs w:val="32"/>
        </w:rPr>
        <w:t xml:space="preserve">Transport Canberra and City Services </w:t>
      </w:r>
    </w:p>
    <w:p w14:paraId="42E4C9CD" w14:textId="77777777" w:rsidR="00D34AAB" w:rsidRDefault="00D34AAB" w:rsidP="00D34AAB">
      <w:pPr>
        <w:pStyle w:val="Subtitle"/>
      </w:pPr>
      <w:r>
        <w:t xml:space="preserve">Incorporating impacts associated with the following related legislation: </w:t>
      </w:r>
    </w:p>
    <w:p w14:paraId="5E1E9297" w14:textId="77777777" w:rsidR="00D34AAB" w:rsidRPr="00E51925" w:rsidRDefault="00D34AAB" w:rsidP="00D34AAB">
      <w:pPr>
        <w:pStyle w:val="ListParagraph"/>
        <w:numPr>
          <w:ilvl w:val="0"/>
          <w:numId w:val="28"/>
        </w:numPr>
        <w:rPr>
          <w:i/>
          <w:iCs/>
        </w:rPr>
      </w:pPr>
      <w:r w:rsidRPr="00E51925">
        <w:rPr>
          <w:i/>
          <w:iCs/>
        </w:rPr>
        <w:t>Waste Management and Resource Recovery (compostable material collection) Declaration 2021</w:t>
      </w:r>
      <w:r>
        <w:rPr>
          <w:i/>
          <w:iCs/>
        </w:rPr>
        <w:t xml:space="preserve"> (new),</w:t>
      </w:r>
    </w:p>
    <w:p w14:paraId="55EA91E1" w14:textId="77777777" w:rsidR="00D34AAB" w:rsidRPr="00E51925" w:rsidRDefault="00D34AAB" w:rsidP="00D34AAB">
      <w:pPr>
        <w:pStyle w:val="ListParagraph"/>
        <w:numPr>
          <w:ilvl w:val="0"/>
          <w:numId w:val="28"/>
        </w:numPr>
        <w:rPr>
          <w:i/>
          <w:iCs/>
        </w:rPr>
      </w:pPr>
      <w:r w:rsidRPr="00E51925">
        <w:rPr>
          <w:i/>
          <w:iCs/>
        </w:rPr>
        <w:t>Magistrate’s Court (Waste Management and Resource Recovery Infringement Notices) Regulation 2021</w:t>
      </w:r>
      <w:r>
        <w:rPr>
          <w:i/>
          <w:iCs/>
        </w:rPr>
        <w:t xml:space="preserve"> (amended),</w:t>
      </w:r>
    </w:p>
    <w:p w14:paraId="22EB5B94" w14:textId="77777777" w:rsidR="00D34AAB" w:rsidRPr="00E51925" w:rsidRDefault="00D34AAB" w:rsidP="00D34AAB">
      <w:pPr>
        <w:pStyle w:val="ListParagraph"/>
        <w:numPr>
          <w:ilvl w:val="0"/>
          <w:numId w:val="28"/>
        </w:numPr>
        <w:rPr>
          <w:i/>
          <w:iCs/>
        </w:rPr>
      </w:pPr>
      <w:r w:rsidRPr="00E51925">
        <w:rPr>
          <w:i/>
          <w:iCs/>
        </w:rPr>
        <w:t>Waste Management and Resource Recovery (Waste Categories) Determination 2021</w:t>
      </w:r>
      <w:r>
        <w:rPr>
          <w:i/>
          <w:iCs/>
        </w:rPr>
        <w:t xml:space="preserve"> (new), </w:t>
      </w:r>
    </w:p>
    <w:p w14:paraId="3A24F364" w14:textId="77777777" w:rsidR="00D34AAB" w:rsidRPr="00E51925" w:rsidRDefault="00D34AAB" w:rsidP="00D34AAB">
      <w:pPr>
        <w:pStyle w:val="ListParagraph"/>
        <w:numPr>
          <w:ilvl w:val="0"/>
          <w:numId w:val="28"/>
        </w:numPr>
        <w:rPr>
          <w:i/>
          <w:iCs/>
        </w:rPr>
      </w:pPr>
      <w:r w:rsidRPr="00E51925">
        <w:rPr>
          <w:i/>
          <w:iCs/>
        </w:rPr>
        <w:t>Waste Management and Resource Recovery (Exemption) Declaration 2021</w:t>
      </w:r>
      <w:r>
        <w:rPr>
          <w:i/>
          <w:iCs/>
        </w:rPr>
        <w:t xml:space="preserve"> (amended). </w:t>
      </w:r>
    </w:p>
    <w:p w14:paraId="348E8195" w14:textId="2FE5BD44" w:rsidR="00770FEE" w:rsidRDefault="00B63F3F" w:rsidP="00A900DC">
      <w:pPr>
        <w:spacing w:before="100" w:after="100"/>
        <w:jc w:val="center"/>
        <w:rPr>
          <w:sz w:val="32"/>
          <w:szCs w:val="32"/>
        </w:rPr>
      </w:pPr>
      <w:r>
        <w:rPr>
          <w:sz w:val="32"/>
          <w:szCs w:val="32"/>
        </w:rPr>
        <w:t xml:space="preserve">August </w:t>
      </w:r>
      <w:r w:rsidR="00CF2328">
        <w:rPr>
          <w:sz w:val="32"/>
          <w:szCs w:val="32"/>
        </w:rPr>
        <w:t>2021</w:t>
      </w:r>
      <w:r w:rsidR="00770FEE" w:rsidRPr="00770FEE">
        <w:rPr>
          <w:sz w:val="32"/>
          <w:szCs w:val="32"/>
        </w:rPr>
        <w:t xml:space="preserve"> </w:t>
      </w:r>
    </w:p>
    <w:p w14:paraId="58C56BC5" w14:textId="28C43E7B" w:rsidR="00B63044" w:rsidRDefault="00B63044" w:rsidP="00A900DC">
      <w:pPr>
        <w:spacing w:before="100" w:after="100"/>
        <w:jc w:val="center"/>
        <w:rPr>
          <w:sz w:val="32"/>
          <w:szCs w:val="32"/>
        </w:rPr>
      </w:pPr>
    </w:p>
    <w:p w14:paraId="0B9DCD54" w14:textId="3FDABE6C" w:rsidR="00B63044" w:rsidRDefault="00B63044" w:rsidP="00A900DC">
      <w:pPr>
        <w:spacing w:before="100" w:after="100"/>
        <w:jc w:val="center"/>
        <w:rPr>
          <w:sz w:val="32"/>
          <w:szCs w:val="32"/>
        </w:rPr>
      </w:pPr>
    </w:p>
    <w:p w14:paraId="45C803D6" w14:textId="2547F0FA" w:rsidR="00B63044" w:rsidRDefault="00B63044" w:rsidP="00A900DC">
      <w:pPr>
        <w:spacing w:before="100" w:after="100"/>
        <w:jc w:val="center"/>
        <w:rPr>
          <w:sz w:val="32"/>
          <w:szCs w:val="32"/>
        </w:rPr>
      </w:pPr>
    </w:p>
    <w:p w14:paraId="53F45E31" w14:textId="60CE608E" w:rsidR="00B63044" w:rsidRDefault="00B63044" w:rsidP="00A900DC">
      <w:pPr>
        <w:spacing w:before="100" w:after="100"/>
        <w:jc w:val="center"/>
        <w:rPr>
          <w:sz w:val="32"/>
          <w:szCs w:val="32"/>
        </w:rPr>
      </w:pPr>
    </w:p>
    <w:p w14:paraId="635259EE" w14:textId="031AE1D3" w:rsidR="00B63044" w:rsidRDefault="00B63044" w:rsidP="00A900DC">
      <w:pPr>
        <w:spacing w:before="100" w:after="100"/>
        <w:jc w:val="center"/>
        <w:rPr>
          <w:sz w:val="32"/>
          <w:szCs w:val="32"/>
        </w:rPr>
      </w:pPr>
    </w:p>
    <w:p w14:paraId="61C0A1B3" w14:textId="77777777" w:rsidR="00B63044" w:rsidRDefault="00B63044" w:rsidP="00A900DC">
      <w:pPr>
        <w:spacing w:before="100" w:after="100"/>
        <w:jc w:val="center"/>
        <w:rPr>
          <w:sz w:val="32"/>
          <w:szCs w:val="32"/>
        </w:rPr>
      </w:pPr>
    </w:p>
    <w:sdt>
      <w:sdtPr>
        <w:id w:val="-321584597"/>
        <w:docPartObj>
          <w:docPartGallery w:val="Table of Contents"/>
          <w:docPartUnique/>
        </w:docPartObj>
      </w:sdtPr>
      <w:sdtEndPr>
        <w:rPr>
          <w:b/>
          <w:bCs/>
          <w:noProof/>
        </w:rPr>
      </w:sdtEndPr>
      <w:sdtContent>
        <w:p w14:paraId="26825543" w14:textId="74661158" w:rsidR="000869CA" w:rsidRPr="00683C64" w:rsidRDefault="000869CA" w:rsidP="00683C64">
          <w:pPr>
            <w:rPr>
              <w:color w:val="0070C0"/>
              <w:sz w:val="32"/>
              <w:szCs w:val="32"/>
            </w:rPr>
          </w:pPr>
          <w:r w:rsidRPr="00683C64">
            <w:rPr>
              <w:color w:val="0070C0"/>
              <w:sz w:val="32"/>
              <w:szCs w:val="32"/>
            </w:rPr>
            <w:t>Contents</w:t>
          </w:r>
        </w:p>
        <w:p w14:paraId="05E1E7A2" w14:textId="0D84B89D" w:rsidR="00F25866" w:rsidRDefault="00FA4129">
          <w:pPr>
            <w:pStyle w:val="TOC1"/>
            <w:tabs>
              <w:tab w:val="left" w:pos="440"/>
              <w:tab w:val="right" w:leader="dot" w:pos="9016"/>
            </w:tabs>
            <w:rPr>
              <w:rFonts w:eastAsiaTheme="minorEastAsia"/>
              <w:noProof/>
              <w:lang w:eastAsia="en-AU"/>
            </w:rPr>
          </w:pPr>
          <w:r>
            <w:rPr>
              <w:b/>
              <w:bCs/>
              <w:noProof/>
            </w:rPr>
            <w:fldChar w:fldCharType="begin"/>
          </w:r>
          <w:r>
            <w:rPr>
              <w:b/>
              <w:bCs/>
              <w:noProof/>
            </w:rPr>
            <w:instrText xml:space="preserve"> TOC \o "1-4" \h \z \u </w:instrText>
          </w:r>
          <w:r>
            <w:rPr>
              <w:b/>
              <w:bCs/>
              <w:noProof/>
            </w:rPr>
            <w:fldChar w:fldCharType="separate"/>
          </w:r>
          <w:hyperlink w:anchor="_Toc79490175" w:history="1">
            <w:r w:rsidR="00F25866" w:rsidRPr="00B67194">
              <w:rPr>
                <w:rStyle w:val="Hyperlink"/>
                <w:noProof/>
              </w:rPr>
              <w:t>1.</w:t>
            </w:r>
            <w:r w:rsidR="00F25866">
              <w:rPr>
                <w:rFonts w:eastAsiaTheme="minorEastAsia"/>
                <w:noProof/>
                <w:lang w:eastAsia="en-AU"/>
              </w:rPr>
              <w:tab/>
            </w:r>
            <w:r w:rsidR="00F25866" w:rsidRPr="00B67194">
              <w:rPr>
                <w:rStyle w:val="Hyperlink"/>
                <w:noProof/>
              </w:rPr>
              <w:t>Executive summary</w:t>
            </w:r>
            <w:r w:rsidR="00F25866">
              <w:rPr>
                <w:noProof/>
                <w:webHidden/>
              </w:rPr>
              <w:tab/>
            </w:r>
            <w:r w:rsidR="00F25866">
              <w:rPr>
                <w:noProof/>
                <w:webHidden/>
              </w:rPr>
              <w:fldChar w:fldCharType="begin"/>
            </w:r>
            <w:r w:rsidR="00F25866">
              <w:rPr>
                <w:noProof/>
                <w:webHidden/>
              </w:rPr>
              <w:instrText xml:space="preserve"> PAGEREF _Toc79490175 \h </w:instrText>
            </w:r>
            <w:r w:rsidR="00F25866">
              <w:rPr>
                <w:noProof/>
                <w:webHidden/>
              </w:rPr>
            </w:r>
            <w:r w:rsidR="00F25866">
              <w:rPr>
                <w:noProof/>
                <w:webHidden/>
              </w:rPr>
              <w:fldChar w:fldCharType="separate"/>
            </w:r>
            <w:r w:rsidR="00F25866">
              <w:rPr>
                <w:noProof/>
                <w:webHidden/>
              </w:rPr>
              <w:t>5</w:t>
            </w:r>
            <w:r w:rsidR="00F25866">
              <w:rPr>
                <w:noProof/>
                <w:webHidden/>
              </w:rPr>
              <w:fldChar w:fldCharType="end"/>
            </w:r>
          </w:hyperlink>
        </w:p>
        <w:p w14:paraId="467FF2D0" w14:textId="5AF2E751" w:rsidR="00F25866" w:rsidRDefault="000150F9">
          <w:pPr>
            <w:pStyle w:val="TOC1"/>
            <w:tabs>
              <w:tab w:val="left" w:pos="440"/>
              <w:tab w:val="right" w:leader="dot" w:pos="9016"/>
            </w:tabs>
            <w:rPr>
              <w:rFonts w:eastAsiaTheme="minorEastAsia"/>
              <w:noProof/>
              <w:lang w:eastAsia="en-AU"/>
            </w:rPr>
          </w:pPr>
          <w:hyperlink w:anchor="_Toc79490176" w:history="1">
            <w:r w:rsidR="00F25866" w:rsidRPr="00B67194">
              <w:rPr>
                <w:rStyle w:val="Hyperlink"/>
                <w:noProof/>
              </w:rPr>
              <w:t>2.</w:t>
            </w:r>
            <w:r w:rsidR="00F25866">
              <w:rPr>
                <w:rFonts w:eastAsiaTheme="minorEastAsia"/>
                <w:noProof/>
                <w:lang w:eastAsia="en-AU"/>
              </w:rPr>
              <w:tab/>
            </w:r>
            <w:r w:rsidR="00F25866" w:rsidRPr="00B67194">
              <w:rPr>
                <w:rStyle w:val="Hyperlink"/>
                <w:noProof/>
              </w:rPr>
              <w:t>Need for a regulatory impact statement</w:t>
            </w:r>
            <w:r w:rsidR="00F25866">
              <w:rPr>
                <w:noProof/>
                <w:webHidden/>
              </w:rPr>
              <w:tab/>
            </w:r>
            <w:r w:rsidR="00F25866">
              <w:rPr>
                <w:noProof/>
                <w:webHidden/>
              </w:rPr>
              <w:fldChar w:fldCharType="begin"/>
            </w:r>
            <w:r w:rsidR="00F25866">
              <w:rPr>
                <w:noProof/>
                <w:webHidden/>
              </w:rPr>
              <w:instrText xml:space="preserve"> PAGEREF _Toc79490176 \h </w:instrText>
            </w:r>
            <w:r w:rsidR="00F25866">
              <w:rPr>
                <w:noProof/>
                <w:webHidden/>
              </w:rPr>
            </w:r>
            <w:r w:rsidR="00F25866">
              <w:rPr>
                <w:noProof/>
                <w:webHidden/>
              </w:rPr>
              <w:fldChar w:fldCharType="separate"/>
            </w:r>
            <w:r w:rsidR="00F25866">
              <w:rPr>
                <w:noProof/>
                <w:webHidden/>
              </w:rPr>
              <w:t>5</w:t>
            </w:r>
            <w:r w:rsidR="00F25866">
              <w:rPr>
                <w:noProof/>
                <w:webHidden/>
              </w:rPr>
              <w:fldChar w:fldCharType="end"/>
            </w:r>
          </w:hyperlink>
        </w:p>
        <w:p w14:paraId="359301E9" w14:textId="185BB166" w:rsidR="00F25866" w:rsidRDefault="000150F9">
          <w:pPr>
            <w:pStyle w:val="TOC1"/>
            <w:tabs>
              <w:tab w:val="left" w:pos="440"/>
              <w:tab w:val="right" w:leader="dot" w:pos="9016"/>
            </w:tabs>
            <w:rPr>
              <w:rFonts w:eastAsiaTheme="minorEastAsia"/>
              <w:noProof/>
              <w:lang w:eastAsia="en-AU"/>
            </w:rPr>
          </w:pPr>
          <w:hyperlink w:anchor="_Toc79490177" w:history="1">
            <w:r w:rsidR="00F25866" w:rsidRPr="00B67194">
              <w:rPr>
                <w:rStyle w:val="Hyperlink"/>
                <w:noProof/>
              </w:rPr>
              <w:t>3.</w:t>
            </w:r>
            <w:r w:rsidR="00F25866">
              <w:rPr>
                <w:rFonts w:eastAsiaTheme="minorEastAsia"/>
                <w:noProof/>
                <w:lang w:eastAsia="en-AU"/>
              </w:rPr>
              <w:tab/>
            </w:r>
            <w:r w:rsidR="00F25866" w:rsidRPr="00B67194">
              <w:rPr>
                <w:rStyle w:val="Hyperlink"/>
                <w:noProof/>
              </w:rPr>
              <w:t>Introduction</w:t>
            </w:r>
            <w:r w:rsidR="00F25866">
              <w:rPr>
                <w:noProof/>
                <w:webHidden/>
              </w:rPr>
              <w:tab/>
            </w:r>
            <w:r w:rsidR="00F25866">
              <w:rPr>
                <w:noProof/>
                <w:webHidden/>
              </w:rPr>
              <w:fldChar w:fldCharType="begin"/>
            </w:r>
            <w:r w:rsidR="00F25866">
              <w:rPr>
                <w:noProof/>
                <w:webHidden/>
              </w:rPr>
              <w:instrText xml:space="preserve"> PAGEREF _Toc79490177 \h </w:instrText>
            </w:r>
            <w:r w:rsidR="00F25866">
              <w:rPr>
                <w:noProof/>
                <w:webHidden/>
              </w:rPr>
            </w:r>
            <w:r w:rsidR="00F25866">
              <w:rPr>
                <w:noProof/>
                <w:webHidden/>
              </w:rPr>
              <w:fldChar w:fldCharType="separate"/>
            </w:r>
            <w:r w:rsidR="00F25866">
              <w:rPr>
                <w:noProof/>
                <w:webHidden/>
              </w:rPr>
              <w:t>5</w:t>
            </w:r>
            <w:r w:rsidR="00F25866">
              <w:rPr>
                <w:noProof/>
                <w:webHidden/>
              </w:rPr>
              <w:fldChar w:fldCharType="end"/>
            </w:r>
          </w:hyperlink>
        </w:p>
        <w:p w14:paraId="63BD1425" w14:textId="4F3AC20E" w:rsidR="00F25866" w:rsidRDefault="000150F9">
          <w:pPr>
            <w:pStyle w:val="TOC1"/>
            <w:tabs>
              <w:tab w:val="left" w:pos="440"/>
              <w:tab w:val="right" w:leader="dot" w:pos="9016"/>
            </w:tabs>
            <w:rPr>
              <w:rFonts w:eastAsiaTheme="minorEastAsia"/>
              <w:noProof/>
              <w:lang w:eastAsia="en-AU"/>
            </w:rPr>
          </w:pPr>
          <w:hyperlink w:anchor="_Toc79490178" w:history="1">
            <w:r w:rsidR="00F25866" w:rsidRPr="00B67194">
              <w:rPr>
                <w:rStyle w:val="Hyperlink"/>
                <w:noProof/>
              </w:rPr>
              <w:t>4.</w:t>
            </w:r>
            <w:r w:rsidR="00F25866">
              <w:rPr>
                <w:rFonts w:eastAsiaTheme="minorEastAsia"/>
                <w:noProof/>
                <w:lang w:eastAsia="en-AU"/>
              </w:rPr>
              <w:tab/>
            </w:r>
            <w:r w:rsidR="00F25866" w:rsidRPr="00B67194">
              <w:rPr>
                <w:rStyle w:val="Hyperlink"/>
                <w:noProof/>
              </w:rPr>
              <w:t>Policy framework for waste management in the ACT</w:t>
            </w:r>
            <w:r w:rsidR="00F25866">
              <w:rPr>
                <w:noProof/>
                <w:webHidden/>
              </w:rPr>
              <w:tab/>
            </w:r>
            <w:r w:rsidR="00F25866">
              <w:rPr>
                <w:noProof/>
                <w:webHidden/>
              </w:rPr>
              <w:fldChar w:fldCharType="begin"/>
            </w:r>
            <w:r w:rsidR="00F25866">
              <w:rPr>
                <w:noProof/>
                <w:webHidden/>
              </w:rPr>
              <w:instrText xml:space="preserve"> PAGEREF _Toc79490178 \h </w:instrText>
            </w:r>
            <w:r w:rsidR="00F25866">
              <w:rPr>
                <w:noProof/>
                <w:webHidden/>
              </w:rPr>
            </w:r>
            <w:r w:rsidR="00F25866">
              <w:rPr>
                <w:noProof/>
                <w:webHidden/>
              </w:rPr>
              <w:fldChar w:fldCharType="separate"/>
            </w:r>
            <w:r w:rsidR="00F25866">
              <w:rPr>
                <w:noProof/>
                <w:webHidden/>
              </w:rPr>
              <w:t>6</w:t>
            </w:r>
            <w:r w:rsidR="00F25866">
              <w:rPr>
                <w:noProof/>
                <w:webHidden/>
              </w:rPr>
              <w:fldChar w:fldCharType="end"/>
            </w:r>
          </w:hyperlink>
        </w:p>
        <w:p w14:paraId="67BABABD" w14:textId="3FDCB865" w:rsidR="00F25866" w:rsidRDefault="000150F9">
          <w:pPr>
            <w:pStyle w:val="TOC2"/>
            <w:tabs>
              <w:tab w:val="left" w:pos="880"/>
              <w:tab w:val="right" w:leader="dot" w:pos="9016"/>
            </w:tabs>
            <w:rPr>
              <w:rFonts w:eastAsiaTheme="minorEastAsia"/>
              <w:noProof/>
              <w:lang w:eastAsia="en-AU"/>
            </w:rPr>
          </w:pPr>
          <w:hyperlink w:anchor="_Toc79490179" w:history="1">
            <w:r w:rsidR="00F25866" w:rsidRPr="00B67194">
              <w:rPr>
                <w:rStyle w:val="Hyperlink"/>
                <w:noProof/>
              </w:rPr>
              <w:t xml:space="preserve">4.1 </w:t>
            </w:r>
            <w:r w:rsidR="00F25866">
              <w:rPr>
                <w:rFonts w:eastAsiaTheme="minorEastAsia"/>
                <w:noProof/>
                <w:lang w:eastAsia="en-AU"/>
              </w:rPr>
              <w:tab/>
            </w:r>
            <w:r w:rsidR="00F25866" w:rsidRPr="00B67194">
              <w:rPr>
                <w:rStyle w:val="Hyperlink"/>
                <w:noProof/>
              </w:rPr>
              <w:t>The ACT Waste Management Strategy 2011-2025</w:t>
            </w:r>
            <w:r w:rsidR="00F25866">
              <w:rPr>
                <w:noProof/>
                <w:webHidden/>
              </w:rPr>
              <w:tab/>
            </w:r>
            <w:r w:rsidR="00F25866">
              <w:rPr>
                <w:noProof/>
                <w:webHidden/>
              </w:rPr>
              <w:fldChar w:fldCharType="begin"/>
            </w:r>
            <w:r w:rsidR="00F25866">
              <w:rPr>
                <w:noProof/>
                <w:webHidden/>
              </w:rPr>
              <w:instrText xml:space="preserve"> PAGEREF _Toc79490179 \h </w:instrText>
            </w:r>
            <w:r w:rsidR="00F25866">
              <w:rPr>
                <w:noProof/>
                <w:webHidden/>
              </w:rPr>
            </w:r>
            <w:r w:rsidR="00F25866">
              <w:rPr>
                <w:noProof/>
                <w:webHidden/>
              </w:rPr>
              <w:fldChar w:fldCharType="separate"/>
            </w:r>
            <w:r w:rsidR="00F25866">
              <w:rPr>
                <w:noProof/>
                <w:webHidden/>
              </w:rPr>
              <w:t>7</w:t>
            </w:r>
            <w:r w:rsidR="00F25866">
              <w:rPr>
                <w:noProof/>
                <w:webHidden/>
              </w:rPr>
              <w:fldChar w:fldCharType="end"/>
            </w:r>
          </w:hyperlink>
        </w:p>
        <w:p w14:paraId="019AC2B3" w14:textId="7D21A172" w:rsidR="00F25866" w:rsidRDefault="000150F9">
          <w:pPr>
            <w:pStyle w:val="TOC2"/>
            <w:tabs>
              <w:tab w:val="left" w:pos="880"/>
              <w:tab w:val="right" w:leader="dot" w:pos="9016"/>
            </w:tabs>
            <w:rPr>
              <w:rFonts w:eastAsiaTheme="minorEastAsia"/>
              <w:noProof/>
              <w:lang w:eastAsia="en-AU"/>
            </w:rPr>
          </w:pPr>
          <w:hyperlink w:anchor="_Toc79490180" w:history="1">
            <w:r w:rsidR="00F25866" w:rsidRPr="00B67194">
              <w:rPr>
                <w:rStyle w:val="Hyperlink"/>
                <w:noProof/>
              </w:rPr>
              <w:t xml:space="preserve">4.2 </w:t>
            </w:r>
            <w:r w:rsidR="00F25866">
              <w:rPr>
                <w:rFonts w:eastAsiaTheme="minorEastAsia"/>
                <w:noProof/>
                <w:lang w:eastAsia="en-AU"/>
              </w:rPr>
              <w:tab/>
            </w:r>
            <w:r w:rsidR="00F25866" w:rsidRPr="00B67194">
              <w:rPr>
                <w:rStyle w:val="Hyperlink"/>
                <w:noProof/>
              </w:rPr>
              <w:t>The ACT Waste Feasibility Study 2018</w:t>
            </w:r>
            <w:r w:rsidR="00F25866">
              <w:rPr>
                <w:noProof/>
                <w:webHidden/>
              </w:rPr>
              <w:tab/>
            </w:r>
            <w:r w:rsidR="00F25866">
              <w:rPr>
                <w:noProof/>
                <w:webHidden/>
              </w:rPr>
              <w:fldChar w:fldCharType="begin"/>
            </w:r>
            <w:r w:rsidR="00F25866">
              <w:rPr>
                <w:noProof/>
                <w:webHidden/>
              </w:rPr>
              <w:instrText xml:space="preserve"> PAGEREF _Toc79490180 \h </w:instrText>
            </w:r>
            <w:r w:rsidR="00F25866">
              <w:rPr>
                <w:noProof/>
                <w:webHidden/>
              </w:rPr>
            </w:r>
            <w:r w:rsidR="00F25866">
              <w:rPr>
                <w:noProof/>
                <w:webHidden/>
              </w:rPr>
              <w:fldChar w:fldCharType="separate"/>
            </w:r>
            <w:r w:rsidR="00F25866">
              <w:rPr>
                <w:noProof/>
                <w:webHidden/>
              </w:rPr>
              <w:t>7</w:t>
            </w:r>
            <w:r w:rsidR="00F25866">
              <w:rPr>
                <w:noProof/>
                <w:webHidden/>
              </w:rPr>
              <w:fldChar w:fldCharType="end"/>
            </w:r>
          </w:hyperlink>
        </w:p>
        <w:p w14:paraId="292BFEEE" w14:textId="40BF74FB" w:rsidR="00F25866" w:rsidRDefault="000150F9">
          <w:pPr>
            <w:pStyle w:val="TOC1"/>
            <w:tabs>
              <w:tab w:val="left" w:pos="440"/>
              <w:tab w:val="right" w:leader="dot" w:pos="9016"/>
            </w:tabs>
            <w:rPr>
              <w:rFonts w:eastAsiaTheme="minorEastAsia"/>
              <w:noProof/>
              <w:lang w:eastAsia="en-AU"/>
            </w:rPr>
          </w:pPr>
          <w:hyperlink w:anchor="_Toc79490181" w:history="1">
            <w:r w:rsidR="00F25866" w:rsidRPr="00B67194">
              <w:rPr>
                <w:rStyle w:val="Hyperlink"/>
                <w:noProof/>
              </w:rPr>
              <w:t>5.</w:t>
            </w:r>
            <w:r w:rsidR="00F25866">
              <w:rPr>
                <w:rFonts w:eastAsiaTheme="minorEastAsia"/>
                <w:noProof/>
                <w:lang w:eastAsia="en-AU"/>
              </w:rPr>
              <w:tab/>
            </w:r>
            <w:r w:rsidR="00F25866" w:rsidRPr="00B67194">
              <w:rPr>
                <w:rStyle w:val="Hyperlink"/>
                <w:noProof/>
              </w:rPr>
              <w:t>The authorising law</w:t>
            </w:r>
            <w:r w:rsidR="00F25866">
              <w:rPr>
                <w:noProof/>
                <w:webHidden/>
              </w:rPr>
              <w:tab/>
            </w:r>
            <w:r w:rsidR="00F25866">
              <w:rPr>
                <w:noProof/>
                <w:webHidden/>
              </w:rPr>
              <w:fldChar w:fldCharType="begin"/>
            </w:r>
            <w:r w:rsidR="00F25866">
              <w:rPr>
                <w:noProof/>
                <w:webHidden/>
              </w:rPr>
              <w:instrText xml:space="preserve"> PAGEREF _Toc79490181 \h </w:instrText>
            </w:r>
            <w:r w:rsidR="00F25866">
              <w:rPr>
                <w:noProof/>
                <w:webHidden/>
              </w:rPr>
            </w:r>
            <w:r w:rsidR="00F25866">
              <w:rPr>
                <w:noProof/>
                <w:webHidden/>
              </w:rPr>
              <w:fldChar w:fldCharType="separate"/>
            </w:r>
            <w:r w:rsidR="00F25866">
              <w:rPr>
                <w:noProof/>
                <w:webHidden/>
              </w:rPr>
              <w:t>8</w:t>
            </w:r>
            <w:r w:rsidR="00F25866">
              <w:rPr>
                <w:noProof/>
                <w:webHidden/>
              </w:rPr>
              <w:fldChar w:fldCharType="end"/>
            </w:r>
          </w:hyperlink>
        </w:p>
        <w:p w14:paraId="17DFC941" w14:textId="2D2F3826" w:rsidR="00F25866" w:rsidRDefault="000150F9">
          <w:pPr>
            <w:pStyle w:val="TOC2"/>
            <w:tabs>
              <w:tab w:val="left" w:pos="880"/>
              <w:tab w:val="right" w:leader="dot" w:pos="9016"/>
            </w:tabs>
            <w:rPr>
              <w:rFonts w:eastAsiaTheme="minorEastAsia"/>
              <w:noProof/>
              <w:lang w:eastAsia="en-AU"/>
            </w:rPr>
          </w:pPr>
          <w:hyperlink w:anchor="_Toc79490182" w:history="1">
            <w:r w:rsidR="00F25866" w:rsidRPr="00B67194">
              <w:rPr>
                <w:rStyle w:val="Hyperlink"/>
                <w:noProof/>
              </w:rPr>
              <w:t xml:space="preserve">5.1 </w:t>
            </w:r>
            <w:r w:rsidR="00F25866">
              <w:rPr>
                <w:rFonts w:eastAsiaTheme="minorEastAsia"/>
                <w:noProof/>
                <w:lang w:eastAsia="en-AU"/>
              </w:rPr>
              <w:tab/>
            </w:r>
            <w:r w:rsidR="00F25866" w:rsidRPr="00B67194">
              <w:rPr>
                <w:rStyle w:val="Hyperlink"/>
                <w:noProof/>
              </w:rPr>
              <w:t>Waste Management and Resource Recovery Act 2016</w:t>
            </w:r>
            <w:r w:rsidR="00F25866">
              <w:rPr>
                <w:noProof/>
                <w:webHidden/>
              </w:rPr>
              <w:tab/>
            </w:r>
            <w:r w:rsidR="00F25866">
              <w:rPr>
                <w:noProof/>
                <w:webHidden/>
              </w:rPr>
              <w:fldChar w:fldCharType="begin"/>
            </w:r>
            <w:r w:rsidR="00F25866">
              <w:rPr>
                <w:noProof/>
                <w:webHidden/>
              </w:rPr>
              <w:instrText xml:space="preserve"> PAGEREF _Toc79490182 \h </w:instrText>
            </w:r>
            <w:r w:rsidR="00F25866">
              <w:rPr>
                <w:noProof/>
                <w:webHidden/>
              </w:rPr>
            </w:r>
            <w:r w:rsidR="00F25866">
              <w:rPr>
                <w:noProof/>
                <w:webHidden/>
              </w:rPr>
              <w:fldChar w:fldCharType="separate"/>
            </w:r>
            <w:r w:rsidR="00F25866">
              <w:rPr>
                <w:noProof/>
                <w:webHidden/>
              </w:rPr>
              <w:t>8</w:t>
            </w:r>
            <w:r w:rsidR="00F25866">
              <w:rPr>
                <w:noProof/>
                <w:webHidden/>
              </w:rPr>
              <w:fldChar w:fldCharType="end"/>
            </w:r>
          </w:hyperlink>
        </w:p>
        <w:p w14:paraId="7F388AF4" w14:textId="53857E5A" w:rsidR="00F25866" w:rsidRDefault="000150F9">
          <w:pPr>
            <w:pStyle w:val="TOC2"/>
            <w:tabs>
              <w:tab w:val="left" w:pos="880"/>
              <w:tab w:val="right" w:leader="dot" w:pos="9016"/>
            </w:tabs>
            <w:rPr>
              <w:rFonts w:eastAsiaTheme="minorEastAsia"/>
              <w:noProof/>
              <w:lang w:eastAsia="en-AU"/>
            </w:rPr>
          </w:pPr>
          <w:hyperlink w:anchor="_Toc79490183" w:history="1">
            <w:r w:rsidR="00F25866" w:rsidRPr="00B67194">
              <w:rPr>
                <w:rStyle w:val="Hyperlink"/>
                <w:noProof/>
              </w:rPr>
              <w:t xml:space="preserve">5.2 </w:t>
            </w:r>
            <w:r w:rsidR="00F25866">
              <w:rPr>
                <w:rFonts w:eastAsiaTheme="minorEastAsia"/>
                <w:noProof/>
                <w:lang w:eastAsia="en-AU"/>
              </w:rPr>
              <w:tab/>
            </w:r>
            <w:r w:rsidR="00F25866" w:rsidRPr="00B67194">
              <w:rPr>
                <w:rStyle w:val="Hyperlink"/>
                <w:noProof/>
              </w:rPr>
              <w:t>Waste Management and Resource Recovery Regulation 2017</w:t>
            </w:r>
            <w:r w:rsidR="00F25866">
              <w:rPr>
                <w:noProof/>
                <w:webHidden/>
              </w:rPr>
              <w:tab/>
            </w:r>
            <w:r w:rsidR="00F25866">
              <w:rPr>
                <w:noProof/>
                <w:webHidden/>
              </w:rPr>
              <w:fldChar w:fldCharType="begin"/>
            </w:r>
            <w:r w:rsidR="00F25866">
              <w:rPr>
                <w:noProof/>
                <w:webHidden/>
              </w:rPr>
              <w:instrText xml:space="preserve"> PAGEREF _Toc79490183 \h </w:instrText>
            </w:r>
            <w:r w:rsidR="00F25866">
              <w:rPr>
                <w:noProof/>
                <w:webHidden/>
              </w:rPr>
            </w:r>
            <w:r w:rsidR="00F25866">
              <w:rPr>
                <w:noProof/>
                <w:webHidden/>
              </w:rPr>
              <w:fldChar w:fldCharType="separate"/>
            </w:r>
            <w:r w:rsidR="00F25866">
              <w:rPr>
                <w:noProof/>
                <w:webHidden/>
              </w:rPr>
              <w:t>9</w:t>
            </w:r>
            <w:r w:rsidR="00F25866">
              <w:rPr>
                <w:noProof/>
                <w:webHidden/>
              </w:rPr>
              <w:fldChar w:fldCharType="end"/>
            </w:r>
          </w:hyperlink>
        </w:p>
        <w:p w14:paraId="3737AE03" w14:textId="69BBE766" w:rsidR="00F25866" w:rsidRDefault="000150F9">
          <w:pPr>
            <w:pStyle w:val="TOC1"/>
            <w:tabs>
              <w:tab w:val="left" w:pos="440"/>
              <w:tab w:val="right" w:leader="dot" w:pos="9016"/>
            </w:tabs>
            <w:rPr>
              <w:rFonts w:eastAsiaTheme="minorEastAsia"/>
              <w:noProof/>
              <w:lang w:eastAsia="en-AU"/>
            </w:rPr>
          </w:pPr>
          <w:hyperlink w:anchor="_Toc79490184" w:history="1">
            <w:r w:rsidR="00F25866" w:rsidRPr="00B67194">
              <w:rPr>
                <w:rStyle w:val="Hyperlink"/>
                <w:noProof/>
              </w:rPr>
              <w:t>6.</w:t>
            </w:r>
            <w:r w:rsidR="00F25866">
              <w:rPr>
                <w:rFonts w:eastAsiaTheme="minorEastAsia"/>
                <w:noProof/>
                <w:lang w:eastAsia="en-AU"/>
              </w:rPr>
              <w:tab/>
            </w:r>
            <w:r w:rsidR="00F25866" w:rsidRPr="00B67194">
              <w:rPr>
                <w:rStyle w:val="Hyperlink"/>
                <w:noProof/>
              </w:rPr>
              <w:t xml:space="preserve">Consideration of human rights – </w:t>
            </w:r>
            <w:r w:rsidR="00F25866" w:rsidRPr="00B67194">
              <w:rPr>
                <w:rStyle w:val="Hyperlink"/>
                <w:i/>
                <w:iCs/>
                <w:noProof/>
              </w:rPr>
              <w:t>Human Rights Act 2004</w:t>
            </w:r>
            <w:r w:rsidR="00F25866">
              <w:rPr>
                <w:noProof/>
                <w:webHidden/>
              </w:rPr>
              <w:tab/>
            </w:r>
            <w:r w:rsidR="00F25866">
              <w:rPr>
                <w:noProof/>
                <w:webHidden/>
              </w:rPr>
              <w:fldChar w:fldCharType="begin"/>
            </w:r>
            <w:r w:rsidR="00F25866">
              <w:rPr>
                <w:noProof/>
                <w:webHidden/>
              </w:rPr>
              <w:instrText xml:space="preserve"> PAGEREF _Toc79490184 \h </w:instrText>
            </w:r>
            <w:r w:rsidR="00F25866">
              <w:rPr>
                <w:noProof/>
                <w:webHidden/>
              </w:rPr>
            </w:r>
            <w:r w:rsidR="00F25866">
              <w:rPr>
                <w:noProof/>
                <w:webHidden/>
              </w:rPr>
              <w:fldChar w:fldCharType="separate"/>
            </w:r>
            <w:r w:rsidR="00F25866">
              <w:rPr>
                <w:noProof/>
                <w:webHidden/>
              </w:rPr>
              <w:t>9</w:t>
            </w:r>
            <w:r w:rsidR="00F25866">
              <w:rPr>
                <w:noProof/>
                <w:webHidden/>
              </w:rPr>
              <w:fldChar w:fldCharType="end"/>
            </w:r>
          </w:hyperlink>
        </w:p>
        <w:p w14:paraId="6E1B7298" w14:textId="47A23BD1" w:rsidR="00F25866" w:rsidRDefault="000150F9">
          <w:pPr>
            <w:pStyle w:val="TOC2"/>
            <w:tabs>
              <w:tab w:val="left" w:pos="880"/>
              <w:tab w:val="right" w:leader="dot" w:pos="9016"/>
            </w:tabs>
            <w:rPr>
              <w:rFonts w:eastAsiaTheme="minorEastAsia"/>
              <w:noProof/>
              <w:lang w:eastAsia="en-AU"/>
            </w:rPr>
          </w:pPr>
          <w:hyperlink w:anchor="_Toc79490185" w:history="1">
            <w:r w:rsidR="00F25866" w:rsidRPr="00B67194">
              <w:rPr>
                <w:rStyle w:val="Hyperlink"/>
                <w:noProof/>
              </w:rPr>
              <w:t xml:space="preserve">6.1 </w:t>
            </w:r>
            <w:r w:rsidR="00F25866">
              <w:rPr>
                <w:rFonts w:eastAsiaTheme="minorEastAsia"/>
                <w:noProof/>
                <w:lang w:eastAsia="en-AU"/>
              </w:rPr>
              <w:tab/>
            </w:r>
            <w:r w:rsidR="00F25866" w:rsidRPr="00B67194">
              <w:rPr>
                <w:rStyle w:val="Hyperlink"/>
                <w:noProof/>
              </w:rPr>
              <w:t>Right to be presumed innocent until proven guilty</w:t>
            </w:r>
            <w:r w:rsidR="00F25866">
              <w:rPr>
                <w:noProof/>
                <w:webHidden/>
              </w:rPr>
              <w:tab/>
            </w:r>
            <w:r w:rsidR="00F25866">
              <w:rPr>
                <w:noProof/>
                <w:webHidden/>
              </w:rPr>
              <w:fldChar w:fldCharType="begin"/>
            </w:r>
            <w:r w:rsidR="00F25866">
              <w:rPr>
                <w:noProof/>
                <w:webHidden/>
              </w:rPr>
              <w:instrText xml:space="preserve"> PAGEREF _Toc79490185 \h </w:instrText>
            </w:r>
            <w:r w:rsidR="00F25866">
              <w:rPr>
                <w:noProof/>
                <w:webHidden/>
              </w:rPr>
            </w:r>
            <w:r w:rsidR="00F25866">
              <w:rPr>
                <w:noProof/>
                <w:webHidden/>
              </w:rPr>
              <w:fldChar w:fldCharType="separate"/>
            </w:r>
            <w:r w:rsidR="00F25866">
              <w:rPr>
                <w:noProof/>
                <w:webHidden/>
              </w:rPr>
              <w:t>10</w:t>
            </w:r>
            <w:r w:rsidR="00F25866">
              <w:rPr>
                <w:noProof/>
                <w:webHidden/>
              </w:rPr>
              <w:fldChar w:fldCharType="end"/>
            </w:r>
          </w:hyperlink>
        </w:p>
        <w:p w14:paraId="2E081254" w14:textId="64A55C28" w:rsidR="00F25866" w:rsidRDefault="000150F9">
          <w:pPr>
            <w:pStyle w:val="TOC2"/>
            <w:tabs>
              <w:tab w:val="left" w:pos="880"/>
              <w:tab w:val="right" w:leader="dot" w:pos="9016"/>
            </w:tabs>
            <w:rPr>
              <w:rFonts w:eastAsiaTheme="minorEastAsia"/>
              <w:noProof/>
              <w:lang w:eastAsia="en-AU"/>
            </w:rPr>
          </w:pPr>
          <w:hyperlink w:anchor="_Toc79490186" w:history="1">
            <w:r w:rsidR="00F25866" w:rsidRPr="00B67194">
              <w:rPr>
                <w:rStyle w:val="Hyperlink"/>
                <w:noProof/>
              </w:rPr>
              <w:t xml:space="preserve">6.2 </w:t>
            </w:r>
            <w:r w:rsidR="00F25866">
              <w:rPr>
                <w:rFonts w:eastAsiaTheme="minorEastAsia"/>
                <w:noProof/>
                <w:lang w:eastAsia="en-AU"/>
              </w:rPr>
              <w:tab/>
            </w:r>
            <w:r w:rsidR="00F25866" w:rsidRPr="00B67194">
              <w:rPr>
                <w:rStyle w:val="Hyperlink"/>
                <w:noProof/>
              </w:rPr>
              <w:t>Right to privacy</w:t>
            </w:r>
            <w:r w:rsidR="00F25866">
              <w:rPr>
                <w:noProof/>
                <w:webHidden/>
              </w:rPr>
              <w:tab/>
            </w:r>
            <w:r w:rsidR="00F25866">
              <w:rPr>
                <w:noProof/>
                <w:webHidden/>
              </w:rPr>
              <w:fldChar w:fldCharType="begin"/>
            </w:r>
            <w:r w:rsidR="00F25866">
              <w:rPr>
                <w:noProof/>
                <w:webHidden/>
              </w:rPr>
              <w:instrText xml:space="preserve"> PAGEREF _Toc79490186 \h </w:instrText>
            </w:r>
            <w:r w:rsidR="00F25866">
              <w:rPr>
                <w:noProof/>
                <w:webHidden/>
              </w:rPr>
            </w:r>
            <w:r w:rsidR="00F25866">
              <w:rPr>
                <w:noProof/>
                <w:webHidden/>
              </w:rPr>
              <w:fldChar w:fldCharType="separate"/>
            </w:r>
            <w:r w:rsidR="00F25866">
              <w:rPr>
                <w:noProof/>
                <w:webHidden/>
              </w:rPr>
              <w:t>10</w:t>
            </w:r>
            <w:r w:rsidR="00F25866">
              <w:rPr>
                <w:noProof/>
                <w:webHidden/>
              </w:rPr>
              <w:fldChar w:fldCharType="end"/>
            </w:r>
          </w:hyperlink>
        </w:p>
        <w:p w14:paraId="06B3E395" w14:textId="58EB1580" w:rsidR="00F25866" w:rsidRDefault="000150F9">
          <w:pPr>
            <w:pStyle w:val="TOC1"/>
            <w:tabs>
              <w:tab w:val="left" w:pos="440"/>
              <w:tab w:val="right" w:leader="dot" w:pos="9016"/>
            </w:tabs>
            <w:rPr>
              <w:rFonts w:eastAsiaTheme="minorEastAsia"/>
              <w:noProof/>
              <w:lang w:eastAsia="en-AU"/>
            </w:rPr>
          </w:pPr>
          <w:hyperlink w:anchor="_Toc79490187" w:history="1">
            <w:r w:rsidR="00F25866" w:rsidRPr="00B67194">
              <w:rPr>
                <w:rStyle w:val="Hyperlink"/>
                <w:noProof/>
              </w:rPr>
              <w:t>7.</w:t>
            </w:r>
            <w:r w:rsidR="00F25866">
              <w:rPr>
                <w:rFonts w:eastAsiaTheme="minorEastAsia"/>
                <w:noProof/>
                <w:lang w:eastAsia="en-AU"/>
              </w:rPr>
              <w:tab/>
            </w:r>
            <w:r w:rsidR="00F25866" w:rsidRPr="00B67194">
              <w:rPr>
                <w:rStyle w:val="Hyperlink"/>
                <w:noProof/>
              </w:rPr>
              <w:t>Providing for a Food Organics and Green Organics waste service</w:t>
            </w:r>
            <w:r w:rsidR="00F25866">
              <w:rPr>
                <w:noProof/>
                <w:webHidden/>
              </w:rPr>
              <w:tab/>
            </w:r>
            <w:r w:rsidR="00F25866">
              <w:rPr>
                <w:noProof/>
                <w:webHidden/>
              </w:rPr>
              <w:fldChar w:fldCharType="begin"/>
            </w:r>
            <w:r w:rsidR="00F25866">
              <w:rPr>
                <w:noProof/>
                <w:webHidden/>
              </w:rPr>
              <w:instrText xml:space="preserve"> PAGEREF _Toc79490187 \h </w:instrText>
            </w:r>
            <w:r w:rsidR="00F25866">
              <w:rPr>
                <w:noProof/>
                <w:webHidden/>
              </w:rPr>
            </w:r>
            <w:r w:rsidR="00F25866">
              <w:rPr>
                <w:noProof/>
                <w:webHidden/>
              </w:rPr>
              <w:fldChar w:fldCharType="separate"/>
            </w:r>
            <w:r w:rsidR="00F25866">
              <w:rPr>
                <w:noProof/>
                <w:webHidden/>
              </w:rPr>
              <w:t>10</w:t>
            </w:r>
            <w:r w:rsidR="00F25866">
              <w:rPr>
                <w:noProof/>
                <w:webHidden/>
              </w:rPr>
              <w:fldChar w:fldCharType="end"/>
            </w:r>
          </w:hyperlink>
        </w:p>
        <w:p w14:paraId="3E2E6E0C" w14:textId="02301F0C" w:rsidR="00F25866" w:rsidRDefault="000150F9">
          <w:pPr>
            <w:pStyle w:val="TOC2"/>
            <w:tabs>
              <w:tab w:val="left" w:pos="880"/>
              <w:tab w:val="right" w:leader="dot" w:pos="9016"/>
            </w:tabs>
            <w:rPr>
              <w:rFonts w:eastAsiaTheme="minorEastAsia"/>
              <w:noProof/>
              <w:lang w:eastAsia="en-AU"/>
            </w:rPr>
          </w:pPr>
          <w:hyperlink w:anchor="_Toc79490188" w:history="1">
            <w:r w:rsidR="00F25866" w:rsidRPr="00B67194">
              <w:rPr>
                <w:rStyle w:val="Hyperlink"/>
                <w:noProof/>
              </w:rPr>
              <w:t>7.1</w:t>
            </w:r>
            <w:r w:rsidR="00F25866">
              <w:rPr>
                <w:rFonts w:eastAsiaTheme="minorEastAsia"/>
                <w:noProof/>
                <w:lang w:eastAsia="en-AU"/>
              </w:rPr>
              <w:tab/>
            </w:r>
            <w:r w:rsidR="00F25866" w:rsidRPr="00B67194">
              <w:rPr>
                <w:rStyle w:val="Hyperlink"/>
                <w:noProof/>
              </w:rPr>
              <w:t>ACT Government FOGO commitments</w:t>
            </w:r>
            <w:r w:rsidR="00F25866">
              <w:rPr>
                <w:noProof/>
                <w:webHidden/>
              </w:rPr>
              <w:tab/>
            </w:r>
            <w:r w:rsidR="00F25866">
              <w:rPr>
                <w:noProof/>
                <w:webHidden/>
              </w:rPr>
              <w:fldChar w:fldCharType="begin"/>
            </w:r>
            <w:r w:rsidR="00F25866">
              <w:rPr>
                <w:noProof/>
                <w:webHidden/>
              </w:rPr>
              <w:instrText xml:space="preserve"> PAGEREF _Toc79490188 \h </w:instrText>
            </w:r>
            <w:r w:rsidR="00F25866">
              <w:rPr>
                <w:noProof/>
                <w:webHidden/>
              </w:rPr>
            </w:r>
            <w:r w:rsidR="00F25866">
              <w:rPr>
                <w:noProof/>
                <w:webHidden/>
              </w:rPr>
              <w:fldChar w:fldCharType="separate"/>
            </w:r>
            <w:r w:rsidR="00F25866">
              <w:rPr>
                <w:noProof/>
                <w:webHidden/>
              </w:rPr>
              <w:t>10</w:t>
            </w:r>
            <w:r w:rsidR="00F25866">
              <w:rPr>
                <w:noProof/>
                <w:webHidden/>
              </w:rPr>
              <w:fldChar w:fldCharType="end"/>
            </w:r>
          </w:hyperlink>
        </w:p>
        <w:p w14:paraId="16408E90" w14:textId="6C1F4C63" w:rsidR="00F25866" w:rsidRDefault="000150F9">
          <w:pPr>
            <w:pStyle w:val="TOC3"/>
            <w:tabs>
              <w:tab w:val="left" w:pos="1100"/>
              <w:tab w:val="right" w:leader="dot" w:pos="9016"/>
            </w:tabs>
            <w:rPr>
              <w:rFonts w:eastAsiaTheme="minorEastAsia"/>
              <w:noProof/>
              <w:lang w:eastAsia="en-AU"/>
            </w:rPr>
          </w:pPr>
          <w:hyperlink w:anchor="_Toc79490189" w:history="1">
            <w:r w:rsidR="00F25866" w:rsidRPr="00B67194">
              <w:rPr>
                <w:rStyle w:val="Hyperlink"/>
                <w:noProof/>
              </w:rPr>
              <w:t xml:space="preserve">7.1a </w:t>
            </w:r>
            <w:r w:rsidR="00F25866">
              <w:rPr>
                <w:rFonts w:eastAsiaTheme="minorEastAsia"/>
                <w:noProof/>
                <w:lang w:eastAsia="en-AU"/>
              </w:rPr>
              <w:tab/>
            </w:r>
            <w:r w:rsidR="00F25866" w:rsidRPr="00B67194">
              <w:rPr>
                <w:rStyle w:val="Hyperlink"/>
                <w:noProof/>
              </w:rPr>
              <w:t>Accommodating a FOGO pilot</w:t>
            </w:r>
            <w:r w:rsidR="00F25866">
              <w:rPr>
                <w:noProof/>
                <w:webHidden/>
              </w:rPr>
              <w:tab/>
            </w:r>
            <w:r w:rsidR="00F25866">
              <w:rPr>
                <w:noProof/>
                <w:webHidden/>
              </w:rPr>
              <w:fldChar w:fldCharType="begin"/>
            </w:r>
            <w:r w:rsidR="00F25866">
              <w:rPr>
                <w:noProof/>
                <w:webHidden/>
              </w:rPr>
              <w:instrText xml:space="preserve"> PAGEREF _Toc79490189 \h </w:instrText>
            </w:r>
            <w:r w:rsidR="00F25866">
              <w:rPr>
                <w:noProof/>
                <w:webHidden/>
              </w:rPr>
            </w:r>
            <w:r w:rsidR="00F25866">
              <w:rPr>
                <w:noProof/>
                <w:webHidden/>
              </w:rPr>
              <w:fldChar w:fldCharType="separate"/>
            </w:r>
            <w:r w:rsidR="00F25866">
              <w:rPr>
                <w:noProof/>
                <w:webHidden/>
              </w:rPr>
              <w:t>11</w:t>
            </w:r>
            <w:r w:rsidR="00F25866">
              <w:rPr>
                <w:noProof/>
                <w:webHidden/>
              </w:rPr>
              <w:fldChar w:fldCharType="end"/>
            </w:r>
          </w:hyperlink>
        </w:p>
        <w:p w14:paraId="45A9F9BD" w14:textId="64A3A99F" w:rsidR="00F25866" w:rsidRDefault="000150F9">
          <w:pPr>
            <w:pStyle w:val="TOC4"/>
            <w:tabs>
              <w:tab w:val="right" w:leader="dot" w:pos="9016"/>
            </w:tabs>
            <w:rPr>
              <w:rFonts w:eastAsiaTheme="minorEastAsia"/>
              <w:noProof/>
              <w:lang w:eastAsia="en-AU"/>
            </w:rPr>
          </w:pPr>
          <w:hyperlink w:anchor="_Toc79490190" w:history="1">
            <w:r w:rsidR="00F25866" w:rsidRPr="00B67194">
              <w:rPr>
                <w:rStyle w:val="Hyperlink"/>
                <w:noProof/>
              </w:rPr>
              <w:t>FOGO case studies across Australia</w:t>
            </w:r>
            <w:r w:rsidR="00F25866">
              <w:rPr>
                <w:noProof/>
                <w:webHidden/>
              </w:rPr>
              <w:tab/>
            </w:r>
            <w:r w:rsidR="00F25866">
              <w:rPr>
                <w:noProof/>
                <w:webHidden/>
              </w:rPr>
              <w:fldChar w:fldCharType="begin"/>
            </w:r>
            <w:r w:rsidR="00F25866">
              <w:rPr>
                <w:noProof/>
                <w:webHidden/>
              </w:rPr>
              <w:instrText xml:space="preserve"> PAGEREF _Toc79490190 \h </w:instrText>
            </w:r>
            <w:r w:rsidR="00F25866">
              <w:rPr>
                <w:noProof/>
                <w:webHidden/>
              </w:rPr>
            </w:r>
            <w:r w:rsidR="00F25866">
              <w:rPr>
                <w:noProof/>
                <w:webHidden/>
              </w:rPr>
              <w:fldChar w:fldCharType="separate"/>
            </w:r>
            <w:r w:rsidR="00F25866">
              <w:rPr>
                <w:noProof/>
                <w:webHidden/>
              </w:rPr>
              <w:t>11</w:t>
            </w:r>
            <w:r w:rsidR="00F25866">
              <w:rPr>
                <w:noProof/>
                <w:webHidden/>
              </w:rPr>
              <w:fldChar w:fldCharType="end"/>
            </w:r>
          </w:hyperlink>
        </w:p>
        <w:p w14:paraId="24DE8FD1" w14:textId="6F06CE4E" w:rsidR="00F25866" w:rsidRDefault="000150F9">
          <w:pPr>
            <w:pStyle w:val="TOC3"/>
            <w:tabs>
              <w:tab w:val="left" w:pos="1100"/>
              <w:tab w:val="right" w:leader="dot" w:pos="9016"/>
            </w:tabs>
            <w:rPr>
              <w:rFonts w:eastAsiaTheme="minorEastAsia"/>
              <w:noProof/>
              <w:lang w:eastAsia="en-AU"/>
            </w:rPr>
          </w:pPr>
          <w:hyperlink w:anchor="_Toc79490191" w:history="1">
            <w:r w:rsidR="00F25866" w:rsidRPr="00B67194">
              <w:rPr>
                <w:rStyle w:val="Hyperlink"/>
                <w:noProof/>
              </w:rPr>
              <w:t>7.1b</w:t>
            </w:r>
            <w:r w:rsidR="00F25866">
              <w:rPr>
                <w:rFonts w:eastAsiaTheme="minorEastAsia"/>
                <w:noProof/>
                <w:lang w:eastAsia="en-AU"/>
              </w:rPr>
              <w:tab/>
            </w:r>
            <w:r w:rsidR="00F25866" w:rsidRPr="00B67194">
              <w:rPr>
                <w:rStyle w:val="Hyperlink"/>
                <w:noProof/>
              </w:rPr>
              <w:t>Specifying households for the FOGO pilot</w:t>
            </w:r>
            <w:r w:rsidR="00F25866">
              <w:rPr>
                <w:noProof/>
                <w:webHidden/>
              </w:rPr>
              <w:tab/>
            </w:r>
            <w:r w:rsidR="00F25866">
              <w:rPr>
                <w:noProof/>
                <w:webHidden/>
              </w:rPr>
              <w:fldChar w:fldCharType="begin"/>
            </w:r>
            <w:r w:rsidR="00F25866">
              <w:rPr>
                <w:noProof/>
                <w:webHidden/>
              </w:rPr>
              <w:instrText xml:space="preserve"> PAGEREF _Toc79490191 \h </w:instrText>
            </w:r>
            <w:r w:rsidR="00F25866">
              <w:rPr>
                <w:noProof/>
                <w:webHidden/>
              </w:rPr>
            </w:r>
            <w:r w:rsidR="00F25866">
              <w:rPr>
                <w:noProof/>
                <w:webHidden/>
              </w:rPr>
              <w:fldChar w:fldCharType="separate"/>
            </w:r>
            <w:r w:rsidR="00F25866">
              <w:rPr>
                <w:noProof/>
                <w:webHidden/>
              </w:rPr>
              <w:t>12</w:t>
            </w:r>
            <w:r w:rsidR="00F25866">
              <w:rPr>
                <w:noProof/>
                <w:webHidden/>
              </w:rPr>
              <w:fldChar w:fldCharType="end"/>
            </w:r>
          </w:hyperlink>
        </w:p>
        <w:p w14:paraId="09401BB2" w14:textId="33462655" w:rsidR="00F25866" w:rsidRDefault="000150F9">
          <w:pPr>
            <w:pStyle w:val="TOC3"/>
            <w:tabs>
              <w:tab w:val="left" w:pos="1100"/>
              <w:tab w:val="right" w:leader="dot" w:pos="9016"/>
            </w:tabs>
            <w:rPr>
              <w:rFonts w:eastAsiaTheme="minorEastAsia"/>
              <w:noProof/>
              <w:lang w:eastAsia="en-AU"/>
            </w:rPr>
          </w:pPr>
          <w:hyperlink w:anchor="_Toc79490192" w:history="1">
            <w:r w:rsidR="00F25866" w:rsidRPr="00B67194">
              <w:rPr>
                <w:rStyle w:val="Hyperlink"/>
                <w:noProof/>
              </w:rPr>
              <w:t xml:space="preserve">7.1c </w:t>
            </w:r>
            <w:r w:rsidR="00F25866">
              <w:rPr>
                <w:rFonts w:eastAsiaTheme="minorEastAsia"/>
                <w:noProof/>
                <w:lang w:eastAsia="en-AU"/>
              </w:rPr>
              <w:tab/>
            </w:r>
            <w:r w:rsidR="00F25866" w:rsidRPr="00B67194">
              <w:rPr>
                <w:rStyle w:val="Hyperlink"/>
                <w:noProof/>
              </w:rPr>
              <w:t>Temporary and long-term infrastructure</w:t>
            </w:r>
            <w:r w:rsidR="00F25866">
              <w:rPr>
                <w:noProof/>
                <w:webHidden/>
              </w:rPr>
              <w:tab/>
            </w:r>
            <w:r w:rsidR="00F25866">
              <w:rPr>
                <w:noProof/>
                <w:webHidden/>
              </w:rPr>
              <w:fldChar w:fldCharType="begin"/>
            </w:r>
            <w:r w:rsidR="00F25866">
              <w:rPr>
                <w:noProof/>
                <w:webHidden/>
              </w:rPr>
              <w:instrText xml:space="preserve"> PAGEREF _Toc79490192 \h </w:instrText>
            </w:r>
            <w:r w:rsidR="00F25866">
              <w:rPr>
                <w:noProof/>
                <w:webHidden/>
              </w:rPr>
            </w:r>
            <w:r w:rsidR="00F25866">
              <w:rPr>
                <w:noProof/>
                <w:webHidden/>
              </w:rPr>
              <w:fldChar w:fldCharType="separate"/>
            </w:r>
            <w:r w:rsidR="00F25866">
              <w:rPr>
                <w:noProof/>
                <w:webHidden/>
              </w:rPr>
              <w:t>13</w:t>
            </w:r>
            <w:r w:rsidR="00F25866">
              <w:rPr>
                <w:noProof/>
                <w:webHidden/>
              </w:rPr>
              <w:fldChar w:fldCharType="end"/>
            </w:r>
          </w:hyperlink>
        </w:p>
        <w:p w14:paraId="7B733C2D" w14:textId="435FF126" w:rsidR="00F25866" w:rsidRDefault="000150F9">
          <w:pPr>
            <w:pStyle w:val="TOC3"/>
            <w:tabs>
              <w:tab w:val="right" w:leader="dot" w:pos="9016"/>
            </w:tabs>
            <w:rPr>
              <w:rFonts w:eastAsiaTheme="minorEastAsia"/>
              <w:noProof/>
              <w:lang w:eastAsia="en-AU"/>
            </w:rPr>
          </w:pPr>
          <w:hyperlink w:anchor="_Toc79490193" w:history="1">
            <w:r w:rsidR="00F25866" w:rsidRPr="00B67194">
              <w:rPr>
                <w:rStyle w:val="Hyperlink"/>
                <w:noProof/>
              </w:rPr>
              <w:t>7.1d    Minimising contamination</w:t>
            </w:r>
            <w:r w:rsidR="00F25866">
              <w:rPr>
                <w:noProof/>
                <w:webHidden/>
              </w:rPr>
              <w:tab/>
            </w:r>
            <w:r w:rsidR="00F25866">
              <w:rPr>
                <w:noProof/>
                <w:webHidden/>
              </w:rPr>
              <w:fldChar w:fldCharType="begin"/>
            </w:r>
            <w:r w:rsidR="00F25866">
              <w:rPr>
                <w:noProof/>
                <w:webHidden/>
              </w:rPr>
              <w:instrText xml:space="preserve"> PAGEREF _Toc79490193 \h </w:instrText>
            </w:r>
            <w:r w:rsidR="00F25866">
              <w:rPr>
                <w:noProof/>
                <w:webHidden/>
              </w:rPr>
            </w:r>
            <w:r w:rsidR="00F25866">
              <w:rPr>
                <w:noProof/>
                <w:webHidden/>
              </w:rPr>
              <w:fldChar w:fldCharType="separate"/>
            </w:r>
            <w:r w:rsidR="00F25866">
              <w:rPr>
                <w:noProof/>
                <w:webHidden/>
              </w:rPr>
              <w:t>13</w:t>
            </w:r>
            <w:r w:rsidR="00F25866">
              <w:rPr>
                <w:noProof/>
                <w:webHidden/>
              </w:rPr>
              <w:fldChar w:fldCharType="end"/>
            </w:r>
          </w:hyperlink>
        </w:p>
        <w:p w14:paraId="0ED87340" w14:textId="0B842DA3" w:rsidR="00F25866" w:rsidRDefault="000150F9">
          <w:pPr>
            <w:pStyle w:val="TOC3"/>
            <w:tabs>
              <w:tab w:val="right" w:leader="dot" w:pos="9016"/>
            </w:tabs>
            <w:rPr>
              <w:rFonts w:eastAsiaTheme="minorEastAsia"/>
              <w:noProof/>
              <w:lang w:eastAsia="en-AU"/>
            </w:rPr>
          </w:pPr>
          <w:hyperlink w:anchor="_Toc79490194" w:history="1">
            <w:r w:rsidR="00F25866" w:rsidRPr="00B67194">
              <w:rPr>
                <w:rStyle w:val="Hyperlink"/>
                <w:noProof/>
              </w:rPr>
              <w:t>7.1e     Changing the frequency of waste collection services</w:t>
            </w:r>
            <w:r w:rsidR="00F25866">
              <w:rPr>
                <w:noProof/>
                <w:webHidden/>
              </w:rPr>
              <w:tab/>
            </w:r>
            <w:r w:rsidR="00F25866">
              <w:rPr>
                <w:noProof/>
                <w:webHidden/>
              </w:rPr>
              <w:fldChar w:fldCharType="begin"/>
            </w:r>
            <w:r w:rsidR="00F25866">
              <w:rPr>
                <w:noProof/>
                <w:webHidden/>
              </w:rPr>
              <w:instrText xml:space="preserve"> PAGEREF _Toc79490194 \h </w:instrText>
            </w:r>
            <w:r w:rsidR="00F25866">
              <w:rPr>
                <w:noProof/>
                <w:webHidden/>
              </w:rPr>
            </w:r>
            <w:r w:rsidR="00F25866">
              <w:rPr>
                <w:noProof/>
                <w:webHidden/>
              </w:rPr>
              <w:fldChar w:fldCharType="separate"/>
            </w:r>
            <w:r w:rsidR="00F25866">
              <w:rPr>
                <w:noProof/>
                <w:webHidden/>
              </w:rPr>
              <w:t>14</w:t>
            </w:r>
            <w:r w:rsidR="00F25866">
              <w:rPr>
                <w:noProof/>
                <w:webHidden/>
              </w:rPr>
              <w:fldChar w:fldCharType="end"/>
            </w:r>
          </w:hyperlink>
        </w:p>
        <w:p w14:paraId="20CA1D1E" w14:textId="6A623531" w:rsidR="00F25866" w:rsidRDefault="000150F9">
          <w:pPr>
            <w:pStyle w:val="TOC2"/>
            <w:tabs>
              <w:tab w:val="left" w:pos="880"/>
              <w:tab w:val="right" w:leader="dot" w:pos="9016"/>
            </w:tabs>
            <w:rPr>
              <w:rFonts w:eastAsiaTheme="minorEastAsia"/>
              <w:noProof/>
              <w:lang w:eastAsia="en-AU"/>
            </w:rPr>
          </w:pPr>
          <w:hyperlink w:anchor="_Toc79490195" w:history="1">
            <w:r w:rsidR="00F25866" w:rsidRPr="00B67194">
              <w:rPr>
                <w:rStyle w:val="Hyperlink"/>
                <w:noProof/>
              </w:rPr>
              <w:t>7.2</w:t>
            </w:r>
            <w:r w:rsidR="00F25866">
              <w:rPr>
                <w:rFonts w:eastAsiaTheme="minorEastAsia"/>
                <w:noProof/>
                <w:lang w:eastAsia="en-AU"/>
              </w:rPr>
              <w:tab/>
            </w:r>
            <w:r w:rsidR="00F25866" w:rsidRPr="00B67194">
              <w:rPr>
                <w:rStyle w:val="Hyperlink"/>
                <w:noProof/>
              </w:rPr>
              <w:t>Objectives</w:t>
            </w:r>
            <w:r w:rsidR="00F25866">
              <w:rPr>
                <w:noProof/>
                <w:webHidden/>
              </w:rPr>
              <w:tab/>
            </w:r>
            <w:r w:rsidR="00F25866">
              <w:rPr>
                <w:noProof/>
                <w:webHidden/>
              </w:rPr>
              <w:fldChar w:fldCharType="begin"/>
            </w:r>
            <w:r w:rsidR="00F25866">
              <w:rPr>
                <w:noProof/>
                <w:webHidden/>
              </w:rPr>
              <w:instrText xml:space="preserve"> PAGEREF _Toc79490195 \h </w:instrText>
            </w:r>
            <w:r w:rsidR="00F25866">
              <w:rPr>
                <w:noProof/>
                <w:webHidden/>
              </w:rPr>
            </w:r>
            <w:r w:rsidR="00F25866">
              <w:rPr>
                <w:noProof/>
                <w:webHidden/>
              </w:rPr>
              <w:fldChar w:fldCharType="separate"/>
            </w:r>
            <w:r w:rsidR="00F25866">
              <w:rPr>
                <w:noProof/>
                <w:webHidden/>
              </w:rPr>
              <w:t>14</w:t>
            </w:r>
            <w:r w:rsidR="00F25866">
              <w:rPr>
                <w:noProof/>
                <w:webHidden/>
              </w:rPr>
              <w:fldChar w:fldCharType="end"/>
            </w:r>
          </w:hyperlink>
        </w:p>
        <w:p w14:paraId="04CBCA97" w14:textId="46CFDF57" w:rsidR="00F25866" w:rsidRDefault="000150F9">
          <w:pPr>
            <w:pStyle w:val="TOC2"/>
            <w:tabs>
              <w:tab w:val="right" w:leader="dot" w:pos="9016"/>
            </w:tabs>
            <w:rPr>
              <w:rFonts w:eastAsiaTheme="minorEastAsia"/>
              <w:noProof/>
              <w:lang w:eastAsia="en-AU"/>
            </w:rPr>
          </w:pPr>
          <w:hyperlink w:anchor="_Toc79490196" w:history="1">
            <w:r w:rsidR="00F25866" w:rsidRPr="00B67194">
              <w:rPr>
                <w:rStyle w:val="Hyperlink"/>
                <w:noProof/>
              </w:rPr>
              <w:t>7.3 Approaches from other jurisdictions</w:t>
            </w:r>
            <w:r w:rsidR="00F25866">
              <w:rPr>
                <w:noProof/>
                <w:webHidden/>
              </w:rPr>
              <w:tab/>
            </w:r>
            <w:r w:rsidR="00F25866">
              <w:rPr>
                <w:noProof/>
                <w:webHidden/>
              </w:rPr>
              <w:fldChar w:fldCharType="begin"/>
            </w:r>
            <w:r w:rsidR="00F25866">
              <w:rPr>
                <w:noProof/>
                <w:webHidden/>
              </w:rPr>
              <w:instrText xml:space="preserve"> PAGEREF _Toc79490196 \h </w:instrText>
            </w:r>
            <w:r w:rsidR="00F25866">
              <w:rPr>
                <w:noProof/>
                <w:webHidden/>
              </w:rPr>
            </w:r>
            <w:r w:rsidR="00F25866">
              <w:rPr>
                <w:noProof/>
                <w:webHidden/>
              </w:rPr>
              <w:fldChar w:fldCharType="separate"/>
            </w:r>
            <w:r w:rsidR="00F25866">
              <w:rPr>
                <w:noProof/>
                <w:webHidden/>
              </w:rPr>
              <w:t>15</w:t>
            </w:r>
            <w:r w:rsidR="00F25866">
              <w:rPr>
                <w:noProof/>
                <w:webHidden/>
              </w:rPr>
              <w:fldChar w:fldCharType="end"/>
            </w:r>
          </w:hyperlink>
        </w:p>
        <w:p w14:paraId="1927A94C" w14:textId="3AACD1A4" w:rsidR="00F25866" w:rsidRDefault="000150F9">
          <w:pPr>
            <w:pStyle w:val="TOC2"/>
            <w:tabs>
              <w:tab w:val="right" w:leader="dot" w:pos="9016"/>
            </w:tabs>
            <w:rPr>
              <w:rFonts w:eastAsiaTheme="minorEastAsia"/>
              <w:noProof/>
              <w:lang w:eastAsia="en-AU"/>
            </w:rPr>
          </w:pPr>
          <w:hyperlink w:anchor="_Toc79490197" w:history="1">
            <w:r w:rsidR="00F25866" w:rsidRPr="00B67194">
              <w:rPr>
                <w:rStyle w:val="Hyperlink"/>
                <w:noProof/>
              </w:rPr>
              <w:t>7.4 Options</w:t>
            </w:r>
            <w:r w:rsidR="00F25866">
              <w:rPr>
                <w:noProof/>
                <w:webHidden/>
              </w:rPr>
              <w:tab/>
            </w:r>
            <w:r w:rsidR="00F25866">
              <w:rPr>
                <w:noProof/>
                <w:webHidden/>
              </w:rPr>
              <w:fldChar w:fldCharType="begin"/>
            </w:r>
            <w:r w:rsidR="00F25866">
              <w:rPr>
                <w:noProof/>
                <w:webHidden/>
              </w:rPr>
              <w:instrText xml:space="preserve"> PAGEREF _Toc79490197 \h </w:instrText>
            </w:r>
            <w:r w:rsidR="00F25866">
              <w:rPr>
                <w:noProof/>
                <w:webHidden/>
              </w:rPr>
            </w:r>
            <w:r w:rsidR="00F25866">
              <w:rPr>
                <w:noProof/>
                <w:webHidden/>
              </w:rPr>
              <w:fldChar w:fldCharType="separate"/>
            </w:r>
            <w:r w:rsidR="00F25866">
              <w:rPr>
                <w:noProof/>
                <w:webHidden/>
              </w:rPr>
              <w:t>16</w:t>
            </w:r>
            <w:r w:rsidR="00F25866">
              <w:rPr>
                <w:noProof/>
                <w:webHidden/>
              </w:rPr>
              <w:fldChar w:fldCharType="end"/>
            </w:r>
          </w:hyperlink>
        </w:p>
        <w:p w14:paraId="2196830E" w14:textId="0BEFCB00" w:rsidR="00F25866" w:rsidRDefault="000150F9">
          <w:pPr>
            <w:pStyle w:val="TOC2"/>
            <w:tabs>
              <w:tab w:val="right" w:leader="dot" w:pos="9016"/>
            </w:tabs>
            <w:rPr>
              <w:rFonts w:eastAsiaTheme="minorEastAsia"/>
              <w:noProof/>
              <w:lang w:eastAsia="en-AU"/>
            </w:rPr>
          </w:pPr>
          <w:hyperlink w:anchor="_Toc79490198" w:history="1">
            <w:r w:rsidR="00F25866" w:rsidRPr="00B67194">
              <w:rPr>
                <w:rStyle w:val="Hyperlink"/>
                <w:noProof/>
              </w:rPr>
              <w:t>7.5 Summary of amendments</w:t>
            </w:r>
            <w:r w:rsidR="00F25866">
              <w:rPr>
                <w:noProof/>
                <w:webHidden/>
              </w:rPr>
              <w:tab/>
            </w:r>
            <w:r w:rsidR="00F25866">
              <w:rPr>
                <w:noProof/>
                <w:webHidden/>
              </w:rPr>
              <w:fldChar w:fldCharType="begin"/>
            </w:r>
            <w:r w:rsidR="00F25866">
              <w:rPr>
                <w:noProof/>
                <w:webHidden/>
              </w:rPr>
              <w:instrText xml:space="preserve"> PAGEREF _Toc79490198 \h </w:instrText>
            </w:r>
            <w:r w:rsidR="00F25866">
              <w:rPr>
                <w:noProof/>
                <w:webHidden/>
              </w:rPr>
            </w:r>
            <w:r w:rsidR="00F25866">
              <w:rPr>
                <w:noProof/>
                <w:webHidden/>
              </w:rPr>
              <w:fldChar w:fldCharType="separate"/>
            </w:r>
            <w:r w:rsidR="00F25866">
              <w:rPr>
                <w:noProof/>
                <w:webHidden/>
              </w:rPr>
              <w:t>16</w:t>
            </w:r>
            <w:r w:rsidR="00F25866">
              <w:rPr>
                <w:noProof/>
                <w:webHidden/>
              </w:rPr>
              <w:fldChar w:fldCharType="end"/>
            </w:r>
          </w:hyperlink>
        </w:p>
        <w:p w14:paraId="262E7DA3" w14:textId="23E18E04" w:rsidR="00F25866" w:rsidRDefault="000150F9">
          <w:pPr>
            <w:pStyle w:val="TOC2"/>
            <w:tabs>
              <w:tab w:val="right" w:leader="dot" w:pos="9016"/>
            </w:tabs>
            <w:rPr>
              <w:rFonts w:eastAsiaTheme="minorEastAsia"/>
              <w:noProof/>
              <w:lang w:eastAsia="en-AU"/>
            </w:rPr>
          </w:pPr>
          <w:hyperlink w:anchor="_Toc79490199" w:history="1">
            <w:r w:rsidR="00F25866" w:rsidRPr="00B67194">
              <w:rPr>
                <w:rStyle w:val="Hyperlink"/>
                <w:noProof/>
              </w:rPr>
              <w:t>7.6 Consideration of human rights</w:t>
            </w:r>
            <w:r w:rsidR="00F25866">
              <w:rPr>
                <w:noProof/>
                <w:webHidden/>
              </w:rPr>
              <w:tab/>
            </w:r>
            <w:r w:rsidR="00F25866">
              <w:rPr>
                <w:noProof/>
                <w:webHidden/>
              </w:rPr>
              <w:fldChar w:fldCharType="begin"/>
            </w:r>
            <w:r w:rsidR="00F25866">
              <w:rPr>
                <w:noProof/>
                <w:webHidden/>
              </w:rPr>
              <w:instrText xml:space="preserve"> PAGEREF _Toc79490199 \h </w:instrText>
            </w:r>
            <w:r w:rsidR="00F25866">
              <w:rPr>
                <w:noProof/>
                <w:webHidden/>
              </w:rPr>
            </w:r>
            <w:r w:rsidR="00F25866">
              <w:rPr>
                <w:noProof/>
                <w:webHidden/>
              </w:rPr>
              <w:fldChar w:fldCharType="separate"/>
            </w:r>
            <w:r w:rsidR="00F25866">
              <w:rPr>
                <w:noProof/>
                <w:webHidden/>
              </w:rPr>
              <w:t>17</w:t>
            </w:r>
            <w:r w:rsidR="00F25866">
              <w:rPr>
                <w:noProof/>
                <w:webHidden/>
              </w:rPr>
              <w:fldChar w:fldCharType="end"/>
            </w:r>
          </w:hyperlink>
        </w:p>
        <w:p w14:paraId="6096AFFA" w14:textId="5F705DF7" w:rsidR="00F25866" w:rsidRDefault="000150F9">
          <w:pPr>
            <w:pStyle w:val="TOC2"/>
            <w:tabs>
              <w:tab w:val="right" w:leader="dot" w:pos="9016"/>
            </w:tabs>
            <w:rPr>
              <w:rFonts w:eastAsiaTheme="minorEastAsia"/>
              <w:noProof/>
              <w:lang w:eastAsia="en-AU"/>
            </w:rPr>
          </w:pPr>
          <w:hyperlink w:anchor="_Toc79490200" w:history="1">
            <w:r w:rsidR="00F25866" w:rsidRPr="00B67194">
              <w:rPr>
                <w:rStyle w:val="Hyperlink"/>
                <w:noProof/>
              </w:rPr>
              <w:t>7.7 Impact and cost-benefit analysis</w:t>
            </w:r>
            <w:r w:rsidR="00F25866">
              <w:rPr>
                <w:noProof/>
                <w:webHidden/>
              </w:rPr>
              <w:tab/>
            </w:r>
            <w:r w:rsidR="00F25866">
              <w:rPr>
                <w:noProof/>
                <w:webHidden/>
              </w:rPr>
              <w:fldChar w:fldCharType="begin"/>
            </w:r>
            <w:r w:rsidR="00F25866">
              <w:rPr>
                <w:noProof/>
                <w:webHidden/>
              </w:rPr>
              <w:instrText xml:space="preserve"> PAGEREF _Toc79490200 \h </w:instrText>
            </w:r>
            <w:r w:rsidR="00F25866">
              <w:rPr>
                <w:noProof/>
                <w:webHidden/>
              </w:rPr>
            </w:r>
            <w:r w:rsidR="00F25866">
              <w:rPr>
                <w:noProof/>
                <w:webHidden/>
              </w:rPr>
              <w:fldChar w:fldCharType="separate"/>
            </w:r>
            <w:r w:rsidR="00F25866">
              <w:rPr>
                <w:noProof/>
                <w:webHidden/>
              </w:rPr>
              <w:t>18</w:t>
            </w:r>
            <w:r w:rsidR="00F25866">
              <w:rPr>
                <w:noProof/>
                <w:webHidden/>
              </w:rPr>
              <w:fldChar w:fldCharType="end"/>
            </w:r>
          </w:hyperlink>
        </w:p>
        <w:p w14:paraId="0FE9FAE4" w14:textId="5154CA84" w:rsidR="00F25866" w:rsidRDefault="000150F9">
          <w:pPr>
            <w:pStyle w:val="TOC1"/>
            <w:tabs>
              <w:tab w:val="left" w:pos="440"/>
              <w:tab w:val="right" w:leader="dot" w:pos="9016"/>
            </w:tabs>
            <w:rPr>
              <w:rFonts w:eastAsiaTheme="minorEastAsia"/>
              <w:noProof/>
              <w:lang w:eastAsia="en-AU"/>
            </w:rPr>
          </w:pPr>
          <w:hyperlink w:anchor="_Toc79490201" w:history="1">
            <w:r w:rsidR="00F25866" w:rsidRPr="00B67194">
              <w:rPr>
                <w:rStyle w:val="Hyperlink"/>
                <w:noProof/>
              </w:rPr>
              <w:t>8.</w:t>
            </w:r>
            <w:r w:rsidR="00F25866">
              <w:rPr>
                <w:rFonts w:eastAsiaTheme="minorEastAsia"/>
                <w:noProof/>
                <w:lang w:eastAsia="en-AU"/>
              </w:rPr>
              <w:tab/>
            </w:r>
            <w:r w:rsidR="00F25866" w:rsidRPr="00B67194">
              <w:rPr>
                <w:rStyle w:val="Hyperlink"/>
                <w:noProof/>
              </w:rPr>
              <w:t>Clarifying kerbside container management</w:t>
            </w:r>
            <w:r w:rsidR="00F25866">
              <w:rPr>
                <w:noProof/>
                <w:webHidden/>
              </w:rPr>
              <w:tab/>
            </w:r>
            <w:r w:rsidR="00F25866">
              <w:rPr>
                <w:noProof/>
                <w:webHidden/>
              </w:rPr>
              <w:fldChar w:fldCharType="begin"/>
            </w:r>
            <w:r w:rsidR="00F25866">
              <w:rPr>
                <w:noProof/>
                <w:webHidden/>
              </w:rPr>
              <w:instrText xml:space="preserve"> PAGEREF _Toc79490201 \h </w:instrText>
            </w:r>
            <w:r w:rsidR="00F25866">
              <w:rPr>
                <w:noProof/>
                <w:webHidden/>
              </w:rPr>
            </w:r>
            <w:r w:rsidR="00F25866">
              <w:rPr>
                <w:noProof/>
                <w:webHidden/>
              </w:rPr>
              <w:fldChar w:fldCharType="separate"/>
            </w:r>
            <w:r w:rsidR="00F25866">
              <w:rPr>
                <w:noProof/>
                <w:webHidden/>
              </w:rPr>
              <w:t>19</w:t>
            </w:r>
            <w:r w:rsidR="00F25866">
              <w:rPr>
                <w:noProof/>
                <w:webHidden/>
              </w:rPr>
              <w:fldChar w:fldCharType="end"/>
            </w:r>
          </w:hyperlink>
        </w:p>
        <w:p w14:paraId="1E4AB3FA" w14:textId="17C2EC5B" w:rsidR="00F25866" w:rsidRDefault="000150F9">
          <w:pPr>
            <w:pStyle w:val="TOC2"/>
            <w:tabs>
              <w:tab w:val="right" w:leader="dot" w:pos="9016"/>
            </w:tabs>
            <w:rPr>
              <w:rFonts w:eastAsiaTheme="minorEastAsia"/>
              <w:noProof/>
              <w:lang w:eastAsia="en-AU"/>
            </w:rPr>
          </w:pPr>
          <w:hyperlink w:anchor="_Toc79490202" w:history="1">
            <w:r w:rsidR="00F25866" w:rsidRPr="00B67194">
              <w:rPr>
                <w:rStyle w:val="Hyperlink"/>
                <w:noProof/>
              </w:rPr>
              <w:t>8.1 Problem</w:t>
            </w:r>
            <w:r w:rsidR="00F25866">
              <w:rPr>
                <w:noProof/>
                <w:webHidden/>
              </w:rPr>
              <w:tab/>
            </w:r>
            <w:r w:rsidR="00F25866">
              <w:rPr>
                <w:noProof/>
                <w:webHidden/>
              </w:rPr>
              <w:fldChar w:fldCharType="begin"/>
            </w:r>
            <w:r w:rsidR="00F25866">
              <w:rPr>
                <w:noProof/>
                <w:webHidden/>
              </w:rPr>
              <w:instrText xml:space="preserve"> PAGEREF _Toc79490202 \h </w:instrText>
            </w:r>
            <w:r w:rsidR="00F25866">
              <w:rPr>
                <w:noProof/>
                <w:webHidden/>
              </w:rPr>
            </w:r>
            <w:r w:rsidR="00F25866">
              <w:rPr>
                <w:noProof/>
                <w:webHidden/>
              </w:rPr>
              <w:fldChar w:fldCharType="separate"/>
            </w:r>
            <w:r w:rsidR="00F25866">
              <w:rPr>
                <w:noProof/>
                <w:webHidden/>
              </w:rPr>
              <w:t>19</w:t>
            </w:r>
            <w:r w:rsidR="00F25866">
              <w:rPr>
                <w:noProof/>
                <w:webHidden/>
              </w:rPr>
              <w:fldChar w:fldCharType="end"/>
            </w:r>
          </w:hyperlink>
        </w:p>
        <w:p w14:paraId="32E74BAC" w14:textId="64FE5ABB" w:rsidR="00F25866" w:rsidRDefault="000150F9">
          <w:pPr>
            <w:pStyle w:val="TOC3"/>
            <w:tabs>
              <w:tab w:val="right" w:leader="dot" w:pos="9016"/>
            </w:tabs>
            <w:rPr>
              <w:rFonts w:eastAsiaTheme="minorEastAsia"/>
              <w:noProof/>
              <w:lang w:eastAsia="en-AU"/>
            </w:rPr>
          </w:pPr>
          <w:hyperlink w:anchor="_Toc79490203" w:history="1">
            <w:r w:rsidR="00F25866" w:rsidRPr="00B67194">
              <w:rPr>
                <w:rStyle w:val="Hyperlink"/>
                <w:noProof/>
              </w:rPr>
              <w:t>8.1a Bin-diving</w:t>
            </w:r>
            <w:r w:rsidR="00F25866">
              <w:rPr>
                <w:noProof/>
                <w:webHidden/>
              </w:rPr>
              <w:tab/>
            </w:r>
            <w:r w:rsidR="00F25866">
              <w:rPr>
                <w:noProof/>
                <w:webHidden/>
              </w:rPr>
              <w:fldChar w:fldCharType="begin"/>
            </w:r>
            <w:r w:rsidR="00F25866">
              <w:rPr>
                <w:noProof/>
                <w:webHidden/>
              </w:rPr>
              <w:instrText xml:space="preserve"> PAGEREF _Toc79490203 \h </w:instrText>
            </w:r>
            <w:r w:rsidR="00F25866">
              <w:rPr>
                <w:noProof/>
                <w:webHidden/>
              </w:rPr>
            </w:r>
            <w:r w:rsidR="00F25866">
              <w:rPr>
                <w:noProof/>
                <w:webHidden/>
              </w:rPr>
              <w:fldChar w:fldCharType="separate"/>
            </w:r>
            <w:r w:rsidR="00F25866">
              <w:rPr>
                <w:noProof/>
                <w:webHidden/>
              </w:rPr>
              <w:t>20</w:t>
            </w:r>
            <w:r w:rsidR="00F25866">
              <w:rPr>
                <w:noProof/>
                <w:webHidden/>
              </w:rPr>
              <w:fldChar w:fldCharType="end"/>
            </w:r>
          </w:hyperlink>
        </w:p>
        <w:p w14:paraId="6E4ED4C2" w14:textId="62556509" w:rsidR="00F25866" w:rsidRDefault="000150F9">
          <w:pPr>
            <w:pStyle w:val="TOC3"/>
            <w:tabs>
              <w:tab w:val="right" w:leader="dot" w:pos="9016"/>
            </w:tabs>
            <w:rPr>
              <w:rFonts w:eastAsiaTheme="minorEastAsia"/>
              <w:noProof/>
              <w:lang w:eastAsia="en-AU"/>
            </w:rPr>
          </w:pPr>
          <w:hyperlink w:anchor="_Toc79490204" w:history="1">
            <w:r w:rsidR="00F25866" w:rsidRPr="00B67194">
              <w:rPr>
                <w:rStyle w:val="Hyperlink"/>
                <w:noProof/>
              </w:rPr>
              <w:t>8.1b Health and safety incidents related to kerbside container management</w:t>
            </w:r>
            <w:r w:rsidR="00F25866">
              <w:rPr>
                <w:noProof/>
                <w:webHidden/>
              </w:rPr>
              <w:tab/>
            </w:r>
            <w:r w:rsidR="00F25866">
              <w:rPr>
                <w:noProof/>
                <w:webHidden/>
              </w:rPr>
              <w:fldChar w:fldCharType="begin"/>
            </w:r>
            <w:r w:rsidR="00F25866">
              <w:rPr>
                <w:noProof/>
                <w:webHidden/>
              </w:rPr>
              <w:instrText xml:space="preserve"> PAGEREF _Toc79490204 \h </w:instrText>
            </w:r>
            <w:r w:rsidR="00F25866">
              <w:rPr>
                <w:noProof/>
                <w:webHidden/>
              </w:rPr>
            </w:r>
            <w:r w:rsidR="00F25866">
              <w:rPr>
                <w:noProof/>
                <w:webHidden/>
              </w:rPr>
              <w:fldChar w:fldCharType="separate"/>
            </w:r>
            <w:r w:rsidR="00F25866">
              <w:rPr>
                <w:noProof/>
                <w:webHidden/>
              </w:rPr>
              <w:t>21</w:t>
            </w:r>
            <w:r w:rsidR="00F25866">
              <w:rPr>
                <w:noProof/>
                <w:webHidden/>
              </w:rPr>
              <w:fldChar w:fldCharType="end"/>
            </w:r>
          </w:hyperlink>
        </w:p>
        <w:p w14:paraId="6144F70F" w14:textId="72034B41" w:rsidR="00F25866" w:rsidRDefault="000150F9">
          <w:pPr>
            <w:pStyle w:val="TOC2"/>
            <w:tabs>
              <w:tab w:val="right" w:leader="dot" w:pos="9016"/>
            </w:tabs>
            <w:rPr>
              <w:rFonts w:eastAsiaTheme="minorEastAsia"/>
              <w:noProof/>
              <w:lang w:eastAsia="en-AU"/>
            </w:rPr>
          </w:pPr>
          <w:hyperlink w:anchor="_Toc79490205" w:history="1">
            <w:r w:rsidR="00F25866" w:rsidRPr="00B67194">
              <w:rPr>
                <w:rStyle w:val="Hyperlink"/>
                <w:noProof/>
              </w:rPr>
              <w:t>8.2 Objectives</w:t>
            </w:r>
            <w:r w:rsidR="00F25866">
              <w:rPr>
                <w:noProof/>
                <w:webHidden/>
              </w:rPr>
              <w:tab/>
            </w:r>
            <w:r w:rsidR="00F25866">
              <w:rPr>
                <w:noProof/>
                <w:webHidden/>
              </w:rPr>
              <w:fldChar w:fldCharType="begin"/>
            </w:r>
            <w:r w:rsidR="00F25866">
              <w:rPr>
                <w:noProof/>
                <w:webHidden/>
              </w:rPr>
              <w:instrText xml:space="preserve"> PAGEREF _Toc79490205 \h </w:instrText>
            </w:r>
            <w:r w:rsidR="00F25866">
              <w:rPr>
                <w:noProof/>
                <w:webHidden/>
              </w:rPr>
            </w:r>
            <w:r w:rsidR="00F25866">
              <w:rPr>
                <w:noProof/>
                <w:webHidden/>
              </w:rPr>
              <w:fldChar w:fldCharType="separate"/>
            </w:r>
            <w:r w:rsidR="00F25866">
              <w:rPr>
                <w:noProof/>
                <w:webHidden/>
              </w:rPr>
              <w:t>24</w:t>
            </w:r>
            <w:r w:rsidR="00F25866">
              <w:rPr>
                <w:noProof/>
                <w:webHidden/>
              </w:rPr>
              <w:fldChar w:fldCharType="end"/>
            </w:r>
          </w:hyperlink>
        </w:p>
        <w:p w14:paraId="2DC6D989" w14:textId="75ADB713" w:rsidR="00F25866" w:rsidRDefault="000150F9">
          <w:pPr>
            <w:pStyle w:val="TOC2"/>
            <w:tabs>
              <w:tab w:val="right" w:leader="dot" w:pos="9016"/>
            </w:tabs>
            <w:rPr>
              <w:rFonts w:eastAsiaTheme="minorEastAsia"/>
              <w:noProof/>
              <w:lang w:eastAsia="en-AU"/>
            </w:rPr>
          </w:pPr>
          <w:hyperlink w:anchor="_Toc79490206" w:history="1">
            <w:r w:rsidR="00F25866" w:rsidRPr="00B67194">
              <w:rPr>
                <w:rStyle w:val="Hyperlink"/>
                <w:noProof/>
              </w:rPr>
              <w:t>8.3 Approaches from other jurisdictions</w:t>
            </w:r>
            <w:r w:rsidR="00F25866">
              <w:rPr>
                <w:noProof/>
                <w:webHidden/>
              </w:rPr>
              <w:tab/>
            </w:r>
            <w:r w:rsidR="00F25866">
              <w:rPr>
                <w:noProof/>
                <w:webHidden/>
              </w:rPr>
              <w:fldChar w:fldCharType="begin"/>
            </w:r>
            <w:r w:rsidR="00F25866">
              <w:rPr>
                <w:noProof/>
                <w:webHidden/>
              </w:rPr>
              <w:instrText xml:space="preserve"> PAGEREF _Toc79490206 \h </w:instrText>
            </w:r>
            <w:r w:rsidR="00F25866">
              <w:rPr>
                <w:noProof/>
                <w:webHidden/>
              </w:rPr>
            </w:r>
            <w:r w:rsidR="00F25866">
              <w:rPr>
                <w:noProof/>
                <w:webHidden/>
              </w:rPr>
              <w:fldChar w:fldCharType="separate"/>
            </w:r>
            <w:r w:rsidR="00F25866">
              <w:rPr>
                <w:noProof/>
                <w:webHidden/>
              </w:rPr>
              <w:t>24</w:t>
            </w:r>
            <w:r w:rsidR="00F25866">
              <w:rPr>
                <w:noProof/>
                <w:webHidden/>
              </w:rPr>
              <w:fldChar w:fldCharType="end"/>
            </w:r>
          </w:hyperlink>
        </w:p>
        <w:p w14:paraId="40942381" w14:textId="410D3CF7" w:rsidR="00F25866" w:rsidRDefault="000150F9">
          <w:pPr>
            <w:pStyle w:val="TOC2"/>
            <w:tabs>
              <w:tab w:val="right" w:leader="dot" w:pos="9016"/>
            </w:tabs>
            <w:rPr>
              <w:rFonts w:eastAsiaTheme="minorEastAsia"/>
              <w:noProof/>
              <w:lang w:eastAsia="en-AU"/>
            </w:rPr>
          </w:pPr>
          <w:hyperlink w:anchor="_Toc79490207" w:history="1">
            <w:r w:rsidR="00F25866" w:rsidRPr="00B67194">
              <w:rPr>
                <w:rStyle w:val="Hyperlink"/>
                <w:noProof/>
              </w:rPr>
              <w:t>8.4 Options</w:t>
            </w:r>
            <w:r w:rsidR="00F25866">
              <w:rPr>
                <w:noProof/>
                <w:webHidden/>
              </w:rPr>
              <w:tab/>
            </w:r>
            <w:r w:rsidR="00F25866">
              <w:rPr>
                <w:noProof/>
                <w:webHidden/>
              </w:rPr>
              <w:fldChar w:fldCharType="begin"/>
            </w:r>
            <w:r w:rsidR="00F25866">
              <w:rPr>
                <w:noProof/>
                <w:webHidden/>
              </w:rPr>
              <w:instrText xml:space="preserve"> PAGEREF _Toc79490207 \h </w:instrText>
            </w:r>
            <w:r w:rsidR="00F25866">
              <w:rPr>
                <w:noProof/>
                <w:webHidden/>
              </w:rPr>
            </w:r>
            <w:r w:rsidR="00F25866">
              <w:rPr>
                <w:noProof/>
                <w:webHidden/>
              </w:rPr>
              <w:fldChar w:fldCharType="separate"/>
            </w:r>
            <w:r w:rsidR="00F25866">
              <w:rPr>
                <w:noProof/>
                <w:webHidden/>
              </w:rPr>
              <w:t>25</w:t>
            </w:r>
            <w:r w:rsidR="00F25866">
              <w:rPr>
                <w:noProof/>
                <w:webHidden/>
              </w:rPr>
              <w:fldChar w:fldCharType="end"/>
            </w:r>
          </w:hyperlink>
        </w:p>
        <w:p w14:paraId="0E22D153" w14:textId="5B2A7A47" w:rsidR="00F25866" w:rsidRDefault="000150F9">
          <w:pPr>
            <w:pStyle w:val="TOC2"/>
            <w:tabs>
              <w:tab w:val="right" w:leader="dot" w:pos="9016"/>
            </w:tabs>
            <w:rPr>
              <w:rFonts w:eastAsiaTheme="minorEastAsia"/>
              <w:noProof/>
              <w:lang w:eastAsia="en-AU"/>
            </w:rPr>
          </w:pPr>
          <w:hyperlink w:anchor="_Toc79490208" w:history="1">
            <w:r w:rsidR="00F25866" w:rsidRPr="00B67194">
              <w:rPr>
                <w:rStyle w:val="Hyperlink"/>
                <w:noProof/>
              </w:rPr>
              <w:t>8.5 Summary of amendments</w:t>
            </w:r>
            <w:r w:rsidR="00F25866">
              <w:rPr>
                <w:noProof/>
                <w:webHidden/>
              </w:rPr>
              <w:tab/>
            </w:r>
            <w:r w:rsidR="00F25866">
              <w:rPr>
                <w:noProof/>
                <w:webHidden/>
              </w:rPr>
              <w:fldChar w:fldCharType="begin"/>
            </w:r>
            <w:r w:rsidR="00F25866">
              <w:rPr>
                <w:noProof/>
                <w:webHidden/>
              </w:rPr>
              <w:instrText xml:space="preserve"> PAGEREF _Toc79490208 \h </w:instrText>
            </w:r>
            <w:r w:rsidR="00F25866">
              <w:rPr>
                <w:noProof/>
                <w:webHidden/>
              </w:rPr>
            </w:r>
            <w:r w:rsidR="00F25866">
              <w:rPr>
                <w:noProof/>
                <w:webHidden/>
              </w:rPr>
              <w:fldChar w:fldCharType="separate"/>
            </w:r>
            <w:r w:rsidR="00F25866">
              <w:rPr>
                <w:noProof/>
                <w:webHidden/>
              </w:rPr>
              <w:t>26</w:t>
            </w:r>
            <w:r w:rsidR="00F25866">
              <w:rPr>
                <w:noProof/>
                <w:webHidden/>
              </w:rPr>
              <w:fldChar w:fldCharType="end"/>
            </w:r>
          </w:hyperlink>
        </w:p>
        <w:p w14:paraId="68C51F3D" w14:textId="6637612C" w:rsidR="00F25866" w:rsidRDefault="000150F9">
          <w:pPr>
            <w:pStyle w:val="TOC2"/>
            <w:tabs>
              <w:tab w:val="right" w:leader="dot" w:pos="9016"/>
            </w:tabs>
            <w:rPr>
              <w:rFonts w:eastAsiaTheme="minorEastAsia"/>
              <w:noProof/>
              <w:lang w:eastAsia="en-AU"/>
            </w:rPr>
          </w:pPr>
          <w:hyperlink w:anchor="_Toc79490209" w:history="1">
            <w:r w:rsidR="00F25866" w:rsidRPr="00B67194">
              <w:rPr>
                <w:rStyle w:val="Hyperlink"/>
                <w:noProof/>
              </w:rPr>
              <w:t>8.6 Consideration of human rights</w:t>
            </w:r>
            <w:r w:rsidR="00F25866">
              <w:rPr>
                <w:noProof/>
                <w:webHidden/>
              </w:rPr>
              <w:tab/>
            </w:r>
            <w:r w:rsidR="00F25866">
              <w:rPr>
                <w:noProof/>
                <w:webHidden/>
              </w:rPr>
              <w:fldChar w:fldCharType="begin"/>
            </w:r>
            <w:r w:rsidR="00F25866">
              <w:rPr>
                <w:noProof/>
                <w:webHidden/>
              </w:rPr>
              <w:instrText xml:space="preserve"> PAGEREF _Toc79490209 \h </w:instrText>
            </w:r>
            <w:r w:rsidR="00F25866">
              <w:rPr>
                <w:noProof/>
                <w:webHidden/>
              </w:rPr>
            </w:r>
            <w:r w:rsidR="00F25866">
              <w:rPr>
                <w:noProof/>
                <w:webHidden/>
              </w:rPr>
              <w:fldChar w:fldCharType="separate"/>
            </w:r>
            <w:r w:rsidR="00F25866">
              <w:rPr>
                <w:noProof/>
                <w:webHidden/>
              </w:rPr>
              <w:t>28</w:t>
            </w:r>
            <w:r w:rsidR="00F25866">
              <w:rPr>
                <w:noProof/>
                <w:webHidden/>
              </w:rPr>
              <w:fldChar w:fldCharType="end"/>
            </w:r>
          </w:hyperlink>
        </w:p>
        <w:p w14:paraId="6D4C48F0" w14:textId="342D0396" w:rsidR="00F25866" w:rsidRDefault="000150F9">
          <w:pPr>
            <w:pStyle w:val="TOC2"/>
            <w:tabs>
              <w:tab w:val="right" w:leader="dot" w:pos="9016"/>
            </w:tabs>
            <w:rPr>
              <w:rFonts w:eastAsiaTheme="minorEastAsia"/>
              <w:noProof/>
              <w:lang w:eastAsia="en-AU"/>
            </w:rPr>
          </w:pPr>
          <w:hyperlink w:anchor="_Toc79490210" w:history="1">
            <w:r w:rsidR="00F25866" w:rsidRPr="00B67194">
              <w:rPr>
                <w:rStyle w:val="Hyperlink"/>
                <w:noProof/>
              </w:rPr>
              <w:t>8.7 Impact and cost-benefit analysis</w:t>
            </w:r>
            <w:r w:rsidR="00F25866">
              <w:rPr>
                <w:noProof/>
                <w:webHidden/>
              </w:rPr>
              <w:tab/>
            </w:r>
            <w:r w:rsidR="00F25866">
              <w:rPr>
                <w:noProof/>
                <w:webHidden/>
              </w:rPr>
              <w:fldChar w:fldCharType="begin"/>
            </w:r>
            <w:r w:rsidR="00F25866">
              <w:rPr>
                <w:noProof/>
                <w:webHidden/>
              </w:rPr>
              <w:instrText xml:space="preserve"> PAGEREF _Toc79490210 \h </w:instrText>
            </w:r>
            <w:r w:rsidR="00F25866">
              <w:rPr>
                <w:noProof/>
                <w:webHidden/>
              </w:rPr>
            </w:r>
            <w:r w:rsidR="00F25866">
              <w:rPr>
                <w:noProof/>
                <w:webHidden/>
              </w:rPr>
              <w:fldChar w:fldCharType="separate"/>
            </w:r>
            <w:r w:rsidR="00F25866">
              <w:rPr>
                <w:noProof/>
                <w:webHidden/>
              </w:rPr>
              <w:t>28</w:t>
            </w:r>
            <w:r w:rsidR="00F25866">
              <w:rPr>
                <w:noProof/>
                <w:webHidden/>
              </w:rPr>
              <w:fldChar w:fldCharType="end"/>
            </w:r>
          </w:hyperlink>
        </w:p>
        <w:p w14:paraId="229720F7" w14:textId="4DC1B46A" w:rsidR="00F25866" w:rsidRDefault="000150F9">
          <w:pPr>
            <w:pStyle w:val="TOC1"/>
            <w:tabs>
              <w:tab w:val="left" w:pos="440"/>
              <w:tab w:val="right" w:leader="dot" w:pos="9016"/>
            </w:tabs>
            <w:rPr>
              <w:rFonts w:eastAsiaTheme="minorEastAsia"/>
              <w:noProof/>
              <w:lang w:eastAsia="en-AU"/>
            </w:rPr>
          </w:pPr>
          <w:hyperlink w:anchor="_Toc79490211" w:history="1">
            <w:r w:rsidR="00F25866" w:rsidRPr="00B67194">
              <w:rPr>
                <w:rStyle w:val="Hyperlink"/>
                <w:noProof/>
              </w:rPr>
              <w:t>9.</w:t>
            </w:r>
            <w:r w:rsidR="00F25866">
              <w:rPr>
                <w:rFonts w:eastAsiaTheme="minorEastAsia"/>
                <w:noProof/>
                <w:lang w:eastAsia="en-AU"/>
              </w:rPr>
              <w:tab/>
            </w:r>
            <w:r w:rsidR="00F25866" w:rsidRPr="00B67194">
              <w:rPr>
                <w:rStyle w:val="Hyperlink"/>
                <w:noProof/>
              </w:rPr>
              <w:t>Improving enforceability of appropriate uses of waste facilities</w:t>
            </w:r>
            <w:r w:rsidR="00F25866">
              <w:rPr>
                <w:noProof/>
                <w:webHidden/>
              </w:rPr>
              <w:tab/>
            </w:r>
            <w:r w:rsidR="00F25866">
              <w:rPr>
                <w:noProof/>
                <w:webHidden/>
              </w:rPr>
              <w:fldChar w:fldCharType="begin"/>
            </w:r>
            <w:r w:rsidR="00F25866">
              <w:rPr>
                <w:noProof/>
                <w:webHidden/>
              </w:rPr>
              <w:instrText xml:space="preserve"> PAGEREF _Toc79490211 \h </w:instrText>
            </w:r>
            <w:r w:rsidR="00F25866">
              <w:rPr>
                <w:noProof/>
                <w:webHidden/>
              </w:rPr>
            </w:r>
            <w:r w:rsidR="00F25866">
              <w:rPr>
                <w:noProof/>
                <w:webHidden/>
              </w:rPr>
              <w:fldChar w:fldCharType="separate"/>
            </w:r>
            <w:r w:rsidR="00F25866">
              <w:rPr>
                <w:noProof/>
                <w:webHidden/>
              </w:rPr>
              <w:t>30</w:t>
            </w:r>
            <w:r w:rsidR="00F25866">
              <w:rPr>
                <w:noProof/>
                <w:webHidden/>
              </w:rPr>
              <w:fldChar w:fldCharType="end"/>
            </w:r>
          </w:hyperlink>
        </w:p>
        <w:p w14:paraId="1AD86E49" w14:textId="5FE16575" w:rsidR="00F25866" w:rsidRDefault="000150F9">
          <w:pPr>
            <w:pStyle w:val="TOC2"/>
            <w:tabs>
              <w:tab w:val="left" w:pos="880"/>
              <w:tab w:val="right" w:leader="dot" w:pos="9016"/>
            </w:tabs>
            <w:rPr>
              <w:rFonts w:eastAsiaTheme="minorEastAsia"/>
              <w:noProof/>
              <w:lang w:eastAsia="en-AU"/>
            </w:rPr>
          </w:pPr>
          <w:hyperlink w:anchor="_Toc79490212" w:history="1">
            <w:r w:rsidR="00F25866" w:rsidRPr="00B67194">
              <w:rPr>
                <w:rStyle w:val="Hyperlink"/>
                <w:noProof/>
              </w:rPr>
              <w:t xml:space="preserve">9.1 </w:t>
            </w:r>
            <w:r w:rsidR="00F25866">
              <w:rPr>
                <w:rFonts w:eastAsiaTheme="minorEastAsia"/>
                <w:noProof/>
                <w:lang w:eastAsia="en-AU"/>
              </w:rPr>
              <w:tab/>
            </w:r>
            <w:r w:rsidR="00F25866" w:rsidRPr="00B67194">
              <w:rPr>
                <w:rStyle w:val="Hyperlink"/>
                <w:noProof/>
              </w:rPr>
              <w:t>Problem</w:t>
            </w:r>
            <w:r w:rsidR="00F25866">
              <w:rPr>
                <w:noProof/>
                <w:webHidden/>
              </w:rPr>
              <w:tab/>
            </w:r>
            <w:r w:rsidR="00F25866">
              <w:rPr>
                <w:noProof/>
                <w:webHidden/>
              </w:rPr>
              <w:fldChar w:fldCharType="begin"/>
            </w:r>
            <w:r w:rsidR="00F25866">
              <w:rPr>
                <w:noProof/>
                <w:webHidden/>
              </w:rPr>
              <w:instrText xml:space="preserve"> PAGEREF _Toc79490212 \h </w:instrText>
            </w:r>
            <w:r w:rsidR="00F25866">
              <w:rPr>
                <w:noProof/>
                <w:webHidden/>
              </w:rPr>
            </w:r>
            <w:r w:rsidR="00F25866">
              <w:rPr>
                <w:noProof/>
                <w:webHidden/>
              </w:rPr>
              <w:fldChar w:fldCharType="separate"/>
            </w:r>
            <w:r w:rsidR="00F25866">
              <w:rPr>
                <w:noProof/>
                <w:webHidden/>
              </w:rPr>
              <w:t>30</w:t>
            </w:r>
            <w:r w:rsidR="00F25866">
              <w:rPr>
                <w:noProof/>
                <w:webHidden/>
              </w:rPr>
              <w:fldChar w:fldCharType="end"/>
            </w:r>
          </w:hyperlink>
        </w:p>
        <w:p w14:paraId="7C0BB617" w14:textId="470118AB" w:rsidR="00F25866" w:rsidRDefault="000150F9">
          <w:pPr>
            <w:pStyle w:val="TOC3"/>
            <w:tabs>
              <w:tab w:val="right" w:leader="dot" w:pos="9016"/>
            </w:tabs>
            <w:rPr>
              <w:rFonts w:eastAsiaTheme="minorEastAsia"/>
              <w:noProof/>
              <w:lang w:eastAsia="en-AU"/>
            </w:rPr>
          </w:pPr>
          <w:hyperlink w:anchor="_Toc79490213" w:history="1">
            <w:r w:rsidR="00F25866" w:rsidRPr="00B67194">
              <w:rPr>
                <w:rStyle w:val="Hyperlink"/>
                <w:noProof/>
              </w:rPr>
              <w:t>9.1a Health and safety issues from offences at waste facilities</w:t>
            </w:r>
            <w:r w:rsidR="00F25866">
              <w:rPr>
                <w:noProof/>
                <w:webHidden/>
              </w:rPr>
              <w:tab/>
            </w:r>
            <w:r w:rsidR="00F25866">
              <w:rPr>
                <w:noProof/>
                <w:webHidden/>
              </w:rPr>
              <w:fldChar w:fldCharType="begin"/>
            </w:r>
            <w:r w:rsidR="00F25866">
              <w:rPr>
                <w:noProof/>
                <w:webHidden/>
              </w:rPr>
              <w:instrText xml:space="preserve"> PAGEREF _Toc79490213 \h </w:instrText>
            </w:r>
            <w:r w:rsidR="00F25866">
              <w:rPr>
                <w:noProof/>
                <w:webHidden/>
              </w:rPr>
            </w:r>
            <w:r w:rsidR="00F25866">
              <w:rPr>
                <w:noProof/>
                <w:webHidden/>
              </w:rPr>
              <w:fldChar w:fldCharType="separate"/>
            </w:r>
            <w:r w:rsidR="00F25866">
              <w:rPr>
                <w:noProof/>
                <w:webHidden/>
              </w:rPr>
              <w:t>30</w:t>
            </w:r>
            <w:r w:rsidR="00F25866">
              <w:rPr>
                <w:noProof/>
                <w:webHidden/>
              </w:rPr>
              <w:fldChar w:fldCharType="end"/>
            </w:r>
          </w:hyperlink>
        </w:p>
        <w:p w14:paraId="68558CCF" w14:textId="238842A7" w:rsidR="00F25866" w:rsidRDefault="000150F9">
          <w:pPr>
            <w:pStyle w:val="TOC3"/>
            <w:tabs>
              <w:tab w:val="right" w:leader="dot" w:pos="9016"/>
            </w:tabs>
            <w:rPr>
              <w:rFonts w:eastAsiaTheme="minorEastAsia"/>
              <w:noProof/>
              <w:lang w:eastAsia="en-AU"/>
            </w:rPr>
          </w:pPr>
          <w:hyperlink w:anchor="_Toc79490214" w:history="1">
            <w:r w:rsidR="00F25866" w:rsidRPr="00B67194">
              <w:rPr>
                <w:rStyle w:val="Hyperlink"/>
                <w:noProof/>
              </w:rPr>
              <w:t>9.1b Offences at unstaffed waste facilities</w:t>
            </w:r>
            <w:r w:rsidR="00F25866">
              <w:rPr>
                <w:noProof/>
                <w:webHidden/>
              </w:rPr>
              <w:tab/>
            </w:r>
            <w:r w:rsidR="00F25866">
              <w:rPr>
                <w:noProof/>
                <w:webHidden/>
              </w:rPr>
              <w:fldChar w:fldCharType="begin"/>
            </w:r>
            <w:r w:rsidR="00F25866">
              <w:rPr>
                <w:noProof/>
                <w:webHidden/>
              </w:rPr>
              <w:instrText xml:space="preserve"> PAGEREF _Toc79490214 \h </w:instrText>
            </w:r>
            <w:r w:rsidR="00F25866">
              <w:rPr>
                <w:noProof/>
                <w:webHidden/>
              </w:rPr>
            </w:r>
            <w:r w:rsidR="00F25866">
              <w:rPr>
                <w:noProof/>
                <w:webHidden/>
              </w:rPr>
              <w:fldChar w:fldCharType="separate"/>
            </w:r>
            <w:r w:rsidR="00F25866">
              <w:rPr>
                <w:noProof/>
                <w:webHidden/>
              </w:rPr>
              <w:t>32</w:t>
            </w:r>
            <w:r w:rsidR="00F25866">
              <w:rPr>
                <w:noProof/>
                <w:webHidden/>
              </w:rPr>
              <w:fldChar w:fldCharType="end"/>
            </w:r>
          </w:hyperlink>
        </w:p>
        <w:p w14:paraId="3507D62A" w14:textId="10F3FF5A" w:rsidR="00F25866" w:rsidRDefault="000150F9">
          <w:pPr>
            <w:pStyle w:val="TOC2"/>
            <w:tabs>
              <w:tab w:val="left" w:pos="880"/>
              <w:tab w:val="right" w:leader="dot" w:pos="9016"/>
            </w:tabs>
            <w:rPr>
              <w:rFonts w:eastAsiaTheme="minorEastAsia"/>
              <w:noProof/>
              <w:lang w:eastAsia="en-AU"/>
            </w:rPr>
          </w:pPr>
          <w:hyperlink w:anchor="_Toc79490215" w:history="1">
            <w:r w:rsidR="00F25866" w:rsidRPr="00B67194">
              <w:rPr>
                <w:rStyle w:val="Hyperlink"/>
                <w:noProof/>
              </w:rPr>
              <w:t xml:space="preserve">9.2 </w:t>
            </w:r>
            <w:r w:rsidR="00F25866">
              <w:rPr>
                <w:rFonts w:eastAsiaTheme="minorEastAsia"/>
                <w:noProof/>
                <w:lang w:eastAsia="en-AU"/>
              </w:rPr>
              <w:tab/>
            </w:r>
            <w:r w:rsidR="00F25866" w:rsidRPr="00B67194">
              <w:rPr>
                <w:rStyle w:val="Hyperlink"/>
                <w:noProof/>
              </w:rPr>
              <w:t>Objectives</w:t>
            </w:r>
            <w:r w:rsidR="00F25866">
              <w:rPr>
                <w:noProof/>
                <w:webHidden/>
              </w:rPr>
              <w:tab/>
            </w:r>
            <w:r w:rsidR="00F25866">
              <w:rPr>
                <w:noProof/>
                <w:webHidden/>
              </w:rPr>
              <w:fldChar w:fldCharType="begin"/>
            </w:r>
            <w:r w:rsidR="00F25866">
              <w:rPr>
                <w:noProof/>
                <w:webHidden/>
              </w:rPr>
              <w:instrText xml:space="preserve"> PAGEREF _Toc79490215 \h </w:instrText>
            </w:r>
            <w:r w:rsidR="00F25866">
              <w:rPr>
                <w:noProof/>
                <w:webHidden/>
              </w:rPr>
            </w:r>
            <w:r w:rsidR="00F25866">
              <w:rPr>
                <w:noProof/>
                <w:webHidden/>
              </w:rPr>
              <w:fldChar w:fldCharType="separate"/>
            </w:r>
            <w:r w:rsidR="00F25866">
              <w:rPr>
                <w:noProof/>
                <w:webHidden/>
              </w:rPr>
              <w:t>34</w:t>
            </w:r>
            <w:r w:rsidR="00F25866">
              <w:rPr>
                <w:noProof/>
                <w:webHidden/>
              </w:rPr>
              <w:fldChar w:fldCharType="end"/>
            </w:r>
          </w:hyperlink>
        </w:p>
        <w:p w14:paraId="08AFD17E" w14:textId="7B43B456" w:rsidR="00F25866" w:rsidRDefault="000150F9">
          <w:pPr>
            <w:pStyle w:val="TOC2"/>
            <w:tabs>
              <w:tab w:val="left" w:pos="880"/>
              <w:tab w:val="right" w:leader="dot" w:pos="9016"/>
            </w:tabs>
            <w:rPr>
              <w:rFonts w:eastAsiaTheme="minorEastAsia"/>
              <w:noProof/>
              <w:lang w:eastAsia="en-AU"/>
            </w:rPr>
          </w:pPr>
          <w:hyperlink w:anchor="_Toc79490216" w:history="1">
            <w:r w:rsidR="00F25866" w:rsidRPr="00B67194">
              <w:rPr>
                <w:rStyle w:val="Hyperlink"/>
                <w:noProof/>
              </w:rPr>
              <w:t xml:space="preserve">9.3 </w:t>
            </w:r>
            <w:r w:rsidR="00F25866">
              <w:rPr>
                <w:rFonts w:eastAsiaTheme="minorEastAsia"/>
                <w:noProof/>
                <w:lang w:eastAsia="en-AU"/>
              </w:rPr>
              <w:tab/>
            </w:r>
            <w:r w:rsidR="00F25866" w:rsidRPr="00B67194">
              <w:rPr>
                <w:rStyle w:val="Hyperlink"/>
                <w:noProof/>
              </w:rPr>
              <w:t>Approaches from other jurisdictions</w:t>
            </w:r>
            <w:r w:rsidR="00F25866">
              <w:rPr>
                <w:noProof/>
                <w:webHidden/>
              </w:rPr>
              <w:tab/>
            </w:r>
            <w:r w:rsidR="00F25866">
              <w:rPr>
                <w:noProof/>
                <w:webHidden/>
              </w:rPr>
              <w:fldChar w:fldCharType="begin"/>
            </w:r>
            <w:r w:rsidR="00F25866">
              <w:rPr>
                <w:noProof/>
                <w:webHidden/>
              </w:rPr>
              <w:instrText xml:space="preserve"> PAGEREF _Toc79490216 \h </w:instrText>
            </w:r>
            <w:r w:rsidR="00F25866">
              <w:rPr>
                <w:noProof/>
                <w:webHidden/>
              </w:rPr>
            </w:r>
            <w:r w:rsidR="00F25866">
              <w:rPr>
                <w:noProof/>
                <w:webHidden/>
              </w:rPr>
              <w:fldChar w:fldCharType="separate"/>
            </w:r>
            <w:r w:rsidR="00F25866">
              <w:rPr>
                <w:noProof/>
                <w:webHidden/>
              </w:rPr>
              <w:t>34</w:t>
            </w:r>
            <w:r w:rsidR="00F25866">
              <w:rPr>
                <w:noProof/>
                <w:webHidden/>
              </w:rPr>
              <w:fldChar w:fldCharType="end"/>
            </w:r>
          </w:hyperlink>
        </w:p>
        <w:p w14:paraId="5C048625" w14:textId="69A40616" w:rsidR="00F25866" w:rsidRDefault="000150F9">
          <w:pPr>
            <w:pStyle w:val="TOC2"/>
            <w:tabs>
              <w:tab w:val="left" w:pos="880"/>
              <w:tab w:val="right" w:leader="dot" w:pos="9016"/>
            </w:tabs>
            <w:rPr>
              <w:rFonts w:eastAsiaTheme="minorEastAsia"/>
              <w:noProof/>
              <w:lang w:eastAsia="en-AU"/>
            </w:rPr>
          </w:pPr>
          <w:hyperlink w:anchor="_Toc79490217" w:history="1">
            <w:r w:rsidR="00F25866" w:rsidRPr="00B67194">
              <w:rPr>
                <w:rStyle w:val="Hyperlink"/>
                <w:noProof/>
              </w:rPr>
              <w:t xml:space="preserve">9.4 </w:t>
            </w:r>
            <w:r w:rsidR="00F25866">
              <w:rPr>
                <w:rFonts w:eastAsiaTheme="minorEastAsia"/>
                <w:noProof/>
                <w:lang w:eastAsia="en-AU"/>
              </w:rPr>
              <w:tab/>
            </w:r>
            <w:r w:rsidR="00F25866" w:rsidRPr="00B67194">
              <w:rPr>
                <w:rStyle w:val="Hyperlink"/>
                <w:noProof/>
              </w:rPr>
              <w:t>Options</w:t>
            </w:r>
            <w:r w:rsidR="00F25866">
              <w:rPr>
                <w:noProof/>
                <w:webHidden/>
              </w:rPr>
              <w:tab/>
            </w:r>
            <w:r w:rsidR="00F25866">
              <w:rPr>
                <w:noProof/>
                <w:webHidden/>
              </w:rPr>
              <w:fldChar w:fldCharType="begin"/>
            </w:r>
            <w:r w:rsidR="00F25866">
              <w:rPr>
                <w:noProof/>
                <w:webHidden/>
              </w:rPr>
              <w:instrText xml:space="preserve"> PAGEREF _Toc79490217 \h </w:instrText>
            </w:r>
            <w:r w:rsidR="00F25866">
              <w:rPr>
                <w:noProof/>
                <w:webHidden/>
              </w:rPr>
            </w:r>
            <w:r w:rsidR="00F25866">
              <w:rPr>
                <w:noProof/>
                <w:webHidden/>
              </w:rPr>
              <w:fldChar w:fldCharType="separate"/>
            </w:r>
            <w:r w:rsidR="00F25866">
              <w:rPr>
                <w:noProof/>
                <w:webHidden/>
              </w:rPr>
              <w:t>35</w:t>
            </w:r>
            <w:r w:rsidR="00F25866">
              <w:rPr>
                <w:noProof/>
                <w:webHidden/>
              </w:rPr>
              <w:fldChar w:fldCharType="end"/>
            </w:r>
          </w:hyperlink>
        </w:p>
        <w:p w14:paraId="349B1C33" w14:textId="43258C80" w:rsidR="00F25866" w:rsidRDefault="000150F9">
          <w:pPr>
            <w:pStyle w:val="TOC2"/>
            <w:tabs>
              <w:tab w:val="left" w:pos="880"/>
              <w:tab w:val="right" w:leader="dot" w:pos="9016"/>
            </w:tabs>
            <w:rPr>
              <w:rFonts w:eastAsiaTheme="minorEastAsia"/>
              <w:noProof/>
              <w:lang w:eastAsia="en-AU"/>
            </w:rPr>
          </w:pPr>
          <w:hyperlink w:anchor="_Toc79490218" w:history="1">
            <w:r w:rsidR="00F25866" w:rsidRPr="00B67194">
              <w:rPr>
                <w:rStyle w:val="Hyperlink"/>
                <w:noProof/>
              </w:rPr>
              <w:t xml:space="preserve">9.5 </w:t>
            </w:r>
            <w:r w:rsidR="00F25866">
              <w:rPr>
                <w:rFonts w:eastAsiaTheme="minorEastAsia"/>
                <w:noProof/>
                <w:lang w:eastAsia="en-AU"/>
              </w:rPr>
              <w:tab/>
            </w:r>
            <w:r w:rsidR="00F25866" w:rsidRPr="00B67194">
              <w:rPr>
                <w:rStyle w:val="Hyperlink"/>
                <w:noProof/>
              </w:rPr>
              <w:t>Summary of amendments</w:t>
            </w:r>
            <w:r w:rsidR="00F25866">
              <w:rPr>
                <w:noProof/>
                <w:webHidden/>
              </w:rPr>
              <w:tab/>
            </w:r>
            <w:r w:rsidR="00F25866">
              <w:rPr>
                <w:noProof/>
                <w:webHidden/>
              </w:rPr>
              <w:fldChar w:fldCharType="begin"/>
            </w:r>
            <w:r w:rsidR="00F25866">
              <w:rPr>
                <w:noProof/>
                <w:webHidden/>
              </w:rPr>
              <w:instrText xml:space="preserve"> PAGEREF _Toc79490218 \h </w:instrText>
            </w:r>
            <w:r w:rsidR="00F25866">
              <w:rPr>
                <w:noProof/>
                <w:webHidden/>
              </w:rPr>
            </w:r>
            <w:r w:rsidR="00F25866">
              <w:rPr>
                <w:noProof/>
                <w:webHidden/>
              </w:rPr>
              <w:fldChar w:fldCharType="separate"/>
            </w:r>
            <w:r w:rsidR="00F25866">
              <w:rPr>
                <w:noProof/>
                <w:webHidden/>
              </w:rPr>
              <w:t>36</w:t>
            </w:r>
            <w:r w:rsidR="00F25866">
              <w:rPr>
                <w:noProof/>
                <w:webHidden/>
              </w:rPr>
              <w:fldChar w:fldCharType="end"/>
            </w:r>
          </w:hyperlink>
        </w:p>
        <w:p w14:paraId="3D959370" w14:textId="1F303D18" w:rsidR="00F25866" w:rsidRDefault="000150F9">
          <w:pPr>
            <w:pStyle w:val="TOC3"/>
            <w:tabs>
              <w:tab w:val="right" w:leader="dot" w:pos="9016"/>
            </w:tabs>
            <w:rPr>
              <w:rFonts w:eastAsiaTheme="minorEastAsia"/>
              <w:noProof/>
              <w:lang w:eastAsia="en-AU"/>
            </w:rPr>
          </w:pPr>
          <w:hyperlink w:anchor="_Toc79490219" w:history="1">
            <w:r w:rsidR="00F25866" w:rsidRPr="00B67194">
              <w:rPr>
                <w:rStyle w:val="Hyperlink"/>
                <w:noProof/>
              </w:rPr>
              <w:t>9.5a Vehicle related offences</w:t>
            </w:r>
            <w:r w:rsidR="00F25866">
              <w:rPr>
                <w:noProof/>
                <w:webHidden/>
              </w:rPr>
              <w:tab/>
            </w:r>
            <w:r w:rsidR="00F25866">
              <w:rPr>
                <w:noProof/>
                <w:webHidden/>
              </w:rPr>
              <w:fldChar w:fldCharType="begin"/>
            </w:r>
            <w:r w:rsidR="00F25866">
              <w:rPr>
                <w:noProof/>
                <w:webHidden/>
              </w:rPr>
              <w:instrText xml:space="preserve"> PAGEREF _Toc79490219 \h </w:instrText>
            </w:r>
            <w:r w:rsidR="00F25866">
              <w:rPr>
                <w:noProof/>
                <w:webHidden/>
              </w:rPr>
            </w:r>
            <w:r w:rsidR="00F25866">
              <w:rPr>
                <w:noProof/>
                <w:webHidden/>
              </w:rPr>
              <w:fldChar w:fldCharType="separate"/>
            </w:r>
            <w:r w:rsidR="00F25866">
              <w:rPr>
                <w:noProof/>
                <w:webHidden/>
              </w:rPr>
              <w:t>40</w:t>
            </w:r>
            <w:r w:rsidR="00F25866">
              <w:rPr>
                <w:noProof/>
                <w:webHidden/>
              </w:rPr>
              <w:fldChar w:fldCharType="end"/>
            </w:r>
          </w:hyperlink>
        </w:p>
        <w:p w14:paraId="2E461165" w14:textId="23FB3F70" w:rsidR="00F25866" w:rsidRDefault="000150F9">
          <w:pPr>
            <w:pStyle w:val="TOC2"/>
            <w:tabs>
              <w:tab w:val="left" w:pos="880"/>
              <w:tab w:val="right" w:leader="dot" w:pos="9016"/>
            </w:tabs>
            <w:rPr>
              <w:rFonts w:eastAsiaTheme="minorEastAsia"/>
              <w:noProof/>
              <w:lang w:eastAsia="en-AU"/>
            </w:rPr>
          </w:pPr>
          <w:hyperlink w:anchor="_Toc79490220" w:history="1">
            <w:r w:rsidR="00F25866" w:rsidRPr="00B67194">
              <w:rPr>
                <w:rStyle w:val="Hyperlink"/>
                <w:noProof/>
              </w:rPr>
              <w:t>9.6</w:t>
            </w:r>
            <w:r w:rsidR="00F25866">
              <w:rPr>
                <w:rFonts w:eastAsiaTheme="minorEastAsia"/>
                <w:noProof/>
                <w:lang w:eastAsia="en-AU"/>
              </w:rPr>
              <w:tab/>
            </w:r>
            <w:r w:rsidR="00F25866" w:rsidRPr="00B67194">
              <w:rPr>
                <w:rStyle w:val="Hyperlink"/>
                <w:noProof/>
              </w:rPr>
              <w:t xml:space="preserve">         Consideration of human rights</w:t>
            </w:r>
            <w:r w:rsidR="00F25866">
              <w:rPr>
                <w:noProof/>
                <w:webHidden/>
              </w:rPr>
              <w:tab/>
            </w:r>
            <w:r w:rsidR="00F25866">
              <w:rPr>
                <w:noProof/>
                <w:webHidden/>
              </w:rPr>
              <w:fldChar w:fldCharType="begin"/>
            </w:r>
            <w:r w:rsidR="00F25866">
              <w:rPr>
                <w:noProof/>
                <w:webHidden/>
              </w:rPr>
              <w:instrText xml:space="preserve"> PAGEREF _Toc79490220 \h </w:instrText>
            </w:r>
            <w:r w:rsidR="00F25866">
              <w:rPr>
                <w:noProof/>
                <w:webHidden/>
              </w:rPr>
            </w:r>
            <w:r w:rsidR="00F25866">
              <w:rPr>
                <w:noProof/>
                <w:webHidden/>
              </w:rPr>
              <w:fldChar w:fldCharType="separate"/>
            </w:r>
            <w:r w:rsidR="00F25866">
              <w:rPr>
                <w:noProof/>
                <w:webHidden/>
              </w:rPr>
              <w:t>41</w:t>
            </w:r>
            <w:r w:rsidR="00F25866">
              <w:rPr>
                <w:noProof/>
                <w:webHidden/>
              </w:rPr>
              <w:fldChar w:fldCharType="end"/>
            </w:r>
          </w:hyperlink>
        </w:p>
        <w:p w14:paraId="51162423" w14:textId="256A6E39" w:rsidR="00F25866" w:rsidRDefault="000150F9">
          <w:pPr>
            <w:pStyle w:val="TOC2"/>
            <w:tabs>
              <w:tab w:val="left" w:pos="880"/>
              <w:tab w:val="right" w:leader="dot" w:pos="9016"/>
            </w:tabs>
            <w:rPr>
              <w:rFonts w:eastAsiaTheme="minorEastAsia"/>
              <w:noProof/>
              <w:lang w:eastAsia="en-AU"/>
            </w:rPr>
          </w:pPr>
          <w:hyperlink w:anchor="_Toc79490221" w:history="1">
            <w:r w:rsidR="00F25866" w:rsidRPr="00B67194">
              <w:rPr>
                <w:rStyle w:val="Hyperlink"/>
                <w:noProof/>
              </w:rPr>
              <w:t xml:space="preserve">9.7 </w:t>
            </w:r>
            <w:r w:rsidR="00F25866">
              <w:rPr>
                <w:rFonts w:eastAsiaTheme="minorEastAsia"/>
                <w:noProof/>
                <w:lang w:eastAsia="en-AU"/>
              </w:rPr>
              <w:tab/>
            </w:r>
            <w:r w:rsidR="00F25866" w:rsidRPr="00B67194">
              <w:rPr>
                <w:rStyle w:val="Hyperlink"/>
                <w:noProof/>
              </w:rPr>
              <w:t>Impact and cost-benefit analysis</w:t>
            </w:r>
            <w:r w:rsidR="00F25866">
              <w:rPr>
                <w:noProof/>
                <w:webHidden/>
              </w:rPr>
              <w:tab/>
            </w:r>
            <w:r w:rsidR="00F25866">
              <w:rPr>
                <w:noProof/>
                <w:webHidden/>
              </w:rPr>
              <w:fldChar w:fldCharType="begin"/>
            </w:r>
            <w:r w:rsidR="00F25866">
              <w:rPr>
                <w:noProof/>
                <w:webHidden/>
              </w:rPr>
              <w:instrText xml:space="preserve"> PAGEREF _Toc79490221 \h </w:instrText>
            </w:r>
            <w:r w:rsidR="00F25866">
              <w:rPr>
                <w:noProof/>
                <w:webHidden/>
              </w:rPr>
            </w:r>
            <w:r w:rsidR="00F25866">
              <w:rPr>
                <w:noProof/>
                <w:webHidden/>
              </w:rPr>
              <w:fldChar w:fldCharType="separate"/>
            </w:r>
            <w:r w:rsidR="00F25866">
              <w:rPr>
                <w:noProof/>
                <w:webHidden/>
              </w:rPr>
              <w:t>42</w:t>
            </w:r>
            <w:r w:rsidR="00F25866">
              <w:rPr>
                <w:noProof/>
                <w:webHidden/>
              </w:rPr>
              <w:fldChar w:fldCharType="end"/>
            </w:r>
          </w:hyperlink>
        </w:p>
        <w:p w14:paraId="59752163" w14:textId="2E9FC1A3" w:rsidR="00F25866" w:rsidRDefault="000150F9">
          <w:pPr>
            <w:pStyle w:val="TOC1"/>
            <w:tabs>
              <w:tab w:val="left" w:pos="660"/>
              <w:tab w:val="right" w:leader="dot" w:pos="9016"/>
            </w:tabs>
            <w:rPr>
              <w:rFonts w:eastAsiaTheme="minorEastAsia"/>
              <w:noProof/>
              <w:lang w:eastAsia="en-AU"/>
            </w:rPr>
          </w:pPr>
          <w:hyperlink w:anchor="_Toc79490222" w:history="1">
            <w:r w:rsidR="00F25866" w:rsidRPr="00B67194">
              <w:rPr>
                <w:rStyle w:val="Hyperlink"/>
                <w:noProof/>
              </w:rPr>
              <w:t>10.</w:t>
            </w:r>
            <w:r w:rsidR="00F25866">
              <w:rPr>
                <w:rFonts w:eastAsiaTheme="minorEastAsia"/>
                <w:noProof/>
                <w:lang w:eastAsia="en-AU"/>
              </w:rPr>
              <w:tab/>
            </w:r>
            <w:r w:rsidR="00F25866" w:rsidRPr="00B67194">
              <w:rPr>
                <w:rStyle w:val="Hyperlink"/>
                <w:noProof/>
              </w:rPr>
              <w:t>Increasing flexibility for Container Deposit Scheme collection points</w:t>
            </w:r>
            <w:r w:rsidR="00F25866">
              <w:rPr>
                <w:noProof/>
                <w:webHidden/>
              </w:rPr>
              <w:tab/>
            </w:r>
            <w:r w:rsidR="00F25866">
              <w:rPr>
                <w:noProof/>
                <w:webHidden/>
              </w:rPr>
              <w:fldChar w:fldCharType="begin"/>
            </w:r>
            <w:r w:rsidR="00F25866">
              <w:rPr>
                <w:noProof/>
                <w:webHidden/>
              </w:rPr>
              <w:instrText xml:space="preserve"> PAGEREF _Toc79490222 \h </w:instrText>
            </w:r>
            <w:r w:rsidR="00F25866">
              <w:rPr>
                <w:noProof/>
                <w:webHidden/>
              </w:rPr>
            </w:r>
            <w:r w:rsidR="00F25866">
              <w:rPr>
                <w:noProof/>
                <w:webHidden/>
              </w:rPr>
              <w:fldChar w:fldCharType="separate"/>
            </w:r>
            <w:r w:rsidR="00F25866">
              <w:rPr>
                <w:noProof/>
                <w:webHidden/>
              </w:rPr>
              <w:t>43</w:t>
            </w:r>
            <w:r w:rsidR="00F25866">
              <w:rPr>
                <w:noProof/>
                <w:webHidden/>
              </w:rPr>
              <w:fldChar w:fldCharType="end"/>
            </w:r>
          </w:hyperlink>
        </w:p>
        <w:p w14:paraId="7D8EC886" w14:textId="08637247" w:rsidR="00F25866" w:rsidRDefault="000150F9">
          <w:pPr>
            <w:pStyle w:val="TOC2"/>
            <w:tabs>
              <w:tab w:val="left" w:pos="1100"/>
              <w:tab w:val="right" w:leader="dot" w:pos="9016"/>
            </w:tabs>
            <w:rPr>
              <w:rFonts w:eastAsiaTheme="minorEastAsia"/>
              <w:noProof/>
              <w:lang w:eastAsia="en-AU"/>
            </w:rPr>
          </w:pPr>
          <w:hyperlink w:anchor="_Toc79490223" w:history="1">
            <w:r w:rsidR="00F25866" w:rsidRPr="00B67194">
              <w:rPr>
                <w:rStyle w:val="Hyperlink"/>
                <w:noProof/>
              </w:rPr>
              <w:t xml:space="preserve">10.1 </w:t>
            </w:r>
            <w:r w:rsidR="00F25866">
              <w:rPr>
                <w:rFonts w:eastAsiaTheme="minorEastAsia"/>
                <w:noProof/>
                <w:lang w:eastAsia="en-AU"/>
              </w:rPr>
              <w:tab/>
            </w:r>
            <w:r w:rsidR="00F25866" w:rsidRPr="00B67194">
              <w:rPr>
                <w:rStyle w:val="Hyperlink"/>
                <w:noProof/>
              </w:rPr>
              <w:t>Problem</w:t>
            </w:r>
            <w:r w:rsidR="00F25866">
              <w:rPr>
                <w:noProof/>
                <w:webHidden/>
              </w:rPr>
              <w:tab/>
            </w:r>
            <w:r w:rsidR="00F25866">
              <w:rPr>
                <w:noProof/>
                <w:webHidden/>
              </w:rPr>
              <w:fldChar w:fldCharType="begin"/>
            </w:r>
            <w:r w:rsidR="00F25866">
              <w:rPr>
                <w:noProof/>
                <w:webHidden/>
              </w:rPr>
              <w:instrText xml:space="preserve"> PAGEREF _Toc79490223 \h </w:instrText>
            </w:r>
            <w:r w:rsidR="00F25866">
              <w:rPr>
                <w:noProof/>
                <w:webHidden/>
              </w:rPr>
            </w:r>
            <w:r w:rsidR="00F25866">
              <w:rPr>
                <w:noProof/>
                <w:webHidden/>
              </w:rPr>
              <w:fldChar w:fldCharType="separate"/>
            </w:r>
            <w:r w:rsidR="00F25866">
              <w:rPr>
                <w:noProof/>
                <w:webHidden/>
              </w:rPr>
              <w:t>43</w:t>
            </w:r>
            <w:r w:rsidR="00F25866">
              <w:rPr>
                <w:noProof/>
                <w:webHidden/>
              </w:rPr>
              <w:fldChar w:fldCharType="end"/>
            </w:r>
          </w:hyperlink>
        </w:p>
        <w:p w14:paraId="69AFBCA8" w14:textId="110FBF24" w:rsidR="00F25866" w:rsidRDefault="000150F9">
          <w:pPr>
            <w:pStyle w:val="TOC2"/>
            <w:tabs>
              <w:tab w:val="left" w:pos="1100"/>
              <w:tab w:val="right" w:leader="dot" w:pos="9016"/>
            </w:tabs>
            <w:rPr>
              <w:rFonts w:eastAsiaTheme="minorEastAsia"/>
              <w:noProof/>
              <w:lang w:eastAsia="en-AU"/>
            </w:rPr>
          </w:pPr>
          <w:hyperlink w:anchor="_Toc79490224" w:history="1">
            <w:r w:rsidR="00F25866" w:rsidRPr="00B67194">
              <w:rPr>
                <w:rStyle w:val="Hyperlink"/>
                <w:noProof/>
              </w:rPr>
              <w:t xml:space="preserve">10.2 </w:t>
            </w:r>
            <w:r w:rsidR="00F25866">
              <w:rPr>
                <w:rFonts w:eastAsiaTheme="minorEastAsia"/>
                <w:noProof/>
                <w:lang w:eastAsia="en-AU"/>
              </w:rPr>
              <w:tab/>
            </w:r>
            <w:r w:rsidR="00F25866" w:rsidRPr="00B67194">
              <w:rPr>
                <w:rStyle w:val="Hyperlink"/>
                <w:noProof/>
              </w:rPr>
              <w:t>Objectives</w:t>
            </w:r>
            <w:r w:rsidR="00F25866">
              <w:rPr>
                <w:noProof/>
                <w:webHidden/>
              </w:rPr>
              <w:tab/>
            </w:r>
            <w:r w:rsidR="00F25866">
              <w:rPr>
                <w:noProof/>
                <w:webHidden/>
              </w:rPr>
              <w:fldChar w:fldCharType="begin"/>
            </w:r>
            <w:r w:rsidR="00F25866">
              <w:rPr>
                <w:noProof/>
                <w:webHidden/>
              </w:rPr>
              <w:instrText xml:space="preserve"> PAGEREF _Toc79490224 \h </w:instrText>
            </w:r>
            <w:r w:rsidR="00F25866">
              <w:rPr>
                <w:noProof/>
                <w:webHidden/>
              </w:rPr>
            </w:r>
            <w:r w:rsidR="00F25866">
              <w:rPr>
                <w:noProof/>
                <w:webHidden/>
              </w:rPr>
              <w:fldChar w:fldCharType="separate"/>
            </w:r>
            <w:r w:rsidR="00F25866">
              <w:rPr>
                <w:noProof/>
                <w:webHidden/>
              </w:rPr>
              <w:t>44</w:t>
            </w:r>
            <w:r w:rsidR="00F25866">
              <w:rPr>
                <w:noProof/>
                <w:webHidden/>
              </w:rPr>
              <w:fldChar w:fldCharType="end"/>
            </w:r>
          </w:hyperlink>
        </w:p>
        <w:p w14:paraId="15E55C2A" w14:textId="7FE79070" w:rsidR="00F25866" w:rsidRDefault="000150F9">
          <w:pPr>
            <w:pStyle w:val="TOC2"/>
            <w:tabs>
              <w:tab w:val="left" w:pos="1100"/>
              <w:tab w:val="right" w:leader="dot" w:pos="9016"/>
            </w:tabs>
            <w:rPr>
              <w:rFonts w:eastAsiaTheme="minorEastAsia"/>
              <w:noProof/>
              <w:lang w:eastAsia="en-AU"/>
            </w:rPr>
          </w:pPr>
          <w:hyperlink w:anchor="_Toc79490225" w:history="1">
            <w:r w:rsidR="00F25866" w:rsidRPr="00B67194">
              <w:rPr>
                <w:rStyle w:val="Hyperlink"/>
                <w:noProof/>
              </w:rPr>
              <w:t xml:space="preserve">10.3 </w:t>
            </w:r>
            <w:r w:rsidR="00F25866">
              <w:rPr>
                <w:rFonts w:eastAsiaTheme="minorEastAsia"/>
                <w:noProof/>
                <w:lang w:eastAsia="en-AU"/>
              </w:rPr>
              <w:tab/>
            </w:r>
            <w:r w:rsidR="00F25866" w:rsidRPr="00B67194">
              <w:rPr>
                <w:rStyle w:val="Hyperlink"/>
                <w:noProof/>
              </w:rPr>
              <w:t>Approaches from other jurisdictions</w:t>
            </w:r>
            <w:r w:rsidR="00F25866">
              <w:rPr>
                <w:noProof/>
                <w:webHidden/>
              </w:rPr>
              <w:tab/>
            </w:r>
            <w:r w:rsidR="00F25866">
              <w:rPr>
                <w:noProof/>
                <w:webHidden/>
              </w:rPr>
              <w:fldChar w:fldCharType="begin"/>
            </w:r>
            <w:r w:rsidR="00F25866">
              <w:rPr>
                <w:noProof/>
                <w:webHidden/>
              </w:rPr>
              <w:instrText xml:space="preserve"> PAGEREF _Toc79490225 \h </w:instrText>
            </w:r>
            <w:r w:rsidR="00F25866">
              <w:rPr>
                <w:noProof/>
                <w:webHidden/>
              </w:rPr>
            </w:r>
            <w:r w:rsidR="00F25866">
              <w:rPr>
                <w:noProof/>
                <w:webHidden/>
              </w:rPr>
              <w:fldChar w:fldCharType="separate"/>
            </w:r>
            <w:r w:rsidR="00F25866">
              <w:rPr>
                <w:noProof/>
                <w:webHidden/>
              </w:rPr>
              <w:t>44</w:t>
            </w:r>
            <w:r w:rsidR="00F25866">
              <w:rPr>
                <w:noProof/>
                <w:webHidden/>
              </w:rPr>
              <w:fldChar w:fldCharType="end"/>
            </w:r>
          </w:hyperlink>
        </w:p>
        <w:p w14:paraId="1B0D76A6" w14:textId="411E7A96" w:rsidR="00F25866" w:rsidRDefault="000150F9">
          <w:pPr>
            <w:pStyle w:val="TOC2"/>
            <w:tabs>
              <w:tab w:val="left" w:pos="1100"/>
              <w:tab w:val="right" w:leader="dot" w:pos="9016"/>
            </w:tabs>
            <w:rPr>
              <w:rFonts w:eastAsiaTheme="minorEastAsia"/>
              <w:noProof/>
              <w:lang w:eastAsia="en-AU"/>
            </w:rPr>
          </w:pPr>
          <w:hyperlink w:anchor="_Toc79490226" w:history="1">
            <w:r w:rsidR="00F25866" w:rsidRPr="00B67194">
              <w:rPr>
                <w:rStyle w:val="Hyperlink"/>
                <w:noProof/>
              </w:rPr>
              <w:t xml:space="preserve">10.4 </w:t>
            </w:r>
            <w:r w:rsidR="00F25866">
              <w:rPr>
                <w:rFonts w:eastAsiaTheme="minorEastAsia"/>
                <w:noProof/>
                <w:lang w:eastAsia="en-AU"/>
              </w:rPr>
              <w:tab/>
            </w:r>
            <w:r w:rsidR="00F25866" w:rsidRPr="00B67194">
              <w:rPr>
                <w:rStyle w:val="Hyperlink"/>
                <w:noProof/>
              </w:rPr>
              <w:t>Options and summary of amendments</w:t>
            </w:r>
            <w:r w:rsidR="00F25866">
              <w:rPr>
                <w:noProof/>
                <w:webHidden/>
              </w:rPr>
              <w:tab/>
            </w:r>
            <w:r w:rsidR="00F25866">
              <w:rPr>
                <w:noProof/>
                <w:webHidden/>
              </w:rPr>
              <w:fldChar w:fldCharType="begin"/>
            </w:r>
            <w:r w:rsidR="00F25866">
              <w:rPr>
                <w:noProof/>
                <w:webHidden/>
              </w:rPr>
              <w:instrText xml:space="preserve"> PAGEREF _Toc79490226 \h </w:instrText>
            </w:r>
            <w:r w:rsidR="00F25866">
              <w:rPr>
                <w:noProof/>
                <w:webHidden/>
              </w:rPr>
            </w:r>
            <w:r w:rsidR="00F25866">
              <w:rPr>
                <w:noProof/>
                <w:webHidden/>
              </w:rPr>
              <w:fldChar w:fldCharType="separate"/>
            </w:r>
            <w:r w:rsidR="00F25866">
              <w:rPr>
                <w:noProof/>
                <w:webHidden/>
              </w:rPr>
              <w:t>44</w:t>
            </w:r>
            <w:r w:rsidR="00F25866">
              <w:rPr>
                <w:noProof/>
                <w:webHidden/>
              </w:rPr>
              <w:fldChar w:fldCharType="end"/>
            </w:r>
          </w:hyperlink>
        </w:p>
        <w:p w14:paraId="6E8D8B67" w14:textId="6F0CBE7A" w:rsidR="00F25866" w:rsidRDefault="000150F9">
          <w:pPr>
            <w:pStyle w:val="TOC2"/>
            <w:tabs>
              <w:tab w:val="left" w:pos="1100"/>
              <w:tab w:val="right" w:leader="dot" w:pos="9016"/>
            </w:tabs>
            <w:rPr>
              <w:rFonts w:eastAsiaTheme="minorEastAsia"/>
              <w:noProof/>
              <w:lang w:eastAsia="en-AU"/>
            </w:rPr>
          </w:pPr>
          <w:hyperlink w:anchor="_Toc79490227" w:history="1">
            <w:r w:rsidR="00F25866" w:rsidRPr="00B67194">
              <w:rPr>
                <w:rStyle w:val="Hyperlink"/>
                <w:noProof/>
              </w:rPr>
              <w:t xml:space="preserve">10.5 </w:t>
            </w:r>
            <w:r w:rsidR="00F25866">
              <w:rPr>
                <w:rFonts w:eastAsiaTheme="minorEastAsia"/>
                <w:noProof/>
                <w:lang w:eastAsia="en-AU"/>
              </w:rPr>
              <w:tab/>
            </w:r>
            <w:r w:rsidR="00F25866" w:rsidRPr="00B67194">
              <w:rPr>
                <w:rStyle w:val="Hyperlink"/>
                <w:noProof/>
              </w:rPr>
              <w:t>Consideration of human rights</w:t>
            </w:r>
            <w:r w:rsidR="00F25866">
              <w:rPr>
                <w:noProof/>
                <w:webHidden/>
              </w:rPr>
              <w:tab/>
            </w:r>
            <w:r w:rsidR="00F25866">
              <w:rPr>
                <w:noProof/>
                <w:webHidden/>
              </w:rPr>
              <w:fldChar w:fldCharType="begin"/>
            </w:r>
            <w:r w:rsidR="00F25866">
              <w:rPr>
                <w:noProof/>
                <w:webHidden/>
              </w:rPr>
              <w:instrText xml:space="preserve"> PAGEREF _Toc79490227 \h </w:instrText>
            </w:r>
            <w:r w:rsidR="00F25866">
              <w:rPr>
                <w:noProof/>
                <w:webHidden/>
              </w:rPr>
            </w:r>
            <w:r w:rsidR="00F25866">
              <w:rPr>
                <w:noProof/>
                <w:webHidden/>
              </w:rPr>
              <w:fldChar w:fldCharType="separate"/>
            </w:r>
            <w:r w:rsidR="00F25866">
              <w:rPr>
                <w:noProof/>
                <w:webHidden/>
              </w:rPr>
              <w:t>45</w:t>
            </w:r>
            <w:r w:rsidR="00F25866">
              <w:rPr>
                <w:noProof/>
                <w:webHidden/>
              </w:rPr>
              <w:fldChar w:fldCharType="end"/>
            </w:r>
          </w:hyperlink>
        </w:p>
        <w:p w14:paraId="4729EB19" w14:textId="3FABFF66" w:rsidR="00F25866" w:rsidRDefault="000150F9">
          <w:pPr>
            <w:pStyle w:val="TOC2"/>
            <w:tabs>
              <w:tab w:val="left" w:pos="1100"/>
              <w:tab w:val="right" w:leader="dot" w:pos="9016"/>
            </w:tabs>
            <w:rPr>
              <w:rFonts w:eastAsiaTheme="minorEastAsia"/>
              <w:noProof/>
              <w:lang w:eastAsia="en-AU"/>
            </w:rPr>
          </w:pPr>
          <w:hyperlink w:anchor="_Toc79490228" w:history="1">
            <w:r w:rsidR="00F25866" w:rsidRPr="00B67194">
              <w:rPr>
                <w:rStyle w:val="Hyperlink"/>
                <w:noProof/>
              </w:rPr>
              <w:t xml:space="preserve">10.6 </w:t>
            </w:r>
            <w:r w:rsidR="00F25866">
              <w:rPr>
                <w:rFonts w:eastAsiaTheme="minorEastAsia"/>
                <w:noProof/>
                <w:lang w:eastAsia="en-AU"/>
              </w:rPr>
              <w:tab/>
            </w:r>
            <w:r w:rsidR="00F25866" w:rsidRPr="00B67194">
              <w:rPr>
                <w:rStyle w:val="Hyperlink"/>
                <w:noProof/>
              </w:rPr>
              <w:t>Impact and cost-benefit analysis</w:t>
            </w:r>
            <w:r w:rsidR="00F25866">
              <w:rPr>
                <w:noProof/>
                <w:webHidden/>
              </w:rPr>
              <w:tab/>
            </w:r>
            <w:r w:rsidR="00F25866">
              <w:rPr>
                <w:noProof/>
                <w:webHidden/>
              </w:rPr>
              <w:fldChar w:fldCharType="begin"/>
            </w:r>
            <w:r w:rsidR="00F25866">
              <w:rPr>
                <w:noProof/>
                <w:webHidden/>
              </w:rPr>
              <w:instrText xml:space="preserve"> PAGEREF _Toc79490228 \h </w:instrText>
            </w:r>
            <w:r w:rsidR="00F25866">
              <w:rPr>
                <w:noProof/>
                <w:webHidden/>
              </w:rPr>
            </w:r>
            <w:r w:rsidR="00F25866">
              <w:rPr>
                <w:noProof/>
                <w:webHidden/>
              </w:rPr>
              <w:fldChar w:fldCharType="separate"/>
            </w:r>
            <w:r w:rsidR="00F25866">
              <w:rPr>
                <w:noProof/>
                <w:webHidden/>
              </w:rPr>
              <w:t>45</w:t>
            </w:r>
            <w:r w:rsidR="00F25866">
              <w:rPr>
                <w:noProof/>
                <w:webHidden/>
              </w:rPr>
              <w:fldChar w:fldCharType="end"/>
            </w:r>
          </w:hyperlink>
        </w:p>
        <w:p w14:paraId="2E2D0183" w14:textId="6371E8B3" w:rsidR="00F25866" w:rsidRDefault="000150F9">
          <w:pPr>
            <w:pStyle w:val="TOC1"/>
            <w:tabs>
              <w:tab w:val="left" w:pos="660"/>
              <w:tab w:val="right" w:leader="dot" w:pos="9016"/>
            </w:tabs>
            <w:rPr>
              <w:rFonts w:eastAsiaTheme="minorEastAsia"/>
              <w:noProof/>
              <w:lang w:eastAsia="en-AU"/>
            </w:rPr>
          </w:pPr>
          <w:hyperlink w:anchor="_Toc79490229" w:history="1">
            <w:r w:rsidR="00F25866" w:rsidRPr="00B67194">
              <w:rPr>
                <w:rStyle w:val="Hyperlink"/>
                <w:noProof/>
              </w:rPr>
              <w:t>11.</w:t>
            </w:r>
            <w:r w:rsidR="00F25866">
              <w:rPr>
                <w:rFonts w:eastAsiaTheme="minorEastAsia"/>
                <w:noProof/>
                <w:lang w:eastAsia="en-AU"/>
              </w:rPr>
              <w:tab/>
            </w:r>
            <w:r w:rsidR="00F25866" w:rsidRPr="00B67194">
              <w:rPr>
                <w:rStyle w:val="Hyperlink"/>
                <w:noProof/>
              </w:rPr>
              <w:t>Improving and modernising waste definitions and reporting</w:t>
            </w:r>
            <w:r w:rsidR="00F25866">
              <w:rPr>
                <w:noProof/>
                <w:webHidden/>
              </w:rPr>
              <w:tab/>
            </w:r>
            <w:r w:rsidR="00F25866">
              <w:rPr>
                <w:noProof/>
                <w:webHidden/>
              </w:rPr>
              <w:fldChar w:fldCharType="begin"/>
            </w:r>
            <w:r w:rsidR="00F25866">
              <w:rPr>
                <w:noProof/>
                <w:webHidden/>
              </w:rPr>
              <w:instrText xml:space="preserve"> PAGEREF _Toc79490229 \h </w:instrText>
            </w:r>
            <w:r w:rsidR="00F25866">
              <w:rPr>
                <w:noProof/>
                <w:webHidden/>
              </w:rPr>
            </w:r>
            <w:r w:rsidR="00F25866">
              <w:rPr>
                <w:noProof/>
                <w:webHidden/>
              </w:rPr>
              <w:fldChar w:fldCharType="separate"/>
            </w:r>
            <w:r w:rsidR="00F25866">
              <w:rPr>
                <w:noProof/>
                <w:webHidden/>
              </w:rPr>
              <w:t>45</w:t>
            </w:r>
            <w:r w:rsidR="00F25866">
              <w:rPr>
                <w:noProof/>
                <w:webHidden/>
              </w:rPr>
              <w:fldChar w:fldCharType="end"/>
            </w:r>
          </w:hyperlink>
        </w:p>
        <w:p w14:paraId="0F9FD9DB" w14:textId="72E89E9F" w:rsidR="00F25866" w:rsidRDefault="000150F9">
          <w:pPr>
            <w:pStyle w:val="TOC2"/>
            <w:tabs>
              <w:tab w:val="left" w:pos="1100"/>
              <w:tab w:val="right" w:leader="dot" w:pos="9016"/>
            </w:tabs>
            <w:rPr>
              <w:rFonts w:eastAsiaTheme="minorEastAsia"/>
              <w:noProof/>
              <w:lang w:eastAsia="en-AU"/>
            </w:rPr>
          </w:pPr>
          <w:hyperlink w:anchor="_Toc79490230" w:history="1">
            <w:r w:rsidR="00F25866" w:rsidRPr="00B67194">
              <w:rPr>
                <w:rStyle w:val="Hyperlink"/>
                <w:noProof/>
              </w:rPr>
              <w:t xml:space="preserve">11.1 </w:t>
            </w:r>
            <w:r w:rsidR="00F25866">
              <w:rPr>
                <w:rFonts w:eastAsiaTheme="minorEastAsia"/>
                <w:noProof/>
                <w:lang w:eastAsia="en-AU"/>
              </w:rPr>
              <w:tab/>
            </w:r>
            <w:r w:rsidR="00F25866" w:rsidRPr="00B67194">
              <w:rPr>
                <w:rStyle w:val="Hyperlink"/>
                <w:noProof/>
              </w:rPr>
              <w:t>Problems and objectives</w:t>
            </w:r>
            <w:r w:rsidR="00F25866">
              <w:rPr>
                <w:noProof/>
                <w:webHidden/>
              </w:rPr>
              <w:tab/>
            </w:r>
            <w:r w:rsidR="00F25866">
              <w:rPr>
                <w:noProof/>
                <w:webHidden/>
              </w:rPr>
              <w:fldChar w:fldCharType="begin"/>
            </w:r>
            <w:r w:rsidR="00F25866">
              <w:rPr>
                <w:noProof/>
                <w:webHidden/>
              </w:rPr>
              <w:instrText xml:space="preserve"> PAGEREF _Toc79490230 \h </w:instrText>
            </w:r>
            <w:r w:rsidR="00F25866">
              <w:rPr>
                <w:noProof/>
                <w:webHidden/>
              </w:rPr>
            </w:r>
            <w:r w:rsidR="00F25866">
              <w:rPr>
                <w:noProof/>
                <w:webHidden/>
              </w:rPr>
              <w:fldChar w:fldCharType="separate"/>
            </w:r>
            <w:r w:rsidR="00F25866">
              <w:rPr>
                <w:noProof/>
                <w:webHidden/>
              </w:rPr>
              <w:t>45</w:t>
            </w:r>
            <w:r w:rsidR="00F25866">
              <w:rPr>
                <w:noProof/>
                <w:webHidden/>
              </w:rPr>
              <w:fldChar w:fldCharType="end"/>
            </w:r>
          </w:hyperlink>
        </w:p>
        <w:p w14:paraId="0275632E" w14:textId="5EBDF155" w:rsidR="00F25866" w:rsidRDefault="000150F9">
          <w:pPr>
            <w:pStyle w:val="TOC2"/>
            <w:tabs>
              <w:tab w:val="left" w:pos="1100"/>
              <w:tab w:val="right" w:leader="dot" w:pos="9016"/>
            </w:tabs>
            <w:rPr>
              <w:rFonts w:eastAsiaTheme="minorEastAsia"/>
              <w:noProof/>
              <w:lang w:eastAsia="en-AU"/>
            </w:rPr>
          </w:pPr>
          <w:hyperlink w:anchor="_Toc79490231" w:history="1">
            <w:r w:rsidR="00F25866" w:rsidRPr="00B67194">
              <w:rPr>
                <w:rStyle w:val="Hyperlink"/>
                <w:noProof/>
              </w:rPr>
              <w:t xml:space="preserve">11.2 </w:t>
            </w:r>
            <w:r w:rsidR="00F25866">
              <w:rPr>
                <w:rFonts w:eastAsiaTheme="minorEastAsia"/>
                <w:noProof/>
                <w:lang w:eastAsia="en-AU"/>
              </w:rPr>
              <w:tab/>
            </w:r>
            <w:r w:rsidR="00F25866" w:rsidRPr="00B67194">
              <w:rPr>
                <w:rStyle w:val="Hyperlink"/>
                <w:noProof/>
              </w:rPr>
              <w:t>Approaches from other jurisdictions</w:t>
            </w:r>
            <w:r w:rsidR="00F25866">
              <w:rPr>
                <w:noProof/>
                <w:webHidden/>
              </w:rPr>
              <w:tab/>
            </w:r>
            <w:r w:rsidR="00F25866">
              <w:rPr>
                <w:noProof/>
                <w:webHidden/>
              </w:rPr>
              <w:fldChar w:fldCharType="begin"/>
            </w:r>
            <w:r w:rsidR="00F25866">
              <w:rPr>
                <w:noProof/>
                <w:webHidden/>
              </w:rPr>
              <w:instrText xml:space="preserve"> PAGEREF _Toc79490231 \h </w:instrText>
            </w:r>
            <w:r w:rsidR="00F25866">
              <w:rPr>
                <w:noProof/>
                <w:webHidden/>
              </w:rPr>
            </w:r>
            <w:r w:rsidR="00F25866">
              <w:rPr>
                <w:noProof/>
                <w:webHidden/>
              </w:rPr>
              <w:fldChar w:fldCharType="separate"/>
            </w:r>
            <w:r w:rsidR="00F25866">
              <w:rPr>
                <w:noProof/>
                <w:webHidden/>
              </w:rPr>
              <w:t>46</w:t>
            </w:r>
            <w:r w:rsidR="00F25866">
              <w:rPr>
                <w:noProof/>
                <w:webHidden/>
              </w:rPr>
              <w:fldChar w:fldCharType="end"/>
            </w:r>
          </w:hyperlink>
        </w:p>
        <w:p w14:paraId="6C6A8D29" w14:textId="1A0DAB6A" w:rsidR="00F25866" w:rsidRDefault="000150F9">
          <w:pPr>
            <w:pStyle w:val="TOC2"/>
            <w:tabs>
              <w:tab w:val="left" w:pos="1100"/>
              <w:tab w:val="right" w:leader="dot" w:pos="9016"/>
            </w:tabs>
            <w:rPr>
              <w:rFonts w:eastAsiaTheme="minorEastAsia"/>
              <w:noProof/>
              <w:lang w:eastAsia="en-AU"/>
            </w:rPr>
          </w:pPr>
          <w:hyperlink w:anchor="_Toc79490232" w:history="1">
            <w:r w:rsidR="00F25866" w:rsidRPr="00B67194">
              <w:rPr>
                <w:rStyle w:val="Hyperlink"/>
                <w:noProof/>
              </w:rPr>
              <w:t xml:space="preserve">11.3 </w:t>
            </w:r>
            <w:r w:rsidR="00F25866">
              <w:rPr>
                <w:rFonts w:eastAsiaTheme="minorEastAsia"/>
                <w:noProof/>
                <w:lang w:eastAsia="en-AU"/>
              </w:rPr>
              <w:tab/>
            </w:r>
            <w:r w:rsidR="00F25866" w:rsidRPr="00B67194">
              <w:rPr>
                <w:rStyle w:val="Hyperlink"/>
                <w:noProof/>
              </w:rPr>
              <w:t>Options</w:t>
            </w:r>
            <w:r w:rsidR="00F25866">
              <w:rPr>
                <w:noProof/>
                <w:webHidden/>
              </w:rPr>
              <w:tab/>
            </w:r>
            <w:r w:rsidR="00F25866">
              <w:rPr>
                <w:noProof/>
                <w:webHidden/>
              </w:rPr>
              <w:fldChar w:fldCharType="begin"/>
            </w:r>
            <w:r w:rsidR="00F25866">
              <w:rPr>
                <w:noProof/>
                <w:webHidden/>
              </w:rPr>
              <w:instrText xml:space="preserve"> PAGEREF _Toc79490232 \h </w:instrText>
            </w:r>
            <w:r w:rsidR="00F25866">
              <w:rPr>
                <w:noProof/>
                <w:webHidden/>
              </w:rPr>
            </w:r>
            <w:r w:rsidR="00F25866">
              <w:rPr>
                <w:noProof/>
                <w:webHidden/>
              </w:rPr>
              <w:fldChar w:fldCharType="separate"/>
            </w:r>
            <w:r w:rsidR="00F25866">
              <w:rPr>
                <w:noProof/>
                <w:webHidden/>
              </w:rPr>
              <w:t>47</w:t>
            </w:r>
            <w:r w:rsidR="00F25866">
              <w:rPr>
                <w:noProof/>
                <w:webHidden/>
              </w:rPr>
              <w:fldChar w:fldCharType="end"/>
            </w:r>
          </w:hyperlink>
        </w:p>
        <w:p w14:paraId="4EB6599A" w14:textId="56D9603D" w:rsidR="00F25866" w:rsidRDefault="000150F9">
          <w:pPr>
            <w:pStyle w:val="TOC2"/>
            <w:tabs>
              <w:tab w:val="left" w:pos="1100"/>
              <w:tab w:val="right" w:leader="dot" w:pos="9016"/>
            </w:tabs>
            <w:rPr>
              <w:rFonts w:eastAsiaTheme="minorEastAsia"/>
              <w:noProof/>
              <w:lang w:eastAsia="en-AU"/>
            </w:rPr>
          </w:pPr>
          <w:hyperlink w:anchor="_Toc79490233" w:history="1">
            <w:r w:rsidR="00F25866" w:rsidRPr="00B67194">
              <w:rPr>
                <w:rStyle w:val="Hyperlink"/>
                <w:noProof/>
              </w:rPr>
              <w:t xml:space="preserve">11.4 </w:t>
            </w:r>
            <w:r w:rsidR="00F25866">
              <w:rPr>
                <w:rFonts w:eastAsiaTheme="minorEastAsia"/>
                <w:noProof/>
                <w:lang w:eastAsia="en-AU"/>
              </w:rPr>
              <w:tab/>
            </w:r>
            <w:r w:rsidR="00F25866" w:rsidRPr="00B67194">
              <w:rPr>
                <w:rStyle w:val="Hyperlink"/>
                <w:noProof/>
              </w:rPr>
              <w:t>Summary of amendments</w:t>
            </w:r>
            <w:r w:rsidR="00F25866">
              <w:rPr>
                <w:noProof/>
                <w:webHidden/>
              </w:rPr>
              <w:tab/>
            </w:r>
            <w:r w:rsidR="00F25866">
              <w:rPr>
                <w:noProof/>
                <w:webHidden/>
              </w:rPr>
              <w:fldChar w:fldCharType="begin"/>
            </w:r>
            <w:r w:rsidR="00F25866">
              <w:rPr>
                <w:noProof/>
                <w:webHidden/>
              </w:rPr>
              <w:instrText xml:space="preserve"> PAGEREF _Toc79490233 \h </w:instrText>
            </w:r>
            <w:r w:rsidR="00F25866">
              <w:rPr>
                <w:noProof/>
                <w:webHidden/>
              </w:rPr>
            </w:r>
            <w:r w:rsidR="00F25866">
              <w:rPr>
                <w:noProof/>
                <w:webHidden/>
              </w:rPr>
              <w:fldChar w:fldCharType="separate"/>
            </w:r>
            <w:r w:rsidR="00F25866">
              <w:rPr>
                <w:noProof/>
                <w:webHidden/>
              </w:rPr>
              <w:t>48</w:t>
            </w:r>
            <w:r w:rsidR="00F25866">
              <w:rPr>
                <w:noProof/>
                <w:webHidden/>
              </w:rPr>
              <w:fldChar w:fldCharType="end"/>
            </w:r>
          </w:hyperlink>
        </w:p>
        <w:p w14:paraId="44985584" w14:textId="09A14CD5" w:rsidR="00F25866" w:rsidRDefault="000150F9">
          <w:pPr>
            <w:pStyle w:val="TOC3"/>
            <w:tabs>
              <w:tab w:val="right" w:leader="dot" w:pos="9016"/>
            </w:tabs>
            <w:rPr>
              <w:rFonts w:eastAsiaTheme="minorEastAsia"/>
              <w:noProof/>
              <w:lang w:eastAsia="en-AU"/>
            </w:rPr>
          </w:pPr>
          <w:hyperlink w:anchor="_Toc79490234" w:history="1">
            <w:r w:rsidR="00F25866" w:rsidRPr="00B67194">
              <w:rPr>
                <w:rStyle w:val="Hyperlink"/>
                <w:noProof/>
              </w:rPr>
              <w:t>11.4a Batteries</w:t>
            </w:r>
            <w:r w:rsidR="00F25866">
              <w:rPr>
                <w:noProof/>
                <w:webHidden/>
              </w:rPr>
              <w:tab/>
            </w:r>
            <w:r w:rsidR="00F25866">
              <w:rPr>
                <w:noProof/>
                <w:webHidden/>
              </w:rPr>
              <w:fldChar w:fldCharType="begin"/>
            </w:r>
            <w:r w:rsidR="00F25866">
              <w:rPr>
                <w:noProof/>
                <w:webHidden/>
              </w:rPr>
              <w:instrText xml:space="preserve"> PAGEREF _Toc79490234 \h </w:instrText>
            </w:r>
            <w:r w:rsidR="00F25866">
              <w:rPr>
                <w:noProof/>
                <w:webHidden/>
              </w:rPr>
            </w:r>
            <w:r w:rsidR="00F25866">
              <w:rPr>
                <w:noProof/>
                <w:webHidden/>
              </w:rPr>
              <w:fldChar w:fldCharType="separate"/>
            </w:r>
            <w:r w:rsidR="00F25866">
              <w:rPr>
                <w:noProof/>
                <w:webHidden/>
              </w:rPr>
              <w:t>49</w:t>
            </w:r>
            <w:r w:rsidR="00F25866">
              <w:rPr>
                <w:noProof/>
                <w:webHidden/>
              </w:rPr>
              <w:fldChar w:fldCharType="end"/>
            </w:r>
          </w:hyperlink>
        </w:p>
        <w:p w14:paraId="23158A5D" w14:textId="7C58E96A" w:rsidR="00F25866" w:rsidRDefault="000150F9">
          <w:pPr>
            <w:pStyle w:val="TOC2"/>
            <w:tabs>
              <w:tab w:val="left" w:pos="1100"/>
              <w:tab w:val="right" w:leader="dot" w:pos="9016"/>
            </w:tabs>
            <w:rPr>
              <w:rFonts w:eastAsiaTheme="minorEastAsia"/>
              <w:noProof/>
              <w:lang w:eastAsia="en-AU"/>
            </w:rPr>
          </w:pPr>
          <w:hyperlink w:anchor="_Toc79490235" w:history="1">
            <w:r w:rsidR="00F25866" w:rsidRPr="00B67194">
              <w:rPr>
                <w:rStyle w:val="Hyperlink"/>
                <w:noProof/>
              </w:rPr>
              <w:t xml:space="preserve">11.5 </w:t>
            </w:r>
            <w:r w:rsidR="00F25866">
              <w:rPr>
                <w:rFonts w:eastAsiaTheme="minorEastAsia"/>
                <w:noProof/>
                <w:lang w:eastAsia="en-AU"/>
              </w:rPr>
              <w:tab/>
            </w:r>
            <w:r w:rsidR="00F25866" w:rsidRPr="00B67194">
              <w:rPr>
                <w:rStyle w:val="Hyperlink"/>
                <w:noProof/>
              </w:rPr>
              <w:t>Human rights</w:t>
            </w:r>
            <w:r w:rsidR="00F25866">
              <w:rPr>
                <w:noProof/>
                <w:webHidden/>
              </w:rPr>
              <w:tab/>
            </w:r>
            <w:r w:rsidR="00F25866">
              <w:rPr>
                <w:noProof/>
                <w:webHidden/>
              </w:rPr>
              <w:fldChar w:fldCharType="begin"/>
            </w:r>
            <w:r w:rsidR="00F25866">
              <w:rPr>
                <w:noProof/>
                <w:webHidden/>
              </w:rPr>
              <w:instrText xml:space="preserve"> PAGEREF _Toc79490235 \h </w:instrText>
            </w:r>
            <w:r w:rsidR="00F25866">
              <w:rPr>
                <w:noProof/>
                <w:webHidden/>
              </w:rPr>
            </w:r>
            <w:r w:rsidR="00F25866">
              <w:rPr>
                <w:noProof/>
                <w:webHidden/>
              </w:rPr>
              <w:fldChar w:fldCharType="separate"/>
            </w:r>
            <w:r w:rsidR="00F25866">
              <w:rPr>
                <w:noProof/>
                <w:webHidden/>
              </w:rPr>
              <w:t>50</w:t>
            </w:r>
            <w:r w:rsidR="00F25866">
              <w:rPr>
                <w:noProof/>
                <w:webHidden/>
              </w:rPr>
              <w:fldChar w:fldCharType="end"/>
            </w:r>
          </w:hyperlink>
        </w:p>
        <w:p w14:paraId="0C69CA5C" w14:textId="66718089" w:rsidR="00F25866" w:rsidRDefault="000150F9">
          <w:pPr>
            <w:pStyle w:val="TOC2"/>
            <w:tabs>
              <w:tab w:val="left" w:pos="1100"/>
              <w:tab w:val="right" w:leader="dot" w:pos="9016"/>
            </w:tabs>
            <w:rPr>
              <w:rFonts w:eastAsiaTheme="minorEastAsia"/>
              <w:noProof/>
              <w:lang w:eastAsia="en-AU"/>
            </w:rPr>
          </w:pPr>
          <w:hyperlink w:anchor="_Toc79490236" w:history="1">
            <w:r w:rsidR="00F25866" w:rsidRPr="00B67194">
              <w:rPr>
                <w:rStyle w:val="Hyperlink"/>
                <w:noProof/>
              </w:rPr>
              <w:t xml:space="preserve">11.6 </w:t>
            </w:r>
            <w:r w:rsidR="00F25866">
              <w:rPr>
                <w:rFonts w:eastAsiaTheme="minorEastAsia"/>
                <w:noProof/>
                <w:lang w:eastAsia="en-AU"/>
              </w:rPr>
              <w:tab/>
            </w:r>
            <w:r w:rsidR="00F25866" w:rsidRPr="00B67194">
              <w:rPr>
                <w:rStyle w:val="Hyperlink"/>
                <w:noProof/>
              </w:rPr>
              <w:t>Impact and cost-benefit analysis</w:t>
            </w:r>
            <w:r w:rsidR="00F25866">
              <w:rPr>
                <w:noProof/>
                <w:webHidden/>
              </w:rPr>
              <w:tab/>
            </w:r>
            <w:r w:rsidR="00F25866">
              <w:rPr>
                <w:noProof/>
                <w:webHidden/>
              </w:rPr>
              <w:fldChar w:fldCharType="begin"/>
            </w:r>
            <w:r w:rsidR="00F25866">
              <w:rPr>
                <w:noProof/>
                <w:webHidden/>
              </w:rPr>
              <w:instrText xml:space="preserve"> PAGEREF _Toc79490236 \h </w:instrText>
            </w:r>
            <w:r w:rsidR="00F25866">
              <w:rPr>
                <w:noProof/>
                <w:webHidden/>
              </w:rPr>
            </w:r>
            <w:r w:rsidR="00F25866">
              <w:rPr>
                <w:noProof/>
                <w:webHidden/>
              </w:rPr>
              <w:fldChar w:fldCharType="separate"/>
            </w:r>
            <w:r w:rsidR="00F25866">
              <w:rPr>
                <w:noProof/>
                <w:webHidden/>
              </w:rPr>
              <w:t>50</w:t>
            </w:r>
            <w:r w:rsidR="00F25866">
              <w:rPr>
                <w:noProof/>
                <w:webHidden/>
              </w:rPr>
              <w:fldChar w:fldCharType="end"/>
            </w:r>
          </w:hyperlink>
        </w:p>
        <w:p w14:paraId="5184E437" w14:textId="3FFB5939" w:rsidR="00F25866" w:rsidRDefault="000150F9">
          <w:pPr>
            <w:pStyle w:val="TOC1"/>
            <w:tabs>
              <w:tab w:val="left" w:pos="660"/>
              <w:tab w:val="right" w:leader="dot" w:pos="9016"/>
            </w:tabs>
            <w:rPr>
              <w:rFonts w:eastAsiaTheme="minorEastAsia"/>
              <w:noProof/>
              <w:lang w:eastAsia="en-AU"/>
            </w:rPr>
          </w:pPr>
          <w:hyperlink w:anchor="_Toc79490237" w:history="1">
            <w:r w:rsidR="00F25866" w:rsidRPr="00B67194">
              <w:rPr>
                <w:rStyle w:val="Hyperlink"/>
                <w:noProof/>
              </w:rPr>
              <w:t>12.</w:t>
            </w:r>
            <w:r w:rsidR="00F25866">
              <w:rPr>
                <w:rFonts w:eastAsiaTheme="minorEastAsia"/>
                <w:noProof/>
                <w:lang w:eastAsia="en-AU"/>
              </w:rPr>
              <w:tab/>
            </w:r>
            <w:r w:rsidR="00F25866" w:rsidRPr="00B67194">
              <w:rPr>
                <w:rStyle w:val="Hyperlink"/>
                <w:noProof/>
              </w:rPr>
              <w:t>Consultation statement</w:t>
            </w:r>
            <w:r w:rsidR="00F25866">
              <w:rPr>
                <w:noProof/>
                <w:webHidden/>
              </w:rPr>
              <w:tab/>
            </w:r>
            <w:r w:rsidR="00F25866">
              <w:rPr>
                <w:noProof/>
                <w:webHidden/>
              </w:rPr>
              <w:fldChar w:fldCharType="begin"/>
            </w:r>
            <w:r w:rsidR="00F25866">
              <w:rPr>
                <w:noProof/>
                <w:webHidden/>
              </w:rPr>
              <w:instrText xml:space="preserve"> PAGEREF _Toc79490237 \h </w:instrText>
            </w:r>
            <w:r w:rsidR="00F25866">
              <w:rPr>
                <w:noProof/>
                <w:webHidden/>
              </w:rPr>
            </w:r>
            <w:r w:rsidR="00F25866">
              <w:rPr>
                <w:noProof/>
                <w:webHidden/>
              </w:rPr>
              <w:fldChar w:fldCharType="separate"/>
            </w:r>
            <w:r w:rsidR="00F25866">
              <w:rPr>
                <w:noProof/>
                <w:webHidden/>
              </w:rPr>
              <w:t>50</w:t>
            </w:r>
            <w:r w:rsidR="00F25866">
              <w:rPr>
                <w:noProof/>
                <w:webHidden/>
              </w:rPr>
              <w:fldChar w:fldCharType="end"/>
            </w:r>
          </w:hyperlink>
        </w:p>
        <w:p w14:paraId="7234060B" w14:textId="40621E3E" w:rsidR="00F25866" w:rsidRDefault="000150F9">
          <w:pPr>
            <w:pStyle w:val="TOC1"/>
            <w:tabs>
              <w:tab w:val="left" w:pos="660"/>
              <w:tab w:val="right" w:leader="dot" w:pos="9016"/>
            </w:tabs>
            <w:rPr>
              <w:rFonts w:eastAsiaTheme="minorEastAsia"/>
              <w:noProof/>
              <w:lang w:eastAsia="en-AU"/>
            </w:rPr>
          </w:pPr>
          <w:hyperlink w:anchor="_Toc79490238" w:history="1">
            <w:r w:rsidR="00F25866" w:rsidRPr="00B67194">
              <w:rPr>
                <w:rStyle w:val="Hyperlink"/>
                <w:noProof/>
              </w:rPr>
              <w:t>13.</w:t>
            </w:r>
            <w:r w:rsidR="00F25866">
              <w:rPr>
                <w:rFonts w:eastAsiaTheme="minorEastAsia"/>
                <w:noProof/>
                <w:lang w:eastAsia="en-AU"/>
              </w:rPr>
              <w:tab/>
            </w:r>
            <w:r w:rsidR="00F25866" w:rsidRPr="00B67194">
              <w:rPr>
                <w:rStyle w:val="Hyperlink"/>
                <w:noProof/>
              </w:rPr>
              <w:t>Summary of options</w:t>
            </w:r>
            <w:r w:rsidR="00F25866">
              <w:rPr>
                <w:noProof/>
                <w:webHidden/>
              </w:rPr>
              <w:tab/>
            </w:r>
            <w:r w:rsidR="00F25866">
              <w:rPr>
                <w:noProof/>
                <w:webHidden/>
              </w:rPr>
              <w:fldChar w:fldCharType="begin"/>
            </w:r>
            <w:r w:rsidR="00F25866">
              <w:rPr>
                <w:noProof/>
                <w:webHidden/>
              </w:rPr>
              <w:instrText xml:space="preserve"> PAGEREF _Toc79490238 \h </w:instrText>
            </w:r>
            <w:r w:rsidR="00F25866">
              <w:rPr>
                <w:noProof/>
                <w:webHidden/>
              </w:rPr>
            </w:r>
            <w:r w:rsidR="00F25866">
              <w:rPr>
                <w:noProof/>
                <w:webHidden/>
              </w:rPr>
              <w:fldChar w:fldCharType="separate"/>
            </w:r>
            <w:r w:rsidR="00F25866">
              <w:rPr>
                <w:noProof/>
                <w:webHidden/>
              </w:rPr>
              <w:t>51</w:t>
            </w:r>
            <w:r w:rsidR="00F25866">
              <w:rPr>
                <w:noProof/>
                <w:webHidden/>
              </w:rPr>
              <w:fldChar w:fldCharType="end"/>
            </w:r>
          </w:hyperlink>
        </w:p>
        <w:p w14:paraId="50D8BBB2" w14:textId="00F15FFD" w:rsidR="00F25866" w:rsidRDefault="000150F9">
          <w:pPr>
            <w:pStyle w:val="TOC1"/>
            <w:tabs>
              <w:tab w:val="left" w:pos="660"/>
              <w:tab w:val="right" w:leader="dot" w:pos="9016"/>
            </w:tabs>
            <w:rPr>
              <w:rFonts w:eastAsiaTheme="minorEastAsia"/>
              <w:noProof/>
              <w:lang w:eastAsia="en-AU"/>
            </w:rPr>
          </w:pPr>
          <w:hyperlink w:anchor="_Toc79490239" w:history="1">
            <w:r w:rsidR="00F25866" w:rsidRPr="00B67194">
              <w:rPr>
                <w:rStyle w:val="Hyperlink"/>
                <w:noProof/>
              </w:rPr>
              <w:t>14.</w:t>
            </w:r>
            <w:r w:rsidR="00F25866">
              <w:rPr>
                <w:rFonts w:eastAsiaTheme="minorEastAsia"/>
                <w:noProof/>
                <w:lang w:eastAsia="en-AU"/>
              </w:rPr>
              <w:tab/>
            </w:r>
            <w:r w:rsidR="00F25866" w:rsidRPr="00B67194">
              <w:rPr>
                <w:rStyle w:val="Hyperlink"/>
                <w:noProof/>
              </w:rPr>
              <w:t>Recommended option</w:t>
            </w:r>
            <w:r w:rsidR="00F25866">
              <w:rPr>
                <w:noProof/>
                <w:webHidden/>
              </w:rPr>
              <w:tab/>
            </w:r>
            <w:r w:rsidR="00F25866">
              <w:rPr>
                <w:noProof/>
                <w:webHidden/>
              </w:rPr>
              <w:fldChar w:fldCharType="begin"/>
            </w:r>
            <w:r w:rsidR="00F25866">
              <w:rPr>
                <w:noProof/>
                <w:webHidden/>
              </w:rPr>
              <w:instrText xml:space="preserve"> PAGEREF _Toc79490239 \h </w:instrText>
            </w:r>
            <w:r w:rsidR="00F25866">
              <w:rPr>
                <w:noProof/>
                <w:webHidden/>
              </w:rPr>
            </w:r>
            <w:r w:rsidR="00F25866">
              <w:rPr>
                <w:noProof/>
                <w:webHidden/>
              </w:rPr>
              <w:fldChar w:fldCharType="separate"/>
            </w:r>
            <w:r w:rsidR="00F25866">
              <w:rPr>
                <w:noProof/>
                <w:webHidden/>
              </w:rPr>
              <w:t>52</w:t>
            </w:r>
            <w:r w:rsidR="00F25866">
              <w:rPr>
                <w:noProof/>
                <w:webHidden/>
              </w:rPr>
              <w:fldChar w:fldCharType="end"/>
            </w:r>
          </w:hyperlink>
        </w:p>
        <w:p w14:paraId="25A5847E" w14:textId="181F443D" w:rsidR="00F25866" w:rsidRDefault="000150F9">
          <w:pPr>
            <w:pStyle w:val="TOC1"/>
            <w:tabs>
              <w:tab w:val="left" w:pos="660"/>
              <w:tab w:val="right" w:leader="dot" w:pos="9016"/>
            </w:tabs>
            <w:rPr>
              <w:rFonts w:eastAsiaTheme="minorEastAsia"/>
              <w:noProof/>
              <w:lang w:eastAsia="en-AU"/>
            </w:rPr>
          </w:pPr>
          <w:hyperlink w:anchor="_Toc79490240" w:history="1">
            <w:r w:rsidR="00F25866" w:rsidRPr="00B67194">
              <w:rPr>
                <w:rStyle w:val="Hyperlink"/>
                <w:noProof/>
              </w:rPr>
              <w:t>15.</w:t>
            </w:r>
            <w:r w:rsidR="00F25866">
              <w:rPr>
                <w:rFonts w:eastAsiaTheme="minorEastAsia"/>
                <w:noProof/>
                <w:lang w:eastAsia="en-AU"/>
              </w:rPr>
              <w:tab/>
            </w:r>
            <w:r w:rsidR="00F25866" w:rsidRPr="00B67194">
              <w:rPr>
                <w:rStyle w:val="Hyperlink"/>
                <w:noProof/>
              </w:rPr>
              <w:t>Overall impact analysis</w:t>
            </w:r>
            <w:r w:rsidR="00F25866">
              <w:rPr>
                <w:noProof/>
                <w:webHidden/>
              </w:rPr>
              <w:tab/>
            </w:r>
            <w:r w:rsidR="00F25866">
              <w:rPr>
                <w:noProof/>
                <w:webHidden/>
              </w:rPr>
              <w:fldChar w:fldCharType="begin"/>
            </w:r>
            <w:r w:rsidR="00F25866">
              <w:rPr>
                <w:noProof/>
                <w:webHidden/>
              </w:rPr>
              <w:instrText xml:space="preserve"> PAGEREF _Toc79490240 \h </w:instrText>
            </w:r>
            <w:r w:rsidR="00F25866">
              <w:rPr>
                <w:noProof/>
                <w:webHidden/>
              </w:rPr>
            </w:r>
            <w:r w:rsidR="00F25866">
              <w:rPr>
                <w:noProof/>
                <w:webHidden/>
              </w:rPr>
              <w:fldChar w:fldCharType="separate"/>
            </w:r>
            <w:r w:rsidR="00F25866">
              <w:rPr>
                <w:noProof/>
                <w:webHidden/>
              </w:rPr>
              <w:t>52</w:t>
            </w:r>
            <w:r w:rsidR="00F25866">
              <w:rPr>
                <w:noProof/>
                <w:webHidden/>
              </w:rPr>
              <w:fldChar w:fldCharType="end"/>
            </w:r>
          </w:hyperlink>
        </w:p>
        <w:p w14:paraId="59D88DAB" w14:textId="2CF2DE30" w:rsidR="00F25866" w:rsidRDefault="000150F9">
          <w:pPr>
            <w:pStyle w:val="TOC1"/>
            <w:tabs>
              <w:tab w:val="left" w:pos="660"/>
              <w:tab w:val="right" w:leader="dot" w:pos="9016"/>
            </w:tabs>
            <w:rPr>
              <w:rFonts w:eastAsiaTheme="minorEastAsia"/>
              <w:noProof/>
              <w:lang w:eastAsia="en-AU"/>
            </w:rPr>
          </w:pPr>
          <w:hyperlink w:anchor="_Toc79490241" w:history="1">
            <w:r w:rsidR="00F25866" w:rsidRPr="00B67194">
              <w:rPr>
                <w:rStyle w:val="Hyperlink"/>
                <w:noProof/>
              </w:rPr>
              <w:t>16.</w:t>
            </w:r>
            <w:r w:rsidR="00F25866">
              <w:rPr>
                <w:rFonts w:eastAsiaTheme="minorEastAsia"/>
                <w:noProof/>
                <w:lang w:eastAsia="en-AU"/>
              </w:rPr>
              <w:tab/>
            </w:r>
            <w:r w:rsidR="00F25866" w:rsidRPr="00B67194">
              <w:rPr>
                <w:rStyle w:val="Hyperlink"/>
                <w:noProof/>
              </w:rPr>
              <w:t>Conclusion and recommendation</w:t>
            </w:r>
            <w:r w:rsidR="00F25866">
              <w:rPr>
                <w:noProof/>
                <w:webHidden/>
              </w:rPr>
              <w:tab/>
            </w:r>
            <w:r w:rsidR="00F25866">
              <w:rPr>
                <w:noProof/>
                <w:webHidden/>
              </w:rPr>
              <w:fldChar w:fldCharType="begin"/>
            </w:r>
            <w:r w:rsidR="00F25866">
              <w:rPr>
                <w:noProof/>
                <w:webHidden/>
              </w:rPr>
              <w:instrText xml:space="preserve"> PAGEREF _Toc79490241 \h </w:instrText>
            </w:r>
            <w:r w:rsidR="00F25866">
              <w:rPr>
                <w:noProof/>
                <w:webHidden/>
              </w:rPr>
            </w:r>
            <w:r w:rsidR="00F25866">
              <w:rPr>
                <w:noProof/>
                <w:webHidden/>
              </w:rPr>
              <w:fldChar w:fldCharType="separate"/>
            </w:r>
            <w:r w:rsidR="00F25866">
              <w:rPr>
                <w:noProof/>
                <w:webHidden/>
              </w:rPr>
              <w:t>53</w:t>
            </w:r>
            <w:r w:rsidR="00F25866">
              <w:rPr>
                <w:noProof/>
                <w:webHidden/>
              </w:rPr>
              <w:fldChar w:fldCharType="end"/>
            </w:r>
          </w:hyperlink>
        </w:p>
        <w:p w14:paraId="4DEE24B1" w14:textId="63BFC64A" w:rsidR="000869CA" w:rsidRDefault="00FA4129" w:rsidP="00A900DC">
          <w:pPr>
            <w:spacing w:before="100" w:after="100"/>
          </w:pPr>
          <w:r>
            <w:rPr>
              <w:b/>
              <w:bCs/>
              <w:noProof/>
            </w:rPr>
            <w:fldChar w:fldCharType="end"/>
          </w:r>
        </w:p>
      </w:sdtContent>
    </w:sdt>
    <w:p w14:paraId="5473A200" w14:textId="77777777" w:rsidR="000B641B" w:rsidRDefault="000B641B">
      <w:pPr>
        <w:rPr>
          <w:rFonts w:asciiTheme="majorHAnsi" w:hAnsiTheme="majorHAnsi" w:cstheme="majorHAnsi"/>
          <w:color w:val="8496B0" w:themeColor="text2" w:themeTint="99"/>
          <w:sz w:val="32"/>
          <w:szCs w:val="32"/>
        </w:rPr>
      </w:pPr>
      <w:r>
        <w:rPr>
          <w:rFonts w:asciiTheme="majorHAnsi" w:hAnsiTheme="majorHAnsi" w:cstheme="majorHAnsi"/>
          <w:color w:val="8496B0" w:themeColor="text2" w:themeTint="99"/>
          <w:sz w:val="32"/>
          <w:szCs w:val="32"/>
        </w:rPr>
        <w:br w:type="page"/>
      </w:r>
    </w:p>
    <w:p w14:paraId="4A29BCFC" w14:textId="10EC4DDC" w:rsidR="009C1B69" w:rsidRPr="009C1B69" w:rsidRDefault="009C1B69" w:rsidP="00245439">
      <w:pPr>
        <w:keepNext/>
        <w:spacing w:before="100" w:after="100"/>
        <w:rPr>
          <w:rFonts w:asciiTheme="majorHAnsi" w:hAnsiTheme="majorHAnsi" w:cstheme="majorHAnsi"/>
          <w:color w:val="8496B0" w:themeColor="text2" w:themeTint="99"/>
          <w:sz w:val="32"/>
          <w:szCs w:val="32"/>
        </w:rPr>
      </w:pPr>
      <w:r w:rsidRPr="009C1B69">
        <w:rPr>
          <w:rFonts w:asciiTheme="majorHAnsi" w:hAnsiTheme="majorHAnsi" w:cstheme="majorHAnsi"/>
          <w:color w:val="8496B0" w:themeColor="text2" w:themeTint="99"/>
          <w:sz w:val="32"/>
          <w:szCs w:val="32"/>
        </w:rPr>
        <w:lastRenderedPageBreak/>
        <w:t>List of tables</w:t>
      </w:r>
    </w:p>
    <w:p w14:paraId="2616A38D" w14:textId="58653DFA" w:rsidR="000B641B" w:rsidRDefault="009C1B69">
      <w:pPr>
        <w:pStyle w:val="TableofFigures"/>
        <w:tabs>
          <w:tab w:val="right" w:leader="dot" w:pos="9016"/>
        </w:tabs>
        <w:rPr>
          <w:rFonts w:eastAsiaTheme="minorEastAsia"/>
          <w:noProof/>
          <w:lang w:eastAsia="en-AU"/>
        </w:rPr>
      </w:pPr>
      <w:r>
        <w:fldChar w:fldCharType="begin"/>
      </w:r>
      <w:r>
        <w:instrText xml:space="preserve"> TOC \h \z \c "Table" </w:instrText>
      </w:r>
      <w:r>
        <w:fldChar w:fldCharType="separate"/>
      </w:r>
      <w:hyperlink w:anchor="_Toc78275031" w:history="1">
        <w:r w:rsidR="000B641B" w:rsidRPr="003F0919">
          <w:rPr>
            <w:rStyle w:val="Hyperlink"/>
            <w:noProof/>
          </w:rPr>
          <w:t>Table 1 FOGO case studies and issues</w:t>
        </w:r>
        <w:r w:rsidR="000B641B">
          <w:rPr>
            <w:noProof/>
            <w:webHidden/>
          </w:rPr>
          <w:tab/>
        </w:r>
        <w:r w:rsidR="000B641B">
          <w:rPr>
            <w:noProof/>
            <w:webHidden/>
          </w:rPr>
          <w:fldChar w:fldCharType="begin"/>
        </w:r>
        <w:r w:rsidR="000B641B">
          <w:rPr>
            <w:noProof/>
            <w:webHidden/>
          </w:rPr>
          <w:instrText xml:space="preserve"> PAGEREF _Toc78275031 \h </w:instrText>
        </w:r>
        <w:r w:rsidR="000B641B">
          <w:rPr>
            <w:noProof/>
            <w:webHidden/>
          </w:rPr>
        </w:r>
        <w:r w:rsidR="000B641B">
          <w:rPr>
            <w:noProof/>
            <w:webHidden/>
          </w:rPr>
          <w:fldChar w:fldCharType="separate"/>
        </w:r>
        <w:r w:rsidR="000B641B">
          <w:rPr>
            <w:noProof/>
            <w:webHidden/>
          </w:rPr>
          <w:t>11</w:t>
        </w:r>
        <w:r w:rsidR="000B641B">
          <w:rPr>
            <w:noProof/>
            <w:webHidden/>
          </w:rPr>
          <w:fldChar w:fldCharType="end"/>
        </w:r>
      </w:hyperlink>
    </w:p>
    <w:p w14:paraId="4D8D22C7" w14:textId="337AC5CF" w:rsidR="000B641B" w:rsidRDefault="000150F9">
      <w:pPr>
        <w:pStyle w:val="TableofFigures"/>
        <w:tabs>
          <w:tab w:val="right" w:leader="dot" w:pos="9016"/>
        </w:tabs>
        <w:rPr>
          <w:rFonts w:eastAsiaTheme="minorEastAsia"/>
          <w:noProof/>
          <w:lang w:eastAsia="en-AU"/>
        </w:rPr>
      </w:pPr>
      <w:hyperlink w:anchor="_Toc78275032" w:history="1">
        <w:r w:rsidR="000B641B" w:rsidRPr="003F0919">
          <w:rPr>
            <w:rStyle w:val="Hyperlink"/>
            <w:noProof/>
          </w:rPr>
          <w:t>Table 2 FOGO summary of impacts</w:t>
        </w:r>
        <w:r w:rsidR="000B641B">
          <w:rPr>
            <w:noProof/>
            <w:webHidden/>
          </w:rPr>
          <w:tab/>
        </w:r>
        <w:r w:rsidR="000B641B">
          <w:rPr>
            <w:noProof/>
            <w:webHidden/>
          </w:rPr>
          <w:fldChar w:fldCharType="begin"/>
        </w:r>
        <w:r w:rsidR="000B641B">
          <w:rPr>
            <w:noProof/>
            <w:webHidden/>
          </w:rPr>
          <w:instrText xml:space="preserve"> PAGEREF _Toc78275032 \h </w:instrText>
        </w:r>
        <w:r w:rsidR="000B641B">
          <w:rPr>
            <w:noProof/>
            <w:webHidden/>
          </w:rPr>
        </w:r>
        <w:r w:rsidR="000B641B">
          <w:rPr>
            <w:noProof/>
            <w:webHidden/>
          </w:rPr>
          <w:fldChar w:fldCharType="separate"/>
        </w:r>
        <w:r w:rsidR="000B641B">
          <w:rPr>
            <w:noProof/>
            <w:webHidden/>
          </w:rPr>
          <w:t>17</w:t>
        </w:r>
        <w:r w:rsidR="000B641B">
          <w:rPr>
            <w:noProof/>
            <w:webHidden/>
          </w:rPr>
          <w:fldChar w:fldCharType="end"/>
        </w:r>
      </w:hyperlink>
    </w:p>
    <w:p w14:paraId="3A7BFBDE" w14:textId="31480707" w:rsidR="000B641B" w:rsidRDefault="000150F9">
      <w:pPr>
        <w:pStyle w:val="TableofFigures"/>
        <w:tabs>
          <w:tab w:val="right" w:leader="dot" w:pos="9016"/>
        </w:tabs>
        <w:rPr>
          <w:rFonts w:eastAsiaTheme="minorEastAsia"/>
          <w:noProof/>
          <w:lang w:eastAsia="en-AU"/>
        </w:rPr>
      </w:pPr>
      <w:hyperlink w:anchor="_Toc78275033" w:history="1">
        <w:r w:rsidR="000B641B" w:rsidRPr="003F0919">
          <w:rPr>
            <w:rStyle w:val="Hyperlink"/>
            <w:noProof/>
          </w:rPr>
          <w:t>Table 3 Commentary on bin diving, from Canberra Noticeboard March 2021</w:t>
        </w:r>
        <w:r w:rsidR="000B641B">
          <w:rPr>
            <w:noProof/>
            <w:webHidden/>
          </w:rPr>
          <w:tab/>
        </w:r>
        <w:r w:rsidR="000B641B">
          <w:rPr>
            <w:noProof/>
            <w:webHidden/>
          </w:rPr>
          <w:fldChar w:fldCharType="begin"/>
        </w:r>
        <w:r w:rsidR="000B641B">
          <w:rPr>
            <w:noProof/>
            <w:webHidden/>
          </w:rPr>
          <w:instrText xml:space="preserve"> PAGEREF _Toc78275033 \h </w:instrText>
        </w:r>
        <w:r w:rsidR="000B641B">
          <w:rPr>
            <w:noProof/>
            <w:webHidden/>
          </w:rPr>
        </w:r>
        <w:r w:rsidR="000B641B">
          <w:rPr>
            <w:noProof/>
            <w:webHidden/>
          </w:rPr>
          <w:fldChar w:fldCharType="separate"/>
        </w:r>
        <w:r w:rsidR="000B641B">
          <w:rPr>
            <w:noProof/>
            <w:webHidden/>
          </w:rPr>
          <w:t>19</w:t>
        </w:r>
        <w:r w:rsidR="000B641B">
          <w:rPr>
            <w:noProof/>
            <w:webHidden/>
          </w:rPr>
          <w:fldChar w:fldCharType="end"/>
        </w:r>
      </w:hyperlink>
    </w:p>
    <w:p w14:paraId="417A49BE" w14:textId="19CAAAB1" w:rsidR="000B641B" w:rsidRDefault="000150F9">
      <w:pPr>
        <w:pStyle w:val="TableofFigures"/>
        <w:tabs>
          <w:tab w:val="right" w:leader="dot" w:pos="9016"/>
        </w:tabs>
        <w:rPr>
          <w:rFonts w:eastAsiaTheme="minorEastAsia"/>
          <w:noProof/>
          <w:lang w:eastAsia="en-AU"/>
        </w:rPr>
      </w:pPr>
      <w:hyperlink w:anchor="_Toc78275034" w:history="1">
        <w:r w:rsidR="000B641B" w:rsidRPr="003F0919">
          <w:rPr>
            <w:rStyle w:val="Hyperlink"/>
            <w:noProof/>
          </w:rPr>
          <w:t>Table 4 Excerpts from workplace health and safety incidents from likely kerbside container offences</w:t>
        </w:r>
        <w:r w:rsidR="000B641B">
          <w:rPr>
            <w:noProof/>
            <w:webHidden/>
          </w:rPr>
          <w:tab/>
        </w:r>
        <w:r w:rsidR="000B641B">
          <w:rPr>
            <w:noProof/>
            <w:webHidden/>
          </w:rPr>
          <w:fldChar w:fldCharType="begin"/>
        </w:r>
        <w:r w:rsidR="000B641B">
          <w:rPr>
            <w:noProof/>
            <w:webHidden/>
          </w:rPr>
          <w:instrText xml:space="preserve"> PAGEREF _Toc78275034 \h </w:instrText>
        </w:r>
        <w:r w:rsidR="000B641B">
          <w:rPr>
            <w:noProof/>
            <w:webHidden/>
          </w:rPr>
        </w:r>
        <w:r w:rsidR="000B641B">
          <w:rPr>
            <w:noProof/>
            <w:webHidden/>
          </w:rPr>
          <w:fldChar w:fldCharType="separate"/>
        </w:r>
        <w:r w:rsidR="000B641B">
          <w:rPr>
            <w:noProof/>
            <w:webHidden/>
          </w:rPr>
          <w:t>21</w:t>
        </w:r>
        <w:r w:rsidR="000B641B">
          <w:rPr>
            <w:noProof/>
            <w:webHidden/>
          </w:rPr>
          <w:fldChar w:fldCharType="end"/>
        </w:r>
      </w:hyperlink>
    </w:p>
    <w:p w14:paraId="0B6BCC8D" w14:textId="4CD87B07" w:rsidR="000B641B" w:rsidRDefault="000150F9">
      <w:pPr>
        <w:pStyle w:val="TableofFigures"/>
        <w:tabs>
          <w:tab w:val="right" w:leader="dot" w:pos="9016"/>
        </w:tabs>
        <w:rPr>
          <w:rFonts w:eastAsiaTheme="minorEastAsia"/>
          <w:noProof/>
          <w:lang w:eastAsia="en-AU"/>
        </w:rPr>
      </w:pPr>
      <w:hyperlink w:anchor="_Toc78275035" w:history="1">
        <w:r w:rsidR="000B641B" w:rsidRPr="003F0919">
          <w:rPr>
            <w:rStyle w:val="Hyperlink"/>
            <w:noProof/>
          </w:rPr>
          <w:t>Table 5 Offences related to kerbside waste container storage and collection</w:t>
        </w:r>
        <w:r w:rsidR="000B641B">
          <w:rPr>
            <w:noProof/>
            <w:webHidden/>
          </w:rPr>
          <w:tab/>
        </w:r>
        <w:r w:rsidR="000B641B">
          <w:rPr>
            <w:noProof/>
            <w:webHidden/>
          </w:rPr>
          <w:fldChar w:fldCharType="begin"/>
        </w:r>
        <w:r w:rsidR="000B641B">
          <w:rPr>
            <w:noProof/>
            <w:webHidden/>
          </w:rPr>
          <w:instrText xml:space="preserve"> PAGEREF _Toc78275035 \h </w:instrText>
        </w:r>
        <w:r w:rsidR="000B641B">
          <w:rPr>
            <w:noProof/>
            <w:webHidden/>
          </w:rPr>
        </w:r>
        <w:r w:rsidR="000B641B">
          <w:rPr>
            <w:noProof/>
            <w:webHidden/>
          </w:rPr>
          <w:fldChar w:fldCharType="separate"/>
        </w:r>
        <w:r w:rsidR="000B641B">
          <w:rPr>
            <w:noProof/>
            <w:webHidden/>
          </w:rPr>
          <w:t>26</w:t>
        </w:r>
        <w:r w:rsidR="000B641B">
          <w:rPr>
            <w:noProof/>
            <w:webHidden/>
          </w:rPr>
          <w:fldChar w:fldCharType="end"/>
        </w:r>
      </w:hyperlink>
    </w:p>
    <w:p w14:paraId="4192FE7C" w14:textId="0BDA03B6" w:rsidR="000B641B" w:rsidRDefault="000150F9">
      <w:pPr>
        <w:pStyle w:val="TableofFigures"/>
        <w:tabs>
          <w:tab w:val="right" w:leader="dot" w:pos="9016"/>
        </w:tabs>
        <w:rPr>
          <w:rFonts w:eastAsiaTheme="minorEastAsia"/>
          <w:noProof/>
          <w:lang w:eastAsia="en-AU"/>
        </w:rPr>
      </w:pPr>
      <w:hyperlink w:anchor="_Toc78275036" w:history="1">
        <w:r w:rsidR="000B641B" w:rsidRPr="003F0919">
          <w:rPr>
            <w:rStyle w:val="Hyperlink"/>
            <w:noProof/>
          </w:rPr>
          <w:t>Table 6 Kerbside container management summary of impacts</w:t>
        </w:r>
        <w:r w:rsidR="000B641B">
          <w:rPr>
            <w:noProof/>
            <w:webHidden/>
          </w:rPr>
          <w:tab/>
        </w:r>
        <w:r w:rsidR="000B641B">
          <w:rPr>
            <w:noProof/>
            <w:webHidden/>
          </w:rPr>
          <w:fldChar w:fldCharType="begin"/>
        </w:r>
        <w:r w:rsidR="000B641B">
          <w:rPr>
            <w:noProof/>
            <w:webHidden/>
          </w:rPr>
          <w:instrText xml:space="preserve"> PAGEREF _Toc78275036 \h </w:instrText>
        </w:r>
        <w:r w:rsidR="000B641B">
          <w:rPr>
            <w:noProof/>
            <w:webHidden/>
          </w:rPr>
        </w:r>
        <w:r w:rsidR="000B641B">
          <w:rPr>
            <w:noProof/>
            <w:webHidden/>
          </w:rPr>
          <w:fldChar w:fldCharType="separate"/>
        </w:r>
        <w:r w:rsidR="000B641B">
          <w:rPr>
            <w:noProof/>
            <w:webHidden/>
          </w:rPr>
          <w:t>28</w:t>
        </w:r>
        <w:r w:rsidR="000B641B">
          <w:rPr>
            <w:noProof/>
            <w:webHidden/>
          </w:rPr>
          <w:fldChar w:fldCharType="end"/>
        </w:r>
      </w:hyperlink>
    </w:p>
    <w:p w14:paraId="3F39BCE7" w14:textId="6181D26D" w:rsidR="000B641B" w:rsidRDefault="000150F9">
      <w:pPr>
        <w:pStyle w:val="TableofFigures"/>
        <w:tabs>
          <w:tab w:val="right" w:leader="dot" w:pos="9016"/>
        </w:tabs>
        <w:rPr>
          <w:rFonts w:eastAsiaTheme="minorEastAsia"/>
          <w:noProof/>
          <w:lang w:eastAsia="en-AU"/>
        </w:rPr>
      </w:pPr>
      <w:hyperlink w:anchor="_Toc78275037" w:history="1">
        <w:r w:rsidR="000B641B" w:rsidRPr="003F0919">
          <w:rPr>
            <w:rStyle w:val="Hyperlink"/>
            <w:noProof/>
          </w:rPr>
          <w:t>Table 7 Excerpts from workplace health and safety incidents from offences at facilities</w:t>
        </w:r>
        <w:r w:rsidR="000B641B">
          <w:rPr>
            <w:noProof/>
            <w:webHidden/>
          </w:rPr>
          <w:tab/>
        </w:r>
        <w:r w:rsidR="000B641B">
          <w:rPr>
            <w:noProof/>
            <w:webHidden/>
          </w:rPr>
          <w:fldChar w:fldCharType="begin"/>
        </w:r>
        <w:r w:rsidR="000B641B">
          <w:rPr>
            <w:noProof/>
            <w:webHidden/>
          </w:rPr>
          <w:instrText xml:space="preserve"> PAGEREF _Toc78275037 \h </w:instrText>
        </w:r>
        <w:r w:rsidR="000B641B">
          <w:rPr>
            <w:noProof/>
            <w:webHidden/>
          </w:rPr>
        </w:r>
        <w:r w:rsidR="000B641B">
          <w:rPr>
            <w:noProof/>
            <w:webHidden/>
          </w:rPr>
          <w:fldChar w:fldCharType="separate"/>
        </w:r>
        <w:r w:rsidR="000B641B">
          <w:rPr>
            <w:noProof/>
            <w:webHidden/>
          </w:rPr>
          <w:t>30</w:t>
        </w:r>
        <w:r w:rsidR="000B641B">
          <w:rPr>
            <w:noProof/>
            <w:webHidden/>
          </w:rPr>
          <w:fldChar w:fldCharType="end"/>
        </w:r>
      </w:hyperlink>
    </w:p>
    <w:p w14:paraId="2510CC4D" w14:textId="4F352763" w:rsidR="000B641B" w:rsidRDefault="000150F9">
      <w:pPr>
        <w:pStyle w:val="TableofFigures"/>
        <w:tabs>
          <w:tab w:val="right" w:leader="dot" w:pos="9016"/>
        </w:tabs>
        <w:rPr>
          <w:rFonts w:eastAsiaTheme="minorEastAsia"/>
          <w:noProof/>
          <w:lang w:eastAsia="en-AU"/>
        </w:rPr>
      </w:pPr>
      <w:hyperlink w:anchor="_Toc78275038" w:history="1">
        <w:r w:rsidR="000B641B" w:rsidRPr="003F0919">
          <w:rPr>
            <w:rStyle w:val="Hyperlink"/>
            <w:noProof/>
          </w:rPr>
          <w:t>Table 8 Offences related to disposing of waste at a waste facility</w:t>
        </w:r>
        <w:r w:rsidR="000B641B">
          <w:rPr>
            <w:noProof/>
            <w:webHidden/>
          </w:rPr>
          <w:tab/>
        </w:r>
        <w:r w:rsidR="000B641B">
          <w:rPr>
            <w:noProof/>
            <w:webHidden/>
          </w:rPr>
          <w:fldChar w:fldCharType="begin"/>
        </w:r>
        <w:r w:rsidR="000B641B">
          <w:rPr>
            <w:noProof/>
            <w:webHidden/>
          </w:rPr>
          <w:instrText xml:space="preserve"> PAGEREF _Toc78275038 \h </w:instrText>
        </w:r>
        <w:r w:rsidR="000B641B">
          <w:rPr>
            <w:noProof/>
            <w:webHidden/>
          </w:rPr>
        </w:r>
        <w:r w:rsidR="000B641B">
          <w:rPr>
            <w:noProof/>
            <w:webHidden/>
          </w:rPr>
          <w:fldChar w:fldCharType="separate"/>
        </w:r>
        <w:r w:rsidR="000B641B">
          <w:rPr>
            <w:noProof/>
            <w:webHidden/>
          </w:rPr>
          <w:t>36</w:t>
        </w:r>
        <w:r w:rsidR="000B641B">
          <w:rPr>
            <w:noProof/>
            <w:webHidden/>
          </w:rPr>
          <w:fldChar w:fldCharType="end"/>
        </w:r>
      </w:hyperlink>
    </w:p>
    <w:p w14:paraId="107A6C69" w14:textId="6C222C1E" w:rsidR="000B641B" w:rsidRDefault="000150F9">
      <w:pPr>
        <w:pStyle w:val="TableofFigures"/>
        <w:tabs>
          <w:tab w:val="right" w:leader="dot" w:pos="9016"/>
        </w:tabs>
        <w:rPr>
          <w:rFonts w:eastAsiaTheme="minorEastAsia"/>
          <w:noProof/>
          <w:lang w:eastAsia="en-AU"/>
        </w:rPr>
      </w:pPr>
      <w:hyperlink w:anchor="_Toc78275039" w:history="1">
        <w:r w:rsidR="000B641B" w:rsidRPr="003F0919">
          <w:rPr>
            <w:rStyle w:val="Hyperlink"/>
            <w:noProof/>
          </w:rPr>
          <w:t>Table 9 Enforceability of appropriate uses of waste facilities summary of impacts</w:t>
        </w:r>
        <w:r w:rsidR="000B641B">
          <w:rPr>
            <w:noProof/>
            <w:webHidden/>
          </w:rPr>
          <w:tab/>
        </w:r>
        <w:r w:rsidR="000B641B">
          <w:rPr>
            <w:noProof/>
            <w:webHidden/>
          </w:rPr>
          <w:fldChar w:fldCharType="begin"/>
        </w:r>
        <w:r w:rsidR="000B641B">
          <w:rPr>
            <w:noProof/>
            <w:webHidden/>
          </w:rPr>
          <w:instrText xml:space="preserve"> PAGEREF _Toc78275039 \h </w:instrText>
        </w:r>
        <w:r w:rsidR="000B641B">
          <w:rPr>
            <w:noProof/>
            <w:webHidden/>
          </w:rPr>
        </w:r>
        <w:r w:rsidR="000B641B">
          <w:rPr>
            <w:noProof/>
            <w:webHidden/>
          </w:rPr>
          <w:fldChar w:fldCharType="separate"/>
        </w:r>
        <w:r w:rsidR="000B641B">
          <w:rPr>
            <w:noProof/>
            <w:webHidden/>
          </w:rPr>
          <w:t>41</w:t>
        </w:r>
        <w:r w:rsidR="000B641B">
          <w:rPr>
            <w:noProof/>
            <w:webHidden/>
          </w:rPr>
          <w:fldChar w:fldCharType="end"/>
        </w:r>
      </w:hyperlink>
    </w:p>
    <w:p w14:paraId="439DA1BB" w14:textId="180FF9A8" w:rsidR="000B641B" w:rsidRDefault="000150F9">
      <w:pPr>
        <w:pStyle w:val="TableofFigures"/>
        <w:tabs>
          <w:tab w:val="right" w:leader="dot" w:pos="9016"/>
        </w:tabs>
        <w:rPr>
          <w:rFonts w:eastAsiaTheme="minorEastAsia"/>
          <w:noProof/>
          <w:lang w:eastAsia="en-AU"/>
        </w:rPr>
      </w:pPr>
      <w:hyperlink w:anchor="_Toc78275040" w:history="1">
        <w:r w:rsidR="000B641B" w:rsidRPr="003F0919">
          <w:rPr>
            <w:rStyle w:val="Hyperlink"/>
            <w:noProof/>
          </w:rPr>
          <w:t>Table 10 Container deposit scheme simplification summary of impacts</w:t>
        </w:r>
        <w:r w:rsidR="000B641B">
          <w:rPr>
            <w:noProof/>
            <w:webHidden/>
          </w:rPr>
          <w:tab/>
        </w:r>
        <w:r w:rsidR="000B641B">
          <w:rPr>
            <w:noProof/>
            <w:webHidden/>
          </w:rPr>
          <w:fldChar w:fldCharType="begin"/>
        </w:r>
        <w:r w:rsidR="000B641B">
          <w:rPr>
            <w:noProof/>
            <w:webHidden/>
          </w:rPr>
          <w:instrText xml:space="preserve"> PAGEREF _Toc78275040 \h </w:instrText>
        </w:r>
        <w:r w:rsidR="000B641B">
          <w:rPr>
            <w:noProof/>
            <w:webHidden/>
          </w:rPr>
        </w:r>
        <w:r w:rsidR="000B641B">
          <w:rPr>
            <w:noProof/>
            <w:webHidden/>
          </w:rPr>
          <w:fldChar w:fldCharType="separate"/>
        </w:r>
        <w:r w:rsidR="000B641B">
          <w:rPr>
            <w:noProof/>
            <w:webHidden/>
          </w:rPr>
          <w:t>43</w:t>
        </w:r>
        <w:r w:rsidR="000B641B">
          <w:rPr>
            <w:noProof/>
            <w:webHidden/>
          </w:rPr>
          <w:fldChar w:fldCharType="end"/>
        </w:r>
      </w:hyperlink>
    </w:p>
    <w:p w14:paraId="11525582" w14:textId="2CC8A12C" w:rsidR="000B641B" w:rsidRDefault="000150F9">
      <w:pPr>
        <w:pStyle w:val="TableofFigures"/>
        <w:tabs>
          <w:tab w:val="right" w:leader="dot" w:pos="9016"/>
        </w:tabs>
        <w:rPr>
          <w:rFonts w:eastAsiaTheme="minorEastAsia"/>
          <w:noProof/>
          <w:lang w:eastAsia="en-AU"/>
        </w:rPr>
      </w:pPr>
      <w:hyperlink w:anchor="_Toc78275041" w:history="1">
        <w:r w:rsidR="000B641B" w:rsidRPr="003F0919">
          <w:rPr>
            <w:rStyle w:val="Hyperlink"/>
            <w:noProof/>
          </w:rPr>
          <w:t>Table 11 Problems and objectives in waste definitions and reporting</w:t>
        </w:r>
        <w:r w:rsidR="000B641B">
          <w:rPr>
            <w:noProof/>
            <w:webHidden/>
          </w:rPr>
          <w:tab/>
        </w:r>
        <w:r w:rsidR="000B641B">
          <w:rPr>
            <w:noProof/>
            <w:webHidden/>
          </w:rPr>
          <w:fldChar w:fldCharType="begin"/>
        </w:r>
        <w:r w:rsidR="000B641B">
          <w:rPr>
            <w:noProof/>
            <w:webHidden/>
          </w:rPr>
          <w:instrText xml:space="preserve"> PAGEREF _Toc78275041 \h </w:instrText>
        </w:r>
        <w:r w:rsidR="000B641B">
          <w:rPr>
            <w:noProof/>
            <w:webHidden/>
          </w:rPr>
        </w:r>
        <w:r w:rsidR="000B641B">
          <w:rPr>
            <w:noProof/>
            <w:webHidden/>
          </w:rPr>
          <w:fldChar w:fldCharType="separate"/>
        </w:r>
        <w:r w:rsidR="000B641B">
          <w:rPr>
            <w:noProof/>
            <w:webHidden/>
          </w:rPr>
          <w:t>44</w:t>
        </w:r>
        <w:r w:rsidR="000B641B">
          <w:rPr>
            <w:noProof/>
            <w:webHidden/>
          </w:rPr>
          <w:fldChar w:fldCharType="end"/>
        </w:r>
      </w:hyperlink>
    </w:p>
    <w:p w14:paraId="1EA71626" w14:textId="2CA3962C" w:rsidR="000B641B" w:rsidRDefault="000150F9">
      <w:pPr>
        <w:pStyle w:val="TableofFigures"/>
        <w:tabs>
          <w:tab w:val="right" w:leader="dot" w:pos="9016"/>
        </w:tabs>
        <w:rPr>
          <w:rFonts w:eastAsiaTheme="minorEastAsia"/>
          <w:noProof/>
          <w:lang w:eastAsia="en-AU"/>
        </w:rPr>
      </w:pPr>
      <w:hyperlink w:anchor="_Toc78275042" w:history="1">
        <w:r w:rsidR="000B641B" w:rsidRPr="003F0919">
          <w:rPr>
            <w:rStyle w:val="Hyperlink"/>
            <w:noProof/>
          </w:rPr>
          <w:t>Table 12 Waste activity definitions and reporting summary of impacts</w:t>
        </w:r>
        <w:r w:rsidR="000B641B">
          <w:rPr>
            <w:noProof/>
            <w:webHidden/>
          </w:rPr>
          <w:tab/>
        </w:r>
        <w:r w:rsidR="000B641B">
          <w:rPr>
            <w:noProof/>
            <w:webHidden/>
          </w:rPr>
          <w:fldChar w:fldCharType="begin"/>
        </w:r>
        <w:r w:rsidR="000B641B">
          <w:rPr>
            <w:noProof/>
            <w:webHidden/>
          </w:rPr>
          <w:instrText xml:space="preserve"> PAGEREF _Toc78275042 \h </w:instrText>
        </w:r>
        <w:r w:rsidR="000B641B">
          <w:rPr>
            <w:noProof/>
            <w:webHidden/>
          </w:rPr>
        </w:r>
        <w:r w:rsidR="000B641B">
          <w:rPr>
            <w:noProof/>
            <w:webHidden/>
          </w:rPr>
          <w:fldChar w:fldCharType="separate"/>
        </w:r>
        <w:r w:rsidR="000B641B">
          <w:rPr>
            <w:noProof/>
            <w:webHidden/>
          </w:rPr>
          <w:t>48</w:t>
        </w:r>
        <w:r w:rsidR="000B641B">
          <w:rPr>
            <w:noProof/>
            <w:webHidden/>
          </w:rPr>
          <w:fldChar w:fldCharType="end"/>
        </w:r>
      </w:hyperlink>
    </w:p>
    <w:p w14:paraId="7824F448" w14:textId="0B0972F2" w:rsidR="00245439" w:rsidRDefault="009C1B69" w:rsidP="00A900DC">
      <w:pPr>
        <w:spacing w:before="100" w:after="100"/>
      </w:pPr>
      <w:r>
        <w:fldChar w:fldCharType="end"/>
      </w:r>
    </w:p>
    <w:p w14:paraId="21985C82" w14:textId="42B214AF" w:rsidR="00245439" w:rsidRDefault="00245439" w:rsidP="00A900DC">
      <w:pPr>
        <w:spacing w:before="100" w:after="100"/>
      </w:pPr>
      <w:r w:rsidRPr="009C1B69">
        <w:rPr>
          <w:rFonts w:asciiTheme="majorHAnsi" w:hAnsiTheme="majorHAnsi" w:cstheme="majorHAnsi"/>
          <w:color w:val="8496B0" w:themeColor="text2" w:themeTint="99"/>
          <w:sz w:val="32"/>
          <w:szCs w:val="32"/>
        </w:rPr>
        <w:t xml:space="preserve">List of </w:t>
      </w:r>
      <w:r>
        <w:rPr>
          <w:rFonts w:asciiTheme="majorHAnsi" w:hAnsiTheme="majorHAnsi" w:cstheme="majorHAnsi"/>
          <w:color w:val="8496B0" w:themeColor="text2" w:themeTint="99"/>
          <w:sz w:val="32"/>
          <w:szCs w:val="32"/>
        </w:rPr>
        <w:t>figures</w:t>
      </w:r>
    </w:p>
    <w:p w14:paraId="5C9E5C93" w14:textId="29C205F5" w:rsidR="000B641B" w:rsidRDefault="00245439">
      <w:pPr>
        <w:pStyle w:val="TableofFigures"/>
        <w:tabs>
          <w:tab w:val="right" w:leader="dot" w:pos="9016"/>
        </w:tabs>
        <w:rPr>
          <w:rFonts w:eastAsiaTheme="minorEastAsia"/>
          <w:noProof/>
          <w:lang w:eastAsia="en-AU"/>
        </w:rPr>
      </w:pPr>
      <w:r>
        <w:fldChar w:fldCharType="begin"/>
      </w:r>
      <w:r>
        <w:instrText xml:space="preserve"> TOC \h \z \c "Figure" </w:instrText>
      </w:r>
      <w:r>
        <w:fldChar w:fldCharType="separate"/>
      </w:r>
      <w:hyperlink w:anchor="_Toc78275043" w:history="1">
        <w:r w:rsidR="000B641B" w:rsidRPr="004330EA">
          <w:rPr>
            <w:rStyle w:val="Hyperlink"/>
            <w:noProof/>
          </w:rPr>
          <w:t>Figure 1 Options for replacement bins</w:t>
        </w:r>
        <w:r w:rsidR="000B641B">
          <w:rPr>
            <w:noProof/>
            <w:webHidden/>
          </w:rPr>
          <w:tab/>
        </w:r>
        <w:r w:rsidR="000B641B">
          <w:rPr>
            <w:noProof/>
            <w:webHidden/>
          </w:rPr>
          <w:fldChar w:fldCharType="begin"/>
        </w:r>
        <w:r w:rsidR="000B641B">
          <w:rPr>
            <w:noProof/>
            <w:webHidden/>
          </w:rPr>
          <w:instrText xml:space="preserve"> PAGEREF _Toc78275043 \h </w:instrText>
        </w:r>
        <w:r w:rsidR="000B641B">
          <w:rPr>
            <w:noProof/>
            <w:webHidden/>
          </w:rPr>
        </w:r>
        <w:r w:rsidR="000B641B">
          <w:rPr>
            <w:noProof/>
            <w:webHidden/>
          </w:rPr>
          <w:fldChar w:fldCharType="separate"/>
        </w:r>
        <w:r w:rsidR="000B641B">
          <w:rPr>
            <w:noProof/>
            <w:webHidden/>
          </w:rPr>
          <w:t>17</w:t>
        </w:r>
        <w:r w:rsidR="000B641B">
          <w:rPr>
            <w:noProof/>
            <w:webHidden/>
          </w:rPr>
          <w:fldChar w:fldCharType="end"/>
        </w:r>
      </w:hyperlink>
    </w:p>
    <w:p w14:paraId="42526452" w14:textId="1D4AC5CC" w:rsidR="000B641B" w:rsidRDefault="000150F9">
      <w:pPr>
        <w:pStyle w:val="TableofFigures"/>
        <w:tabs>
          <w:tab w:val="right" w:leader="dot" w:pos="9016"/>
        </w:tabs>
        <w:rPr>
          <w:rFonts w:eastAsiaTheme="minorEastAsia"/>
          <w:noProof/>
          <w:lang w:eastAsia="en-AU"/>
        </w:rPr>
      </w:pPr>
      <w:hyperlink w:anchor="_Toc78275044" w:history="1">
        <w:r w:rsidR="000B641B" w:rsidRPr="004330EA">
          <w:rPr>
            <w:rStyle w:val="Hyperlink"/>
            <w:noProof/>
          </w:rPr>
          <w:t>Figure 2 Analysis of comments made in Canberra Noticeboard bin diving debate, March 2021</w:t>
        </w:r>
        <w:r w:rsidR="000B641B">
          <w:rPr>
            <w:noProof/>
            <w:webHidden/>
          </w:rPr>
          <w:tab/>
        </w:r>
        <w:r w:rsidR="000B641B">
          <w:rPr>
            <w:noProof/>
            <w:webHidden/>
          </w:rPr>
          <w:fldChar w:fldCharType="begin"/>
        </w:r>
        <w:r w:rsidR="000B641B">
          <w:rPr>
            <w:noProof/>
            <w:webHidden/>
          </w:rPr>
          <w:instrText xml:space="preserve"> PAGEREF _Toc78275044 \h </w:instrText>
        </w:r>
        <w:r w:rsidR="000B641B">
          <w:rPr>
            <w:noProof/>
            <w:webHidden/>
          </w:rPr>
        </w:r>
        <w:r w:rsidR="000B641B">
          <w:rPr>
            <w:noProof/>
            <w:webHidden/>
          </w:rPr>
          <w:fldChar w:fldCharType="separate"/>
        </w:r>
        <w:r w:rsidR="000B641B">
          <w:rPr>
            <w:noProof/>
            <w:webHidden/>
          </w:rPr>
          <w:t>20</w:t>
        </w:r>
        <w:r w:rsidR="000B641B">
          <w:rPr>
            <w:noProof/>
            <w:webHidden/>
          </w:rPr>
          <w:fldChar w:fldCharType="end"/>
        </w:r>
      </w:hyperlink>
    </w:p>
    <w:p w14:paraId="6DDF78D3" w14:textId="1547AC4B" w:rsidR="000B641B" w:rsidRDefault="000150F9">
      <w:pPr>
        <w:pStyle w:val="TableofFigures"/>
        <w:tabs>
          <w:tab w:val="right" w:leader="dot" w:pos="9016"/>
        </w:tabs>
        <w:rPr>
          <w:rFonts w:eastAsiaTheme="minorEastAsia"/>
          <w:noProof/>
          <w:lang w:eastAsia="en-AU"/>
        </w:rPr>
      </w:pPr>
      <w:hyperlink w:anchor="_Toc78275045" w:history="1">
        <w:r w:rsidR="000B641B" w:rsidRPr="004330EA">
          <w:rPr>
            <w:rStyle w:val="Hyperlink"/>
            <w:noProof/>
          </w:rPr>
          <w:t>Figure 3 Analysis of workplace health and safety incidents caused by likely kerbside container offences, 2017-2021</w:t>
        </w:r>
        <w:r w:rsidR="000B641B">
          <w:rPr>
            <w:noProof/>
            <w:webHidden/>
          </w:rPr>
          <w:tab/>
        </w:r>
        <w:r w:rsidR="000B641B">
          <w:rPr>
            <w:noProof/>
            <w:webHidden/>
          </w:rPr>
          <w:fldChar w:fldCharType="begin"/>
        </w:r>
        <w:r w:rsidR="000B641B">
          <w:rPr>
            <w:noProof/>
            <w:webHidden/>
          </w:rPr>
          <w:instrText xml:space="preserve"> PAGEREF _Toc78275045 \h </w:instrText>
        </w:r>
        <w:r w:rsidR="000B641B">
          <w:rPr>
            <w:noProof/>
            <w:webHidden/>
          </w:rPr>
        </w:r>
        <w:r w:rsidR="000B641B">
          <w:rPr>
            <w:noProof/>
            <w:webHidden/>
          </w:rPr>
          <w:fldChar w:fldCharType="separate"/>
        </w:r>
        <w:r w:rsidR="000B641B">
          <w:rPr>
            <w:noProof/>
            <w:webHidden/>
          </w:rPr>
          <w:t>23</w:t>
        </w:r>
        <w:r w:rsidR="000B641B">
          <w:rPr>
            <w:noProof/>
            <w:webHidden/>
          </w:rPr>
          <w:fldChar w:fldCharType="end"/>
        </w:r>
      </w:hyperlink>
    </w:p>
    <w:p w14:paraId="312B2B18" w14:textId="02D08722" w:rsidR="000B641B" w:rsidRDefault="000150F9">
      <w:pPr>
        <w:pStyle w:val="TableofFigures"/>
        <w:tabs>
          <w:tab w:val="right" w:leader="dot" w:pos="9016"/>
        </w:tabs>
        <w:rPr>
          <w:rFonts w:eastAsiaTheme="minorEastAsia"/>
          <w:noProof/>
          <w:lang w:eastAsia="en-AU"/>
        </w:rPr>
      </w:pPr>
      <w:hyperlink w:anchor="_Toc78275046" w:history="1">
        <w:r w:rsidR="000B641B" w:rsidRPr="004330EA">
          <w:rPr>
            <w:rStyle w:val="Hyperlink"/>
            <w:noProof/>
          </w:rPr>
          <w:t>Figure 4 Analysis of workplace health and safety incidents from offences at waste facilities, 2017-2021</w:t>
        </w:r>
        <w:r w:rsidR="000B641B">
          <w:rPr>
            <w:noProof/>
            <w:webHidden/>
          </w:rPr>
          <w:tab/>
        </w:r>
        <w:r w:rsidR="000B641B">
          <w:rPr>
            <w:noProof/>
            <w:webHidden/>
          </w:rPr>
          <w:fldChar w:fldCharType="begin"/>
        </w:r>
        <w:r w:rsidR="000B641B">
          <w:rPr>
            <w:noProof/>
            <w:webHidden/>
          </w:rPr>
          <w:instrText xml:space="preserve"> PAGEREF _Toc78275046 \h </w:instrText>
        </w:r>
        <w:r w:rsidR="000B641B">
          <w:rPr>
            <w:noProof/>
            <w:webHidden/>
          </w:rPr>
        </w:r>
        <w:r w:rsidR="000B641B">
          <w:rPr>
            <w:noProof/>
            <w:webHidden/>
          </w:rPr>
          <w:fldChar w:fldCharType="separate"/>
        </w:r>
        <w:r w:rsidR="000B641B">
          <w:rPr>
            <w:noProof/>
            <w:webHidden/>
          </w:rPr>
          <w:t>31</w:t>
        </w:r>
        <w:r w:rsidR="000B641B">
          <w:rPr>
            <w:noProof/>
            <w:webHidden/>
          </w:rPr>
          <w:fldChar w:fldCharType="end"/>
        </w:r>
      </w:hyperlink>
    </w:p>
    <w:p w14:paraId="6020F5AF" w14:textId="10986C04" w:rsidR="000B641B" w:rsidRDefault="000150F9">
      <w:pPr>
        <w:pStyle w:val="TableofFigures"/>
        <w:tabs>
          <w:tab w:val="right" w:leader="dot" w:pos="9016"/>
        </w:tabs>
        <w:rPr>
          <w:rFonts w:eastAsiaTheme="minorEastAsia"/>
          <w:noProof/>
          <w:lang w:eastAsia="en-AU"/>
        </w:rPr>
      </w:pPr>
      <w:hyperlink w:anchor="_Toc78275047" w:history="1">
        <w:r w:rsidR="000B641B" w:rsidRPr="004330EA">
          <w:rPr>
            <w:rStyle w:val="Hyperlink"/>
            <w:noProof/>
          </w:rPr>
          <w:t>Figure 5 Images of unauthorised use of waste facilities</w:t>
        </w:r>
        <w:r w:rsidR="000B641B">
          <w:rPr>
            <w:noProof/>
            <w:webHidden/>
          </w:rPr>
          <w:tab/>
        </w:r>
        <w:r w:rsidR="000B641B">
          <w:rPr>
            <w:noProof/>
            <w:webHidden/>
          </w:rPr>
          <w:fldChar w:fldCharType="begin"/>
        </w:r>
        <w:r w:rsidR="000B641B">
          <w:rPr>
            <w:noProof/>
            <w:webHidden/>
          </w:rPr>
          <w:instrText xml:space="preserve"> PAGEREF _Toc78275047 \h </w:instrText>
        </w:r>
        <w:r w:rsidR="000B641B">
          <w:rPr>
            <w:noProof/>
            <w:webHidden/>
          </w:rPr>
        </w:r>
        <w:r w:rsidR="000B641B">
          <w:rPr>
            <w:noProof/>
            <w:webHidden/>
          </w:rPr>
          <w:fldChar w:fldCharType="separate"/>
        </w:r>
        <w:r w:rsidR="000B641B">
          <w:rPr>
            <w:noProof/>
            <w:webHidden/>
          </w:rPr>
          <w:t>32</w:t>
        </w:r>
        <w:r w:rsidR="000B641B">
          <w:rPr>
            <w:noProof/>
            <w:webHidden/>
          </w:rPr>
          <w:fldChar w:fldCharType="end"/>
        </w:r>
      </w:hyperlink>
    </w:p>
    <w:p w14:paraId="44028992" w14:textId="6B7E1CBA" w:rsidR="000869CA" w:rsidRDefault="00245439" w:rsidP="00A900DC">
      <w:pPr>
        <w:spacing w:before="100" w:after="100"/>
      </w:pPr>
      <w:r>
        <w:fldChar w:fldCharType="end"/>
      </w:r>
      <w:r w:rsidR="000869CA">
        <w:br w:type="page"/>
      </w:r>
    </w:p>
    <w:p w14:paraId="306475C4" w14:textId="6F02170C" w:rsidR="000869CA" w:rsidRDefault="000869CA" w:rsidP="00EE52B7">
      <w:pPr>
        <w:pStyle w:val="Heading1"/>
      </w:pPr>
      <w:bookmarkStart w:id="0" w:name="_Toc78374665"/>
      <w:bookmarkStart w:id="1" w:name="_Toc79490175"/>
      <w:r>
        <w:lastRenderedPageBreak/>
        <w:t xml:space="preserve">Executive </w:t>
      </w:r>
      <w:r w:rsidR="007F4F5F">
        <w:t>s</w:t>
      </w:r>
      <w:r>
        <w:t>ummary</w:t>
      </w:r>
      <w:bookmarkEnd w:id="0"/>
      <w:bookmarkEnd w:id="1"/>
      <w:r>
        <w:t xml:space="preserve"> </w:t>
      </w:r>
    </w:p>
    <w:p w14:paraId="34930320" w14:textId="6358354E" w:rsidR="00882C62" w:rsidRDefault="00EF2472" w:rsidP="00EF2472">
      <w:pPr>
        <w:rPr>
          <w:sz w:val="24"/>
          <w:szCs w:val="24"/>
        </w:rPr>
      </w:pPr>
      <w:r w:rsidRPr="00EF2472">
        <w:rPr>
          <w:sz w:val="24"/>
          <w:szCs w:val="24"/>
        </w:rPr>
        <w:t xml:space="preserve">This Regulatory Impact Statement </w:t>
      </w:r>
      <w:r>
        <w:rPr>
          <w:sz w:val="24"/>
          <w:szCs w:val="24"/>
        </w:rPr>
        <w:t xml:space="preserve">(RIS) </w:t>
      </w:r>
      <w:r w:rsidRPr="00EF2472">
        <w:rPr>
          <w:sz w:val="24"/>
          <w:szCs w:val="24"/>
        </w:rPr>
        <w:t xml:space="preserve">presents an analysis of the impacts of the proposed </w:t>
      </w:r>
      <w:r w:rsidRPr="00EF2472">
        <w:rPr>
          <w:i/>
          <w:iCs/>
          <w:sz w:val="24"/>
          <w:szCs w:val="24"/>
        </w:rPr>
        <w:t>Waste Management and Resource Recovery Amendment Regulation 2021</w:t>
      </w:r>
      <w:r w:rsidR="00BF0E49">
        <w:rPr>
          <w:i/>
          <w:iCs/>
          <w:sz w:val="24"/>
          <w:szCs w:val="24"/>
        </w:rPr>
        <w:t xml:space="preserve"> (No 1)</w:t>
      </w:r>
      <w:r>
        <w:rPr>
          <w:sz w:val="24"/>
          <w:szCs w:val="24"/>
        </w:rPr>
        <w:t xml:space="preserve"> (the Amendment Regulation)</w:t>
      </w:r>
      <w:r w:rsidRPr="00EF2472">
        <w:rPr>
          <w:sz w:val="24"/>
          <w:szCs w:val="24"/>
        </w:rPr>
        <w:t xml:space="preserve">. The primary purpose of this regulation is to enable the introduction of a Food Organics and Garden Organics </w:t>
      </w:r>
      <w:r w:rsidR="00AD6B2C">
        <w:rPr>
          <w:sz w:val="24"/>
          <w:szCs w:val="24"/>
        </w:rPr>
        <w:t xml:space="preserve">(FOGO) </w:t>
      </w:r>
      <w:r w:rsidRPr="00EF2472">
        <w:rPr>
          <w:sz w:val="24"/>
          <w:szCs w:val="24"/>
        </w:rPr>
        <w:t xml:space="preserve">service to the Australian Capital Territory (the </w:t>
      </w:r>
      <w:r w:rsidR="00E83BC5">
        <w:rPr>
          <w:sz w:val="24"/>
          <w:szCs w:val="24"/>
        </w:rPr>
        <w:t xml:space="preserve">ACT, or </w:t>
      </w:r>
      <w:r w:rsidRPr="00EF2472">
        <w:rPr>
          <w:sz w:val="24"/>
          <w:szCs w:val="24"/>
        </w:rPr>
        <w:t xml:space="preserve">Territory) by allowing food waste to be placed in </w:t>
      </w:r>
      <w:r w:rsidR="00510D3E">
        <w:rPr>
          <w:sz w:val="24"/>
          <w:szCs w:val="24"/>
        </w:rPr>
        <w:t>T</w:t>
      </w:r>
      <w:r w:rsidRPr="00EF2472">
        <w:rPr>
          <w:sz w:val="24"/>
          <w:szCs w:val="24"/>
        </w:rPr>
        <w:t xml:space="preserve">erritory organic recycling containers. </w:t>
      </w:r>
      <w:r w:rsidR="0034077A">
        <w:rPr>
          <w:sz w:val="24"/>
          <w:szCs w:val="24"/>
        </w:rPr>
        <w:t xml:space="preserve">       </w:t>
      </w:r>
      <w:r w:rsidR="00882C62">
        <w:rPr>
          <w:sz w:val="24"/>
          <w:szCs w:val="24"/>
        </w:rPr>
        <w:t xml:space="preserve">A group of regulatory amendments are proposed to enable FOGO delivery, including changes to several sections of the Amendment Regulation, and the introduction of a new </w:t>
      </w:r>
      <w:r w:rsidR="00882C62" w:rsidRPr="00882C62">
        <w:rPr>
          <w:i/>
          <w:iCs/>
          <w:sz w:val="24"/>
          <w:szCs w:val="24"/>
        </w:rPr>
        <w:t>Waste Management and Resource Recovery (compostable material collection) Declaration 202</w:t>
      </w:r>
      <w:r w:rsidR="00672BC3">
        <w:rPr>
          <w:i/>
          <w:iCs/>
          <w:sz w:val="24"/>
          <w:szCs w:val="24"/>
        </w:rPr>
        <w:t xml:space="preserve">1. </w:t>
      </w:r>
      <w:r w:rsidR="00672BC3">
        <w:rPr>
          <w:sz w:val="24"/>
          <w:szCs w:val="24"/>
        </w:rPr>
        <w:t xml:space="preserve">The </w:t>
      </w:r>
      <w:r w:rsidR="00882C62">
        <w:rPr>
          <w:sz w:val="24"/>
          <w:szCs w:val="24"/>
        </w:rPr>
        <w:t xml:space="preserve">RIS addresses all of these. </w:t>
      </w:r>
    </w:p>
    <w:p w14:paraId="3E3B2131" w14:textId="32063E5B" w:rsidR="00EF2472" w:rsidRDefault="00EF2472" w:rsidP="00EF2472">
      <w:pPr>
        <w:rPr>
          <w:sz w:val="24"/>
          <w:szCs w:val="24"/>
        </w:rPr>
      </w:pPr>
      <w:r>
        <w:rPr>
          <w:sz w:val="24"/>
          <w:szCs w:val="24"/>
        </w:rPr>
        <w:t xml:space="preserve">The RIS also analyses the impacts of additional </w:t>
      </w:r>
      <w:r w:rsidR="00882C62">
        <w:rPr>
          <w:sz w:val="24"/>
          <w:szCs w:val="24"/>
        </w:rPr>
        <w:t xml:space="preserve">groups of </w:t>
      </w:r>
      <w:r w:rsidRPr="00EF2472">
        <w:rPr>
          <w:sz w:val="24"/>
          <w:szCs w:val="24"/>
        </w:rPr>
        <w:t xml:space="preserve">amendments </w:t>
      </w:r>
      <w:r>
        <w:rPr>
          <w:sz w:val="24"/>
          <w:szCs w:val="24"/>
        </w:rPr>
        <w:t>which have been</w:t>
      </w:r>
      <w:r w:rsidRPr="00EF2472">
        <w:rPr>
          <w:sz w:val="24"/>
          <w:szCs w:val="24"/>
        </w:rPr>
        <w:t xml:space="preserve"> proposed to improve the operation of the </w:t>
      </w:r>
      <w:r w:rsidRPr="00AD6B2C">
        <w:rPr>
          <w:i/>
          <w:iCs/>
          <w:sz w:val="24"/>
          <w:szCs w:val="24"/>
        </w:rPr>
        <w:t>Waste Management and Resource Recovery Regulation 2017</w:t>
      </w:r>
      <w:r w:rsidRPr="00EF2472">
        <w:rPr>
          <w:sz w:val="24"/>
          <w:szCs w:val="24"/>
        </w:rPr>
        <w:t xml:space="preserve">. </w:t>
      </w:r>
      <w:r w:rsidR="00AD6B2C">
        <w:rPr>
          <w:sz w:val="24"/>
          <w:szCs w:val="24"/>
        </w:rPr>
        <w:t xml:space="preserve">Those additional </w:t>
      </w:r>
      <w:r w:rsidR="00882C62">
        <w:rPr>
          <w:sz w:val="24"/>
          <w:szCs w:val="24"/>
        </w:rPr>
        <w:t xml:space="preserve">groups of </w:t>
      </w:r>
      <w:r w:rsidR="00AD6B2C">
        <w:rPr>
          <w:sz w:val="24"/>
          <w:szCs w:val="24"/>
        </w:rPr>
        <w:t xml:space="preserve">amendments seek to: </w:t>
      </w:r>
    </w:p>
    <w:p w14:paraId="1B2BDCC0" w14:textId="4FDCEB88" w:rsidR="00AD6B2C" w:rsidRPr="00AD6B2C" w:rsidRDefault="00AD6B2C" w:rsidP="00420D47">
      <w:pPr>
        <w:pStyle w:val="ReportList1"/>
      </w:pPr>
      <w:r>
        <w:t>clarify kerbside container management</w:t>
      </w:r>
      <w:r w:rsidR="00672BC3">
        <w:t xml:space="preserve"> arrangements</w:t>
      </w:r>
      <w:r w:rsidR="00C208A1">
        <w:t>,</w:t>
      </w:r>
    </w:p>
    <w:p w14:paraId="061EC7A7" w14:textId="2977A3E1" w:rsidR="00AD6B2C" w:rsidRPr="00AD6B2C" w:rsidRDefault="00AD6B2C" w:rsidP="00420D47">
      <w:pPr>
        <w:pStyle w:val="ReportList1"/>
      </w:pPr>
      <w:r>
        <w:t xml:space="preserve">improve </w:t>
      </w:r>
      <w:r w:rsidR="00672BC3">
        <w:t>enforceability of the regulation</w:t>
      </w:r>
      <w:r>
        <w:t xml:space="preserve"> at waste facilities</w:t>
      </w:r>
      <w:r w:rsidR="00C208A1">
        <w:t>,</w:t>
      </w:r>
      <w:r>
        <w:t xml:space="preserve"> </w:t>
      </w:r>
    </w:p>
    <w:p w14:paraId="76413FCF" w14:textId="0842D009" w:rsidR="00AD6B2C" w:rsidRPr="00AD6B2C" w:rsidRDefault="00E0116D" w:rsidP="00420D47">
      <w:pPr>
        <w:pStyle w:val="ReportList1"/>
      </w:pPr>
      <w:r>
        <w:t>increase flexibility for the</w:t>
      </w:r>
      <w:r w:rsidR="00AD6B2C">
        <w:t xml:space="preserve"> Container Deposit Scheme </w:t>
      </w:r>
      <w:r w:rsidR="00937189">
        <w:t>collection point</w:t>
      </w:r>
      <w:r>
        <w:t>s</w:t>
      </w:r>
      <w:r w:rsidR="00C208A1">
        <w:t>;</w:t>
      </w:r>
      <w:r w:rsidR="00AD6B2C">
        <w:t xml:space="preserve"> and </w:t>
      </w:r>
    </w:p>
    <w:p w14:paraId="29400229" w14:textId="2EB40329" w:rsidR="00AD6B2C" w:rsidRPr="00EF2472" w:rsidRDefault="00672BC3" w:rsidP="00420D47">
      <w:pPr>
        <w:pStyle w:val="ReportList1"/>
      </w:pPr>
      <w:r>
        <w:t>improve</w:t>
      </w:r>
      <w:r w:rsidR="003753B0">
        <w:t xml:space="preserve"> and modernise</w:t>
      </w:r>
      <w:r w:rsidR="00AD6B2C">
        <w:t xml:space="preserve"> waste definitions and reporting</w:t>
      </w:r>
      <w:r w:rsidR="003753B0">
        <w:t>.</w:t>
      </w:r>
    </w:p>
    <w:p w14:paraId="2DE33A4C" w14:textId="14542BFB" w:rsidR="00AC1678" w:rsidRDefault="00AC1678" w:rsidP="00EE52B7">
      <w:pPr>
        <w:pStyle w:val="Heading1"/>
      </w:pPr>
      <w:bookmarkStart w:id="2" w:name="_Toc78374666"/>
      <w:bookmarkStart w:id="3" w:name="_Toc79490176"/>
      <w:r>
        <w:t>Need for a regulatory impact statement</w:t>
      </w:r>
      <w:bookmarkEnd w:id="2"/>
      <w:bookmarkEnd w:id="3"/>
      <w:r>
        <w:t xml:space="preserve"> </w:t>
      </w:r>
    </w:p>
    <w:p w14:paraId="014037A0" w14:textId="0853ECA4" w:rsidR="00AC1678" w:rsidRPr="00FA1407" w:rsidRDefault="002A6D80" w:rsidP="00A900DC">
      <w:pPr>
        <w:spacing w:before="100" w:after="100"/>
        <w:rPr>
          <w:sz w:val="24"/>
          <w:szCs w:val="24"/>
        </w:rPr>
      </w:pPr>
      <w:r w:rsidRPr="00FA1407">
        <w:rPr>
          <w:sz w:val="24"/>
          <w:szCs w:val="24"/>
        </w:rPr>
        <w:t xml:space="preserve">ACT Government policy </w:t>
      </w:r>
      <w:r w:rsidR="0034077A">
        <w:rPr>
          <w:sz w:val="24"/>
          <w:szCs w:val="24"/>
        </w:rPr>
        <w:t xml:space="preserve">requires the preparation of </w:t>
      </w:r>
      <w:r w:rsidRPr="00FA1407">
        <w:rPr>
          <w:sz w:val="24"/>
          <w:szCs w:val="24"/>
        </w:rPr>
        <w:t xml:space="preserve">a </w:t>
      </w:r>
      <w:r w:rsidR="00FA1407">
        <w:rPr>
          <w:sz w:val="24"/>
          <w:szCs w:val="24"/>
        </w:rPr>
        <w:t>RIS</w:t>
      </w:r>
      <w:r w:rsidRPr="00FA1407">
        <w:rPr>
          <w:sz w:val="24"/>
          <w:szCs w:val="24"/>
        </w:rPr>
        <w:t xml:space="preserve"> for any new or amending legislation proposals that may impact on a stakeholder group, for example, </w:t>
      </w:r>
      <w:r w:rsidR="00AD6B2C">
        <w:rPr>
          <w:sz w:val="24"/>
          <w:szCs w:val="24"/>
        </w:rPr>
        <w:t>g</w:t>
      </w:r>
      <w:r w:rsidRPr="00FA1407">
        <w:rPr>
          <w:sz w:val="24"/>
          <w:szCs w:val="24"/>
        </w:rPr>
        <w:t xml:space="preserve">overnment, community groups, the general public, industry or a business group. </w:t>
      </w:r>
    </w:p>
    <w:p w14:paraId="17A2A994" w14:textId="1F2A0BF7" w:rsidR="002A6D80" w:rsidRPr="00FA1407" w:rsidRDefault="002A6D80" w:rsidP="00A900DC">
      <w:pPr>
        <w:spacing w:before="100" w:after="100"/>
        <w:rPr>
          <w:sz w:val="24"/>
          <w:szCs w:val="24"/>
        </w:rPr>
      </w:pPr>
      <w:r w:rsidRPr="00FA1407">
        <w:rPr>
          <w:sz w:val="24"/>
          <w:szCs w:val="24"/>
        </w:rPr>
        <w:t xml:space="preserve">Section 34 of the </w:t>
      </w:r>
      <w:r w:rsidRPr="00672BC3">
        <w:rPr>
          <w:i/>
          <w:iCs/>
          <w:sz w:val="24"/>
          <w:szCs w:val="24"/>
        </w:rPr>
        <w:t>Legislation Act 2001</w:t>
      </w:r>
      <w:r w:rsidRPr="00FA1407">
        <w:rPr>
          <w:sz w:val="24"/>
          <w:szCs w:val="24"/>
        </w:rPr>
        <w:t xml:space="preserve"> provides that if the proposed law is likely to impose appreciable costs on the community, or a part of the community, then, before the proposed law is made, the Minister administering the </w:t>
      </w:r>
      <w:r w:rsidR="00672BC3">
        <w:rPr>
          <w:sz w:val="24"/>
          <w:szCs w:val="24"/>
        </w:rPr>
        <w:t>authorising</w:t>
      </w:r>
      <w:r w:rsidRPr="00FA1407">
        <w:rPr>
          <w:sz w:val="24"/>
          <w:szCs w:val="24"/>
        </w:rPr>
        <w:t xml:space="preserve"> law must arrange for a RIS to be prepared for the proposed law. </w:t>
      </w:r>
    </w:p>
    <w:p w14:paraId="65B7E77A" w14:textId="62D5847E" w:rsidR="00FA1407" w:rsidRDefault="002A6D80" w:rsidP="00A900DC">
      <w:pPr>
        <w:spacing w:before="100" w:after="100"/>
        <w:rPr>
          <w:sz w:val="24"/>
          <w:szCs w:val="24"/>
        </w:rPr>
      </w:pPr>
      <w:r w:rsidRPr="00FA1407">
        <w:rPr>
          <w:sz w:val="24"/>
          <w:szCs w:val="24"/>
        </w:rPr>
        <w:t>Th</w:t>
      </w:r>
      <w:r w:rsidR="00FA1407">
        <w:rPr>
          <w:sz w:val="24"/>
          <w:szCs w:val="24"/>
        </w:rPr>
        <w:t xml:space="preserve">e amending regulation has some actual and potential impacts on </w:t>
      </w:r>
      <w:r w:rsidR="00AD6B2C">
        <w:rPr>
          <w:sz w:val="24"/>
          <w:szCs w:val="24"/>
        </w:rPr>
        <w:t>g</w:t>
      </w:r>
      <w:r w:rsidRPr="00FA1407">
        <w:rPr>
          <w:sz w:val="24"/>
          <w:szCs w:val="24"/>
        </w:rPr>
        <w:t xml:space="preserve">overnment, business </w:t>
      </w:r>
      <w:r w:rsidR="00FA1407">
        <w:rPr>
          <w:sz w:val="24"/>
          <w:szCs w:val="24"/>
        </w:rPr>
        <w:t>and</w:t>
      </w:r>
      <w:r w:rsidRPr="00FA1407">
        <w:rPr>
          <w:sz w:val="24"/>
          <w:szCs w:val="24"/>
        </w:rPr>
        <w:t xml:space="preserve"> the community, and </w:t>
      </w:r>
      <w:r w:rsidR="00FA1407">
        <w:rPr>
          <w:sz w:val="24"/>
          <w:szCs w:val="24"/>
        </w:rPr>
        <w:t xml:space="preserve">therefore requires a </w:t>
      </w:r>
      <w:r w:rsidRPr="00FA1407">
        <w:rPr>
          <w:sz w:val="24"/>
          <w:szCs w:val="24"/>
        </w:rPr>
        <w:t xml:space="preserve">cost-benefit analysis for each option likely to impose a cost. </w:t>
      </w:r>
    </w:p>
    <w:p w14:paraId="32513A64" w14:textId="16AA0471" w:rsidR="00E90270" w:rsidRPr="00FA1407" w:rsidRDefault="00FA1407" w:rsidP="00A900DC">
      <w:pPr>
        <w:spacing w:before="100" w:after="100"/>
        <w:rPr>
          <w:sz w:val="24"/>
          <w:szCs w:val="24"/>
        </w:rPr>
      </w:pPr>
      <w:r>
        <w:rPr>
          <w:sz w:val="24"/>
          <w:szCs w:val="24"/>
        </w:rPr>
        <w:t xml:space="preserve">The </w:t>
      </w:r>
      <w:r w:rsidR="00882C62">
        <w:rPr>
          <w:sz w:val="24"/>
          <w:szCs w:val="24"/>
        </w:rPr>
        <w:t>policy problems and potential</w:t>
      </w:r>
      <w:r>
        <w:rPr>
          <w:sz w:val="24"/>
          <w:szCs w:val="24"/>
        </w:rPr>
        <w:t xml:space="preserve"> impacts differ considerably for each of the proposed </w:t>
      </w:r>
      <w:r w:rsidR="00882C62">
        <w:rPr>
          <w:sz w:val="24"/>
          <w:szCs w:val="24"/>
        </w:rPr>
        <w:t xml:space="preserve">groups of </w:t>
      </w:r>
      <w:r>
        <w:rPr>
          <w:sz w:val="24"/>
          <w:szCs w:val="24"/>
        </w:rPr>
        <w:t xml:space="preserve">regulatory amendments. </w:t>
      </w:r>
      <w:r w:rsidR="0034077A">
        <w:rPr>
          <w:sz w:val="24"/>
          <w:szCs w:val="24"/>
        </w:rPr>
        <w:t xml:space="preserve">Due to </w:t>
      </w:r>
      <w:r>
        <w:rPr>
          <w:sz w:val="24"/>
          <w:szCs w:val="24"/>
        </w:rPr>
        <w:t xml:space="preserve">this, the </w:t>
      </w:r>
      <w:r w:rsidR="00882C62">
        <w:rPr>
          <w:sz w:val="24"/>
          <w:szCs w:val="24"/>
        </w:rPr>
        <w:t>regulatory impacts</w:t>
      </w:r>
      <w:r>
        <w:rPr>
          <w:sz w:val="24"/>
          <w:szCs w:val="24"/>
        </w:rPr>
        <w:t xml:space="preserve"> are presented separately for each of the proposed </w:t>
      </w:r>
      <w:r w:rsidR="00882C62">
        <w:rPr>
          <w:sz w:val="24"/>
          <w:szCs w:val="24"/>
        </w:rPr>
        <w:t xml:space="preserve">groups of </w:t>
      </w:r>
      <w:r>
        <w:rPr>
          <w:sz w:val="24"/>
          <w:szCs w:val="24"/>
        </w:rPr>
        <w:t xml:space="preserve">amendments. </w:t>
      </w:r>
    </w:p>
    <w:p w14:paraId="205C7567" w14:textId="5577609C" w:rsidR="00CF2328" w:rsidRDefault="00CF2328" w:rsidP="00EE52B7">
      <w:pPr>
        <w:pStyle w:val="Heading1"/>
      </w:pPr>
      <w:bookmarkStart w:id="4" w:name="_Toc78374667"/>
      <w:bookmarkStart w:id="5" w:name="_Toc79490177"/>
      <w:r>
        <w:t>Introduction</w:t>
      </w:r>
      <w:bookmarkEnd w:id="4"/>
      <w:bookmarkEnd w:id="5"/>
      <w:r>
        <w:t xml:space="preserve"> </w:t>
      </w:r>
    </w:p>
    <w:p w14:paraId="474853D3" w14:textId="437006A0" w:rsidR="00CC6F24" w:rsidRDefault="00CC6F24" w:rsidP="00CC6F24">
      <w:pPr>
        <w:rPr>
          <w:sz w:val="24"/>
          <w:szCs w:val="24"/>
        </w:rPr>
      </w:pPr>
      <w:r w:rsidRPr="00CC6F24">
        <w:rPr>
          <w:sz w:val="24"/>
          <w:szCs w:val="24"/>
        </w:rPr>
        <w:t xml:space="preserve">Waste management is an essential service and is integral to Canberra’s operation as a jurisdiction. The Territory’s waste legislation </w:t>
      </w:r>
      <w:r w:rsidR="0034077A">
        <w:rPr>
          <w:sz w:val="24"/>
          <w:szCs w:val="24"/>
        </w:rPr>
        <w:t xml:space="preserve">outlines the requirements </w:t>
      </w:r>
      <w:r w:rsidRPr="00CC6F24">
        <w:rPr>
          <w:sz w:val="24"/>
          <w:szCs w:val="24"/>
        </w:rPr>
        <w:t xml:space="preserve">for managing waste </w:t>
      </w:r>
      <w:r w:rsidRPr="00CC6F24">
        <w:rPr>
          <w:sz w:val="24"/>
          <w:szCs w:val="24"/>
        </w:rPr>
        <w:lastRenderedPageBreak/>
        <w:t xml:space="preserve">activity </w:t>
      </w:r>
      <w:r w:rsidR="00EF2472">
        <w:rPr>
          <w:sz w:val="24"/>
          <w:szCs w:val="24"/>
        </w:rPr>
        <w:t xml:space="preserve">consistent with the </w:t>
      </w:r>
      <w:r w:rsidR="00EF2472" w:rsidRPr="00EF2472">
        <w:rPr>
          <w:i/>
          <w:iCs/>
          <w:sz w:val="24"/>
          <w:szCs w:val="24"/>
        </w:rPr>
        <w:t>ACT Waste Management Strategy 2011-2025</w:t>
      </w:r>
      <w:r w:rsidR="00EF2472">
        <w:rPr>
          <w:sz w:val="24"/>
          <w:szCs w:val="24"/>
        </w:rPr>
        <w:t xml:space="preserve">, </w:t>
      </w:r>
      <w:r w:rsidRPr="00CC6F24">
        <w:rPr>
          <w:sz w:val="24"/>
          <w:szCs w:val="24"/>
        </w:rPr>
        <w:t xml:space="preserve">in a way that encourages recycling and recovery, while discouraging the sending of waste to landfill. </w:t>
      </w:r>
      <w:r w:rsidRPr="00FA1407">
        <w:rPr>
          <w:sz w:val="24"/>
          <w:szCs w:val="24"/>
        </w:rPr>
        <w:t xml:space="preserve">The </w:t>
      </w:r>
      <w:r w:rsidRPr="00FA1407">
        <w:rPr>
          <w:i/>
          <w:iCs/>
          <w:sz w:val="24"/>
          <w:szCs w:val="24"/>
        </w:rPr>
        <w:t>Waste Management and Resource Recovery Act 2016</w:t>
      </w:r>
      <w:r w:rsidRPr="00FA1407">
        <w:rPr>
          <w:sz w:val="24"/>
          <w:szCs w:val="24"/>
        </w:rPr>
        <w:t xml:space="preserve"> </w:t>
      </w:r>
      <w:r>
        <w:rPr>
          <w:sz w:val="24"/>
          <w:szCs w:val="24"/>
        </w:rPr>
        <w:t xml:space="preserve">(the Act) </w:t>
      </w:r>
      <w:r w:rsidRPr="00FA1407">
        <w:rPr>
          <w:sz w:val="24"/>
          <w:szCs w:val="24"/>
        </w:rPr>
        <w:t>provides a framework for managing waste in the ACT</w:t>
      </w:r>
      <w:r w:rsidR="0034077A">
        <w:rPr>
          <w:sz w:val="24"/>
          <w:szCs w:val="24"/>
        </w:rPr>
        <w:t xml:space="preserve"> and</w:t>
      </w:r>
      <w:r w:rsidR="00EF2472">
        <w:rPr>
          <w:sz w:val="24"/>
          <w:szCs w:val="24"/>
        </w:rPr>
        <w:t xml:space="preserve"> establishes the statutory authority role of a waste manager.</w:t>
      </w:r>
    </w:p>
    <w:p w14:paraId="089566B3" w14:textId="3BBAFF74" w:rsidR="00EF2472" w:rsidRDefault="00EF2472" w:rsidP="00CC6F24">
      <w:pPr>
        <w:rPr>
          <w:sz w:val="24"/>
          <w:szCs w:val="24"/>
        </w:rPr>
      </w:pPr>
      <w:r>
        <w:rPr>
          <w:sz w:val="24"/>
          <w:szCs w:val="24"/>
        </w:rPr>
        <w:t>The Act</w:t>
      </w:r>
      <w:r w:rsidRPr="00FA1407">
        <w:rPr>
          <w:sz w:val="24"/>
          <w:szCs w:val="24"/>
        </w:rPr>
        <w:t xml:space="preserve"> </w:t>
      </w:r>
      <w:r>
        <w:rPr>
          <w:sz w:val="24"/>
          <w:szCs w:val="24"/>
        </w:rPr>
        <w:t xml:space="preserve">provides </w:t>
      </w:r>
      <w:r w:rsidRPr="00FA1407">
        <w:rPr>
          <w:sz w:val="24"/>
          <w:szCs w:val="24"/>
        </w:rPr>
        <w:t>for a regulation to define types of waste that could be placed in kerbside containers, waste reporting</w:t>
      </w:r>
      <w:r w:rsidR="0034077A">
        <w:rPr>
          <w:sz w:val="24"/>
          <w:szCs w:val="24"/>
        </w:rPr>
        <w:t xml:space="preserve"> and </w:t>
      </w:r>
      <w:r w:rsidRPr="00FA1407">
        <w:rPr>
          <w:sz w:val="24"/>
          <w:szCs w:val="24"/>
        </w:rPr>
        <w:t>management of waste facilities</w:t>
      </w:r>
      <w:r>
        <w:rPr>
          <w:sz w:val="24"/>
          <w:szCs w:val="24"/>
        </w:rPr>
        <w:t xml:space="preserve">. The </w:t>
      </w:r>
      <w:r w:rsidRPr="00EF2472">
        <w:rPr>
          <w:i/>
          <w:iCs/>
          <w:sz w:val="24"/>
          <w:szCs w:val="24"/>
        </w:rPr>
        <w:t>Waste Management and Resource Recovery Regulation 2017</w:t>
      </w:r>
      <w:r>
        <w:rPr>
          <w:sz w:val="24"/>
          <w:szCs w:val="24"/>
        </w:rPr>
        <w:t xml:space="preserve"> (the Regulation) provides the capacity for the waste manager </w:t>
      </w:r>
      <w:r w:rsidRPr="00FA1407">
        <w:rPr>
          <w:sz w:val="24"/>
          <w:szCs w:val="24"/>
        </w:rPr>
        <w:t xml:space="preserve">to determine arrangements for these through declaration of </w:t>
      </w:r>
      <w:r>
        <w:rPr>
          <w:sz w:val="24"/>
          <w:szCs w:val="24"/>
        </w:rPr>
        <w:t>n</w:t>
      </w:r>
      <w:r w:rsidRPr="00FA1407">
        <w:rPr>
          <w:sz w:val="24"/>
          <w:szCs w:val="24"/>
        </w:rPr>
        <w:t xml:space="preserve">otifiable </w:t>
      </w:r>
      <w:r>
        <w:rPr>
          <w:sz w:val="24"/>
          <w:szCs w:val="24"/>
        </w:rPr>
        <w:t>i</w:t>
      </w:r>
      <w:r w:rsidRPr="00FA1407">
        <w:rPr>
          <w:sz w:val="24"/>
          <w:szCs w:val="24"/>
        </w:rPr>
        <w:t xml:space="preserve">nstruments.  </w:t>
      </w:r>
    </w:p>
    <w:p w14:paraId="678BFFD4" w14:textId="675289AF" w:rsidR="00CC6F24" w:rsidRDefault="00CC6F24" w:rsidP="00CC6F24">
      <w:pPr>
        <w:pStyle w:val="CS-Paragraphnumbering"/>
        <w:numPr>
          <w:ilvl w:val="0"/>
          <w:numId w:val="0"/>
        </w:numPr>
      </w:pPr>
      <w:r>
        <w:t xml:space="preserve">This </w:t>
      </w:r>
      <w:r w:rsidR="00B37A15">
        <w:t>RIS</w:t>
      </w:r>
      <w:r>
        <w:t xml:space="preserve"> outlines the impacts of a proposal to amend the Regulation primarily for the purpose</w:t>
      </w:r>
      <w:r w:rsidR="00396E28">
        <w:t xml:space="preserve"> of</w:t>
      </w:r>
      <w:r>
        <w:t xml:space="preserve"> </w:t>
      </w:r>
      <w:r w:rsidR="00844733">
        <w:t>introducing</w:t>
      </w:r>
      <w:r>
        <w:t xml:space="preserve"> a FOGO service to the Territory. </w:t>
      </w:r>
      <w:r w:rsidR="00396E28">
        <w:t xml:space="preserve">Currently, the Regulation makes it an offence to place food waste into Territory organics recycling containers (green bins). The RIS will </w:t>
      </w:r>
      <w:r>
        <w:t xml:space="preserve">explain that amendments are needed because the green bins are the </w:t>
      </w:r>
      <w:r w:rsidR="00882C62">
        <w:t xml:space="preserve">food and other organic waste </w:t>
      </w:r>
      <w:r>
        <w:t xml:space="preserve">containers </w:t>
      </w:r>
      <w:r w:rsidR="00882C62">
        <w:t xml:space="preserve">proposed </w:t>
      </w:r>
      <w:r>
        <w:t xml:space="preserve">for FOGO collections. </w:t>
      </w:r>
    </w:p>
    <w:p w14:paraId="18703F06" w14:textId="27B68234" w:rsidR="00396E28" w:rsidRDefault="00CC6F24" w:rsidP="00CC6F24">
      <w:pPr>
        <w:pStyle w:val="CS-Paragraphnumbering"/>
        <w:numPr>
          <w:ilvl w:val="0"/>
          <w:numId w:val="0"/>
        </w:numPr>
      </w:pPr>
      <w:r>
        <w:t xml:space="preserve">The RIS presents the regulatory impacts associated with extending the use of green bins for food waste collection. </w:t>
      </w:r>
      <w:r w:rsidR="00396E28">
        <w:t>I</w:t>
      </w:r>
      <w:r>
        <w:t xml:space="preserve">t does not provide detailed </w:t>
      </w:r>
      <w:r w:rsidR="00396E28">
        <w:t xml:space="preserve">information regarding the </w:t>
      </w:r>
      <w:r>
        <w:t>FOGO proposal</w:t>
      </w:r>
      <w:r w:rsidR="00882C62">
        <w:t xml:space="preserve"> including budget implications, infrastructure requirements, consultation and educational elements or timing</w:t>
      </w:r>
      <w:r w:rsidR="00396E28">
        <w:t xml:space="preserve">, as these </w:t>
      </w:r>
      <w:r w:rsidR="00882C62">
        <w:t>elements of the FOGO</w:t>
      </w:r>
      <w:r>
        <w:t xml:space="preserve"> initiative </w:t>
      </w:r>
      <w:r w:rsidR="00882C62">
        <w:t>are</w:t>
      </w:r>
      <w:r>
        <w:t xml:space="preserve"> far broader than the regulatory changes needed to enable it. </w:t>
      </w:r>
    </w:p>
    <w:p w14:paraId="00E24A7A" w14:textId="0F0AE57A" w:rsidR="00CC6F24" w:rsidRDefault="00CC6F24" w:rsidP="00CC6F24">
      <w:pPr>
        <w:pStyle w:val="CS-Paragraphnumbering"/>
        <w:numPr>
          <w:ilvl w:val="0"/>
          <w:numId w:val="0"/>
        </w:numPr>
      </w:pPr>
      <w:r>
        <w:t xml:space="preserve">The </w:t>
      </w:r>
      <w:r w:rsidR="00396E28">
        <w:t xml:space="preserve">detailed information regarding the </w:t>
      </w:r>
      <w:r>
        <w:t xml:space="preserve">FOGO initiative </w:t>
      </w:r>
      <w:r w:rsidR="001C152A">
        <w:t>is</w:t>
      </w:r>
      <w:r>
        <w:t xml:space="preserve"> </w:t>
      </w:r>
      <w:r w:rsidR="00882C62">
        <w:t>addressed</w:t>
      </w:r>
      <w:r>
        <w:t xml:space="preserve"> </w:t>
      </w:r>
      <w:r w:rsidR="00882C62">
        <w:t xml:space="preserve">separately </w:t>
      </w:r>
      <w:r>
        <w:t xml:space="preserve">in other government documents including separate feasibility studies, infrastructure plans, budget bids, </w:t>
      </w:r>
      <w:r w:rsidR="00396E28">
        <w:t xml:space="preserve">and </w:t>
      </w:r>
      <w:r>
        <w:t>communications plans</w:t>
      </w:r>
      <w:r w:rsidR="00396E28">
        <w:t xml:space="preserve">. </w:t>
      </w:r>
    </w:p>
    <w:p w14:paraId="044FD15D" w14:textId="301226BA" w:rsidR="00CC6F24" w:rsidRDefault="00CC6F24" w:rsidP="00CC6F24">
      <w:pPr>
        <w:pStyle w:val="CS-Paragraphnumbering"/>
        <w:numPr>
          <w:ilvl w:val="0"/>
          <w:numId w:val="0"/>
        </w:numPr>
      </w:pPr>
      <w:r>
        <w:t xml:space="preserve">The RIS also analyses the impacts of additional amendments proposed for the Regulation, </w:t>
      </w:r>
      <w:r w:rsidR="00396E28">
        <w:t>that</w:t>
      </w:r>
      <w:r>
        <w:t xml:space="preserve"> have been identified by waste regulators as being beneficial for its effective operation. The need to update the Regulation to support a FOGO service provided the opportunity to </w:t>
      </w:r>
      <w:r w:rsidR="00396E28">
        <w:t xml:space="preserve">incorporate feedback from the regulators and </w:t>
      </w:r>
      <w:r>
        <w:t xml:space="preserve">make these amendments. The goals of the additional amendments are as follows: </w:t>
      </w:r>
    </w:p>
    <w:p w14:paraId="31BC3962" w14:textId="150C1025" w:rsidR="00420D47" w:rsidRPr="00AD6B2C" w:rsidRDefault="00420D47" w:rsidP="00420D47">
      <w:pPr>
        <w:pStyle w:val="ReportList1"/>
      </w:pPr>
      <w:r>
        <w:t>clarify</w:t>
      </w:r>
      <w:r w:rsidR="00E0116D">
        <w:t>ing</w:t>
      </w:r>
      <w:r>
        <w:t xml:space="preserve"> kerbside container management, </w:t>
      </w:r>
    </w:p>
    <w:p w14:paraId="1CF23E5E" w14:textId="385760A9" w:rsidR="00420D47" w:rsidRPr="00AD6B2C" w:rsidRDefault="00420D47" w:rsidP="00420D47">
      <w:pPr>
        <w:pStyle w:val="ReportList1"/>
      </w:pPr>
      <w:r>
        <w:t>improv</w:t>
      </w:r>
      <w:r w:rsidR="00E0116D">
        <w:t>ing</w:t>
      </w:r>
      <w:r>
        <w:t xml:space="preserve"> enforcement at waste facilities, </w:t>
      </w:r>
    </w:p>
    <w:p w14:paraId="144F66DB" w14:textId="06616DEE" w:rsidR="00420D47" w:rsidRPr="00AD6B2C" w:rsidRDefault="00E0116D" w:rsidP="00420D47">
      <w:pPr>
        <w:pStyle w:val="ReportList1"/>
      </w:pPr>
      <w:r>
        <w:t>increasing flexibility for</w:t>
      </w:r>
      <w:r w:rsidR="00420D47">
        <w:t xml:space="preserve"> CDS</w:t>
      </w:r>
      <w:r>
        <w:t xml:space="preserve"> </w:t>
      </w:r>
      <w:r w:rsidR="00937189">
        <w:t>collection point</w:t>
      </w:r>
      <w:r>
        <w:t>s</w:t>
      </w:r>
      <w:r w:rsidR="00C208A1">
        <w:t>;</w:t>
      </w:r>
      <w:r w:rsidR="00420D47">
        <w:t xml:space="preserve"> and </w:t>
      </w:r>
    </w:p>
    <w:p w14:paraId="534DE698" w14:textId="75026496" w:rsidR="00CC6F24" w:rsidRDefault="003753B0" w:rsidP="00420D47">
      <w:pPr>
        <w:pStyle w:val="ReportList1"/>
      </w:pPr>
      <w:r>
        <w:t>consolidate and modernise</w:t>
      </w:r>
      <w:r w:rsidR="00420D47">
        <w:t xml:space="preserve"> waste definitions and reporting</w:t>
      </w:r>
      <w:r w:rsidR="00CC6F24">
        <w:t>.</w:t>
      </w:r>
    </w:p>
    <w:p w14:paraId="4D3FEC87" w14:textId="3153C58B" w:rsidR="00E61D50" w:rsidRDefault="00AD7549" w:rsidP="00EE52B7">
      <w:pPr>
        <w:pStyle w:val="Heading1"/>
      </w:pPr>
      <w:bookmarkStart w:id="6" w:name="_Toc78374668"/>
      <w:bookmarkStart w:id="7" w:name="_Toc79490178"/>
      <w:r>
        <w:t>Policy framework for w</w:t>
      </w:r>
      <w:r w:rsidR="00E61D50">
        <w:t>aste management in the ACT</w:t>
      </w:r>
      <w:bookmarkEnd w:id="6"/>
      <w:bookmarkEnd w:id="7"/>
      <w:r w:rsidR="00E61D50">
        <w:t xml:space="preserve"> </w:t>
      </w:r>
    </w:p>
    <w:p w14:paraId="2861D6BA" w14:textId="0318D3E8" w:rsidR="00E61D50" w:rsidRDefault="00B37A15" w:rsidP="00FA1407">
      <w:pPr>
        <w:rPr>
          <w:sz w:val="24"/>
          <w:szCs w:val="24"/>
        </w:rPr>
      </w:pPr>
      <w:r>
        <w:rPr>
          <w:sz w:val="24"/>
          <w:szCs w:val="24"/>
        </w:rPr>
        <w:t xml:space="preserve">The Territory’s regulatory waste functions </w:t>
      </w:r>
      <w:r w:rsidR="00396E28">
        <w:rPr>
          <w:sz w:val="24"/>
          <w:szCs w:val="24"/>
        </w:rPr>
        <w:t>are the responsibility of Transport Canberra and City Services Directorate (TCCS) and are delivered</w:t>
      </w:r>
      <w:r w:rsidR="001C152A">
        <w:rPr>
          <w:sz w:val="24"/>
          <w:szCs w:val="24"/>
        </w:rPr>
        <w:t xml:space="preserve"> and managed</w:t>
      </w:r>
      <w:r w:rsidR="00396E28">
        <w:rPr>
          <w:sz w:val="24"/>
          <w:szCs w:val="24"/>
        </w:rPr>
        <w:t xml:space="preserve"> by </w:t>
      </w:r>
      <w:r>
        <w:rPr>
          <w:sz w:val="24"/>
          <w:szCs w:val="24"/>
        </w:rPr>
        <w:t>ACT NoWaste</w:t>
      </w:r>
      <w:r w:rsidR="00396E28">
        <w:rPr>
          <w:sz w:val="24"/>
          <w:szCs w:val="24"/>
        </w:rPr>
        <w:t xml:space="preserve">. </w:t>
      </w:r>
      <w:r w:rsidR="001C152A">
        <w:rPr>
          <w:sz w:val="24"/>
          <w:szCs w:val="24"/>
        </w:rPr>
        <w:t xml:space="preserve">              </w:t>
      </w:r>
      <w:r w:rsidR="00E61D50" w:rsidRPr="00FA1407">
        <w:rPr>
          <w:sz w:val="24"/>
          <w:szCs w:val="24"/>
        </w:rPr>
        <w:t xml:space="preserve">ACT NoWaste is responsible for managing the operational outcomes of the ACT's waste infrastructure and delivering essential household waste collection and management </w:t>
      </w:r>
      <w:r w:rsidR="00E61D50" w:rsidRPr="00FA1407">
        <w:rPr>
          <w:sz w:val="24"/>
          <w:szCs w:val="24"/>
        </w:rPr>
        <w:lastRenderedPageBreak/>
        <w:t>services. ACT NoWaste is also responsible for shaping the waste and resource recovery landscape in the ACT by driving progress towards waste minimisation and resource recovery outcomes through a combination of policy, regulation and direct government investment in waste infrastructure projects.</w:t>
      </w:r>
    </w:p>
    <w:p w14:paraId="2EAD8F8F" w14:textId="572A7F56" w:rsidR="00B37A15" w:rsidRPr="00FA1407" w:rsidRDefault="00B37A15" w:rsidP="00FA1407">
      <w:pPr>
        <w:rPr>
          <w:sz w:val="24"/>
          <w:szCs w:val="24"/>
        </w:rPr>
      </w:pPr>
      <w:r>
        <w:rPr>
          <w:sz w:val="24"/>
          <w:szCs w:val="24"/>
        </w:rPr>
        <w:t xml:space="preserve">The policy framework for waste management is established by the </w:t>
      </w:r>
      <w:r w:rsidRPr="00B37A15">
        <w:rPr>
          <w:i/>
          <w:iCs/>
          <w:sz w:val="24"/>
          <w:szCs w:val="24"/>
        </w:rPr>
        <w:t>ACT Waste Management Strategy 2011-2025</w:t>
      </w:r>
      <w:r w:rsidR="00672BC3">
        <w:rPr>
          <w:rStyle w:val="FootnoteReference"/>
          <w:i/>
          <w:iCs/>
          <w:sz w:val="24"/>
          <w:szCs w:val="24"/>
        </w:rPr>
        <w:footnoteReference w:id="1"/>
      </w:r>
      <w:r>
        <w:rPr>
          <w:sz w:val="24"/>
          <w:szCs w:val="24"/>
        </w:rPr>
        <w:t xml:space="preserve">, which was further developed through </w:t>
      </w:r>
      <w:r w:rsidRPr="00B37A15">
        <w:rPr>
          <w:i/>
          <w:iCs/>
          <w:sz w:val="24"/>
          <w:szCs w:val="24"/>
        </w:rPr>
        <w:t>the ACT Waste Feasibility Study 2018</w:t>
      </w:r>
      <w:r w:rsidR="00672BC3">
        <w:rPr>
          <w:rStyle w:val="FootnoteReference"/>
          <w:i/>
          <w:iCs/>
          <w:sz w:val="24"/>
          <w:szCs w:val="24"/>
        </w:rPr>
        <w:footnoteReference w:id="2"/>
      </w:r>
      <w:r>
        <w:rPr>
          <w:sz w:val="24"/>
          <w:szCs w:val="24"/>
        </w:rPr>
        <w:t xml:space="preserve">. </w:t>
      </w:r>
    </w:p>
    <w:p w14:paraId="4C7775B0" w14:textId="76EE80EB" w:rsidR="00E61D50" w:rsidRPr="00044A21" w:rsidRDefault="00AD7549" w:rsidP="00EE52B7">
      <w:pPr>
        <w:pStyle w:val="Heading2"/>
      </w:pPr>
      <w:bookmarkStart w:id="8" w:name="_Toc78374669"/>
      <w:bookmarkStart w:id="9" w:name="_Toc79490179"/>
      <w:r>
        <w:t xml:space="preserve">4.1 </w:t>
      </w:r>
      <w:r w:rsidR="002F7C2B">
        <w:tab/>
      </w:r>
      <w:r w:rsidR="00E61D50" w:rsidRPr="00044A21">
        <w:t>The ACT Waste Management Strategy 2011-2025</w:t>
      </w:r>
      <w:bookmarkEnd w:id="8"/>
      <w:bookmarkEnd w:id="9"/>
    </w:p>
    <w:p w14:paraId="1DEAABCB" w14:textId="061E7486" w:rsidR="00E61D50" w:rsidRPr="00B37A15" w:rsidRDefault="00E61D50" w:rsidP="00E61D50">
      <w:pPr>
        <w:pStyle w:val="ReportText"/>
        <w:rPr>
          <w:rFonts w:eastAsiaTheme="minorHAnsi" w:cstheme="minorBidi"/>
          <w:szCs w:val="24"/>
        </w:rPr>
      </w:pPr>
      <w:r w:rsidRPr="00B37A15">
        <w:rPr>
          <w:rFonts w:eastAsiaTheme="minorHAnsi" w:cstheme="minorBidi"/>
          <w:szCs w:val="24"/>
        </w:rPr>
        <w:t xml:space="preserve">The </w:t>
      </w:r>
      <w:r w:rsidRPr="00B37A15">
        <w:rPr>
          <w:rFonts w:eastAsiaTheme="minorHAnsi" w:cstheme="minorBidi"/>
          <w:i/>
          <w:iCs/>
          <w:szCs w:val="24"/>
        </w:rPr>
        <w:t>ACT Waste Management Strategy 2011-2025</w:t>
      </w:r>
      <w:r w:rsidRPr="00B37A15">
        <w:rPr>
          <w:rFonts w:eastAsiaTheme="minorHAnsi" w:cstheme="minorBidi"/>
          <w:szCs w:val="24"/>
        </w:rPr>
        <w:t xml:space="preserve"> </w:t>
      </w:r>
      <w:r w:rsidR="00B37A15">
        <w:rPr>
          <w:rFonts w:eastAsiaTheme="minorHAnsi" w:cstheme="minorBidi"/>
          <w:szCs w:val="24"/>
        </w:rPr>
        <w:t xml:space="preserve">(WMS) </w:t>
      </w:r>
      <w:r w:rsidRPr="00B37A15">
        <w:rPr>
          <w:rFonts w:eastAsiaTheme="minorHAnsi" w:cstheme="minorBidi"/>
          <w:szCs w:val="24"/>
        </w:rPr>
        <w:t>sets a clear direction for the management of waste in the ACT, with objectives focusing on sustainable resource management to:</w:t>
      </w:r>
    </w:p>
    <w:p w14:paraId="4ECD4FD4" w14:textId="21D69B40" w:rsidR="00E61D50" w:rsidRPr="00776B0A" w:rsidRDefault="00E61D50" w:rsidP="00420D47">
      <w:pPr>
        <w:pStyle w:val="ReportList1"/>
      </w:pPr>
      <w:r>
        <w:t>Reduce waste generation per capita</w:t>
      </w:r>
      <w:r w:rsidR="0039556A">
        <w:t>,</w:t>
      </w:r>
    </w:p>
    <w:p w14:paraId="357C63FD" w14:textId="410EB5E6" w:rsidR="00E61D50" w:rsidRPr="00776B0A" w:rsidRDefault="00E61D50" w:rsidP="00420D47">
      <w:pPr>
        <w:pStyle w:val="ReportList1"/>
      </w:pPr>
      <w:r>
        <w:t>Increase recovery of valuable resources</w:t>
      </w:r>
      <w:r w:rsidR="0039556A">
        <w:t>,</w:t>
      </w:r>
    </w:p>
    <w:p w14:paraId="0014B0F0" w14:textId="6EF22B0D" w:rsidR="00E61D50" w:rsidRPr="00776B0A" w:rsidRDefault="00E61D50" w:rsidP="00420D47">
      <w:pPr>
        <w:pStyle w:val="ReportList1"/>
      </w:pPr>
      <w:r>
        <w:t>Protect the environment and prevent pollution</w:t>
      </w:r>
      <w:r w:rsidR="00C208A1">
        <w:t>;</w:t>
      </w:r>
      <w:r w:rsidR="0039556A">
        <w:t xml:space="preserve"> and</w:t>
      </w:r>
    </w:p>
    <w:p w14:paraId="34D49A5D" w14:textId="30D61F95" w:rsidR="00E61D50" w:rsidRPr="00776B0A" w:rsidRDefault="00E61D50" w:rsidP="00420D47">
      <w:pPr>
        <w:pStyle w:val="ReportList1"/>
      </w:pPr>
      <w:r>
        <w:t>Reduce greenhouse gas emissions from the waste sector</w:t>
      </w:r>
      <w:r w:rsidR="0039556A">
        <w:t>.</w:t>
      </w:r>
    </w:p>
    <w:p w14:paraId="5B32BDF2" w14:textId="2A92BA60" w:rsidR="00E61D50" w:rsidRPr="00B37A15" w:rsidRDefault="00E61D50" w:rsidP="00B37A15">
      <w:pPr>
        <w:rPr>
          <w:sz w:val="24"/>
          <w:szCs w:val="24"/>
        </w:rPr>
      </w:pPr>
      <w:r w:rsidRPr="00B37A15">
        <w:rPr>
          <w:sz w:val="24"/>
          <w:szCs w:val="24"/>
        </w:rPr>
        <w:t xml:space="preserve">The </w:t>
      </w:r>
      <w:r w:rsidR="00B37A15">
        <w:rPr>
          <w:sz w:val="24"/>
          <w:szCs w:val="24"/>
        </w:rPr>
        <w:t>WMS</w:t>
      </w:r>
      <w:r w:rsidRPr="00B37A15">
        <w:rPr>
          <w:sz w:val="24"/>
          <w:szCs w:val="24"/>
        </w:rPr>
        <w:t xml:space="preserve"> establishes a framework for the consideration of waste materials as potential resources and recognises the importance of community engagement, partnerships and education initiatives in achieving these attitudinal changes. </w:t>
      </w:r>
    </w:p>
    <w:p w14:paraId="44ADE46D" w14:textId="36D4B3FA" w:rsidR="00E61D50" w:rsidRPr="00044A21" w:rsidRDefault="00AD7549" w:rsidP="00EE52B7">
      <w:pPr>
        <w:pStyle w:val="Heading2"/>
      </w:pPr>
      <w:bookmarkStart w:id="10" w:name="_Toc78374670"/>
      <w:bookmarkStart w:id="11" w:name="_Toc79490180"/>
      <w:r>
        <w:t xml:space="preserve">4.2 </w:t>
      </w:r>
      <w:r w:rsidR="002F7C2B">
        <w:tab/>
      </w:r>
      <w:r w:rsidR="00E61D50" w:rsidRPr="00044A21">
        <w:t>The ACT Waste Feasibility Study 2018</w:t>
      </w:r>
      <w:bookmarkEnd w:id="10"/>
      <w:bookmarkEnd w:id="11"/>
    </w:p>
    <w:p w14:paraId="5E20F892" w14:textId="6A861B28" w:rsidR="00E61D50" w:rsidRPr="00B37A15" w:rsidRDefault="00E61D50" w:rsidP="00B37A15">
      <w:pPr>
        <w:rPr>
          <w:sz w:val="24"/>
          <w:szCs w:val="24"/>
        </w:rPr>
      </w:pPr>
      <w:r w:rsidRPr="00B37A15">
        <w:rPr>
          <w:sz w:val="24"/>
          <w:szCs w:val="24"/>
        </w:rPr>
        <w:t xml:space="preserve">The </w:t>
      </w:r>
      <w:r w:rsidRPr="00B37A15">
        <w:rPr>
          <w:i/>
          <w:iCs/>
          <w:sz w:val="24"/>
          <w:szCs w:val="24"/>
        </w:rPr>
        <w:t>ACT Waste Feasibility Study 2018</w:t>
      </w:r>
      <w:r w:rsidRPr="00B37A15">
        <w:rPr>
          <w:sz w:val="24"/>
          <w:szCs w:val="24"/>
        </w:rPr>
        <w:t xml:space="preserve"> (WFS) focuses </w:t>
      </w:r>
      <w:r w:rsidR="001C152A">
        <w:rPr>
          <w:sz w:val="24"/>
          <w:szCs w:val="24"/>
        </w:rPr>
        <w:t xml:space="preserve">primarily </w:t>
      </w:r>
      <w:r w:rsidRPr="00B37A15">
        <w:rPr>
          <w:sz w:val="24"/>
          <w:szCs w:val="24"/>
        </w:rPr>
        <w:t>on reducing waste, improving resource recovery outcomes and creating markets for recycled products. It establishes two group of recommendations that create a roadmap for waste and resource recovery initiatives to meet the Territory's waste targets. The first group are specific to achieving direct diversion from landfill and commensurate resource recovery outcomes, whilst the second group are focused on legislative, policy and system changes to facilitate complement ongoing change and improvements.</w:t>
      </w:r>
    </w:p>
    <w:p w14:paraId="31ECE41D" w14:textId="4FD67FD9" w:rsidR="00E61D50" w:rsidRPr="00B37A15" w:rsidRDefault="00E61D50" w:rsidP="00B37A15">
      <w:pPr>
        <w:rPr>
          <w:sz w:val="24"/>
          <w:szCs w:val="24"/>
        </w:rPr>
      </w:pPr>
      <w:r w:rsidRPr="00B37A15">
        <w:rPr>
          <w:sz w:val="24"/>
          <w:szCs w:val="24"/>
        </w:rPr>
        <w:t xml:space="preserve">Most of the stage one projects recommended in the WFS have been commenced by ACT NoWaste, including the </w:t>
      </w:r>
      <w:r w:rsidR="00F42520">
        <w:rPr>
          <w:sz w:val="24"/>
          <w:szCs w:val="24"/>
        </w:rPr>
        <w:t>implementation of</w:t>
      </w:r>
      <w:r w:rsidRPr="00B37A15">
        <w:rPr>
          <w:sz w:val="24"/>
          <w:szCs w:val="24"/>
        </w:rPr>
        <w:t xml:space="preserve"> a pilot Love Food Hate Waste education program, site identification work for new FOGO processing capacity and the development of a position for the ACT on waste to energy.</w:t>
      </w:r>
    </w:p>
    <w:p w14:paraId="67F7F5AA" w14:textId="35CCD05C" w:rsidR="00E61D50" w:rsidRPr="00B37A15" w:rsidRDefault="00E61D50" w:rsidP="00B37A15">
      <w:pPr>
        <w:rPr>
          <w:sz w:val="24"/>
          <w:szCs w:val="24"/>
        </w:rPr>
      </w:pPr>
      <w:r w:rsidRPr="00B37A15">
        <w:rPr>
          <w:sz w:val="24"/>
          <w:szCs w:val="24"/>
        </w:rPr>
        <w:t xml:space="preserve">The WMS and subsequent WFS establish a clear set of priorities and goals for improving waste management and resource recovery outcomes in the ACT. They have been successful in supporting a commitment to new organic waste services, including the current opt-in </w:t>
      </w:r>
      <w:r w:rsidRPr="00B37A15">
        <w:rPr>
          <w:sz w:val="24"/>
          <w:szCs w:val="24"/>
        </w:rPr>
        <w:lastRenderedPageBreak/>
        <w:t xml:space="preserve">kerbside garden waste service and the new FOGO service to be introduced from 2023, </w:t>
      </w:r>
      <w:r w:rsidR="001C152A">
        <w:rPr>
          <w:sz w:val="24"/>
          <w:szCs w:val="24"/>
        </w:rPr>
        <w:t xml:space="preserve">and </w:t>
      </w:r>
      <w:r w:rsidRPr="00B37A15">
        <w:rPr>
          <w:sz w:val="24"/>
          <w:szCs w:val="24"/>
        </w:rPr>
        <w:t>the introduction of a CDS.</w:t>
      </w:r>
    </w:p>
    <w:p w14:paraId="1F0E83F5" w14:textId="2DF29D03" w:rsidR="00AD7549" w:rsidRDefault="00AD7549" w:rsidP="00EE52B7">
      <w:pPr>
        <w:pStyle w:val="Heading1"/>
      </w:pPr>
      <w:bookmarkStart w:id="12" w:name="_Toc78374671"/>
      <w:bookmarkStart w:id="13" w:name="_Toc79490181"/>
      <w:r>
        <w:t>The authorising law</w:t>
      </w:r>
      <w:bookmarkEnd w:id="12"/>
      <w:bookmarkEnd w:id="13"/>
    </w:p>
    <w:p w14:paraId="4D4DDF44" w14:textId="19095A5C" w:rsidR="00AD7549" w:rsidRDefault="00AD7549" w:rsidP="00EE52B7">
      <w:pPr>
        <w:pStyle w:val="Heading2"/>
      </w:pPr>
      <w:bookmarkStart w:id="14" w:name="_Toc78374672"/>
      <w:bookmarkStart w:id="15" w:name="_Toc79490182"/>
      <w:r>
        <w:t xml:space="preserve">5.1 </w:t>
      </w:r>
      <w:r w:rsidR="002F7C2B">
        <w:tab/>
      </w:r>
      <w:r>
        <w:t>Waste Management and Resource Recovery Act 2016</w:t>
      </w:r>
      <w:bookmarkEnd w:id="14"/>
      <w:bookmarkEnd w:id="15"/>
    </w:p>
    <w:p w14:paraId="07BEDCC0" w14:textId="77777777" w:rsidR="00207C5C" w:rsidRPr="00B37A15" w:rsidRDefault="00207C5C" w:rsidP="00B37A15">
      <w:pPr>
        <w:rPr>
          <w:sz w:val="24"/>
          <w:szCs w:val="24"/>
        </w:rPr>
      </w:pPr>
      <w:r w:rsidRPr="00B37A15">
        <w:rPr>
          <w:sz w:val="24"/>
          <w:szCs w:val="24"/>
        </w:rPr>
        <w:t xml:space="preserve">The </w:t>
      </w:r>
      <w:r w:rsidRPr="00B37A15">
        <w:rPr>
          <w:i/>
          <w:iCs/>
          <w:sz w:val="24"/>
          <w:szCs w:val="24"/>
        </w:rPr>
        <w:t>Waste Management and Resource Recovery Act 2016</w:t>
      </w:r>
      <w:r w:rsidRPr="00B37A15">
        <w:rPr>
          <w:sz w:val="24"/>
          <w:szCs w:val="24"/>
        </w:rPr>
        <w:t xml:space="preserve"> (the Act) supports the achievement of resource recovery objectives in the </w:t>
      </w:r>
      <w:r w:rsidRPr="003212FB">
        <w:rPr>
          <w:i/>
          <w:iCs/>
          <w:sz w:val="24"/>
          <w:szCs w:val="24"/>
        </w:rPr>
        <w:t>ACT Waste Management Strategy 2011-2025</w:t>
      </w:r>
      <w:r w:rsidRPr="00B37A15">
        <w:rPr>
          <w:sz w:val="24"/>
          <w:szCs w:val="24"/>
        </w:rPr>
        <w:t xml:space="preserve">. The Strategy is the principal Government policy statement outlining resource recovery aspirations and future directions. The Act seeks to facilitate and reward good practice in waste collection, transportation, recovery and reuse, and to discourage the disposal of waste into landfill. </w:t>
      </w:r>
    </w:p>
    <w:p w14:paraId="3F7B0EE4" w14:textId="77777777" w:rsidR="00AD7549" w:rsidRPr="00B37A15" w:rsidRDefault="00AD7549" w:rsidP="00AD7549">
      <w:pPr>
        <w:rPr>
          <w:sz w:val="24"/>
          <w:szCs w:val="24"/>
        </w:rPr>
      </w:pPr>
      <w:r w:rsidRPr="00B37A15">
        <w:rPr>
          <w:sz w:val="24"/>
          <w:szCs w:val="24"/>
        </w:rPr>
        <w:t xml:space="preserve">The purpose of the Act is to promote and reward responsible best-practice in waste management and resource recovery. The Act was developed following extensive industry and community consultation. </w:t>
      </w:r>
    </w:p>
    <w:p w14:paraId="6EF71CD6" w14:textId="09DCD3F5" w:rsidR="00AD7549" w:rsidRPr="00B37A15" w:rsidRDefault="00AD7549" w:rsidP="00AD7549">
      <w:pPr>
        <w:rPr>
          <w:sz w:val="24"/>
          <w:szCs w:val="24"/>
        </w:rPr>
      </w:pPr>
      <w:r w:rsidRPr="00B37A15">
        <w:rPr>
          <w:sz w:val="24"/>
          <w:szCs w:val="24"/>
        </w:rPr>
        <w:t>The objects in the Act align with the Government’s waste management policy objectives</w:t>
      </w:r>
      <w:r w:rsidR="004D7945">
        <w:rPr>
          <w:sz w:val="24"/>
          <w:szCs w:val="24"/>
        </w:rPr>
        <w:t>, including:</w:t>
      </w:r>
      <w:r w:rsidRPr="00B37A15">
        <w:rPr>
          <w:sz w:val="24"/>
          <w:szCs w:val="24"/>
        </w:rPr>
        <w:t xml:space="preserve"> </w:t>
      </w:r>
    </w:p>
    <w:p w14:paraId="191A400C" w14:textId="72F37DEC" w:rsidR="00AD7549" w:rsidRPr="00FF5250" w:rsidRDefault="00AD7549" w:rsidP="0039556A">
      <w:pPr>
        <w:pStyle w:val="ReportList1"/>
        <w:rPr>
          <w:rStyle w:val="PlaceholderText"/>
          <w:color w:val="000000" w:themeColor="text1"/>
        </w:rPr>
      </w:pPr>
      <w:r w:rsidRPr="00FF5250">
        <w:rPr>
          <w:rStyle w:val="PlaceholderText"/>
          <w:color w:val="000000" w:themeColor="text1"/>
        </w:rPr>
        <w:t>manag</w:t>
      </w:r>
      <w:r w:rsidR="004D7945" w:rsidRPr="00FF5250">
        <w:rPr>
          <w:rStyle w:val="PlaceholderText"/>
          <w:color w:val="000000" w:themeColor="text1"/>
        </w:rPr>
        <w:t>ing</w:t>
      </w:r>
      <w:r w:rsidRPr="00FF5250">
        <w:rPr>
          <w:rStyle w:val="PlaceholderText"/>
          <w:color w:val="000000" w:themeColor="text1"/>
        </w:rPr>
        <w:t xml:space="preserve"> waste according to the following hierarchy</w:t>
      </w:r>
      <w:r w:rsidR="00F42520">
        <w:rPr>
          <w:rStyle w:val="PlaceholderText"/>
          <w:color w:val="000000" w:themeColor="text1"/>
        </w:rPr>
        <w:t>:</w:t>
      </w:r>
    </w:p>
    <w:p w14:paraId="1F17BB0B" w14:textId="7CB136BD" w:rsidR="00AD7549" w:rsidRPr="00FF5250" w:rsidRDefault="00AD7549" w:rsidP="0039556A">
      <w:pPr>
        <w:pStyle w:val="ReportList2"/>
        <w:rPr>
          <w:rStyle w:val="PlaceholderText"/>
          <w:color w:val="000000" w:themeColor="text1"/>
        </w:rPr>
      </w:pPr>
      <w:r w:rsidRPr="00FF5250">
        <w:rPr>
          <w:rStyle w:val="PlaceholderText"/>
          <w:color w:val="000000" w:themeColor="text1"/>
        </w:rPr>
        <w:t>minimise the generation of waste</w:t>
      </w:r>
      <w:r w:rsidR="00FF5250">
        <w:rPr>
          <w:rStyle w:val="PlaceholderText"/>
          <w:color w:val="000000" w:themeColor="text1"/>
        </w:rPr>
        <w:t>,</w:t>
      </w:r>
    </w:p>
    <w:p w14:paraId="6C6F4EB0" w14:textId="1DB50A32" w:rsidR="00AD7549" w:rsidRPr="00FF5250" w:rsidRDefault="00AD7549" w:rsidP="0039556A">
      <w:pPr>
        <w:pStyle w:val="ReportList2"/>
        <w:rPr>
          <w:rStyle w:val="PlaceholderText"/>
          <w:color w:val="000000" w:themeColor="text1"/>
        </w:rPr>
      </w:pPr>
      <w:r w:rsidRPr="00FF5250">
        <w:rPr>
          <w:rStyle w:val="PlaceholderText"/>
          <w:color w:val="000000" w:themeColor="text1"/>
        </w:rPr>
        <w:t>maximise the recovery and re-use of resources</w:t>
      </w:r>
      <w:r w:rsidR="00FF5250">
        <w:rPr>
          <w:rStyle w:val="PlaceholderText"/>
          <w:color w:val="000000" w:themeColor="text1"/>
        </w:rPr>
        <w:t>,</w:t>
      </w:r>
    </w:p>
    <w:p w14:paraId="052AB0E6" w14:textId="21CEE9E2" w:rsidR="00AD7549" w:rsidRPr="00FF5250" w:rsidRDefault="00AD7549" w:rsidP="0039556A">
      <w:pPr>
        <w:pStyle w:val="ReportList2"/>
        <w:rPr>
          <w:rStyle w:val="PlaceholderText"/>
          <w:color w:val="000000" w:themeColor="text1"/>
        </w:rPr>
      </w:pPr>
      <w:r w:rsidRPr="00FF5250">
        <w:rPr>
          <w:rStyle w:val="PlaceholderText"/>
          <w:color w:val="000000" w:themeColor="text1"/>
        </w:rPr>
        <w:t>minimise the amount of waste that goes to landfill</w:t>
      </w:r>
      <w:r w:rsidR="00C208A1">
        <w:rPr>
          <w:rStyle w:val="PlaceholderText"/>
          <w:color w:val="000000" w:themeColor="text1"/>
        </w:rPr>
        <w:t>.</w:t>
      </w:r>
    </w:p>
    <w:p w14:paraId="51D11DE0" w14:textId="526366BF" w:rsidR="00AD7549" w:rsidRPr="00FF5250" w:rsidRDefault="00AD7549" w:rsidP="0039556A">
      <w:pPr>
        <w:pStyle w:val="ReportList1"/>
        <w:rPr>
          <w:rStyle w:val="PlaceholderText"/>
          <w:color w:val="000000" w:themeColor="text1"/>
        </w:rPr>
      </w:pPr>
      <w:r w:rsidRPr="00FF5250">
        <w:rPr>
          <w:rStyle w:val="PlaceholderText"/>
          <w:color w:val="000000" w:themeColor="text1"/>
        </w:rPr>
        <w:t>support</w:t>
      </w:r>
      <w:r w:rsidR="004D7945" w:rsidRPr="00FF5250">
        <w:rPr>
          <w:rStyle w:val="PlaceholderText"/>
          <w:color w:val="000000" w:themeColor="text1"/>
        </w:rPr>
        <w:t>ing</w:t>
      </w:r>
      <w:r w:rsidRPr="00FF5250">
        <w:rPr>
          <w:rStyle w:val="PlaceholderText"/>
          <w:color w:val="000000" w:themeColor="text1"/>
        </w:rPr>
        <w:t xml:space="preserve"> innovation and investment in waste management</w:t>
      </w:r>
      <w:r w:rsidR="00F42520">
        <w:rPr>
          <w:rStyle w:val="PlaceholderText"/>
          <w:color w:val="000000" w:themeColor="text1"/>
        </w:rPr>
        <w:t>;</w:t>
      </w:r>
    </w:p>
    <w:p w14:paraId="5E740EAA" w14:textId="4A699816" w:rsidR="00AD7549" w:rsidRPr="00FF5250" w:rsidRDefault="00AD7549" w:rsidP="0039556A">
      <w:pPr>
        <w:pStyle w:val="ReportList1"/>
        <w:rPr>
          <w:rStyle w:val="PlaceholderText"/>
          <w:color w:val="000000" w:themeColor="text1"/>
        </w:rPr>
      </w:pPr>
      <w:r w:rsidRPr="00FF5250">
        <w:rPr>
          <w:rStyle w:val="PlaceholderText"/>
          <w:color w:val="000000" w:themeColor="text1"/>
        </w:rPr>
        <w:t>promot</w:t>
      </w:r>
      <w:r w:rsidR="004D7945" w:rsidRPr="00FF5250">
        <w:rPr>
          <w:rStyle w:val="PlaceholderText"/>
          <w:color w:val="000000" w:themeColor="text1"/>
        </w:rPr>
        <w:t>ing</w:t>
      </w:r>
      <w:r w:rsidRPr="00FF5250">
        <w:rPr>
          <w:rStyle w:val="PlaceholderText"/>
          <w:color w:val="000000" w:themeColor="text1"/>
        </w:rPr>
        <w:t xml:space="preserve"> responsibility for waste reduction</w:t>
      </w:r>
      <w:r w:rsidR="00F42520">
        <w:rPr>
          <w:rStyle w:val="PlaceholderText"/>
          <w:color w:val="000000" w:themeColor="text1"/>
        </w:rPr>
        <w:t>;</w:t>
      </w:r>
      <w:r w:rsidRPr="00FF5250">
        <w:rPr>
          <w:rStyle w:val="PlaceholderText"/>
          <w:color w:val="000000" w:themeColor="text1"/>
        </w:rPr>
        <w:t xml:space="preserve"> and</w:t>
      </w:r>
    </w:p>
    <w:p w14:paraId="25636601" w14:textId="632BFF0D" w:rsidR="00AD7549" w:rsidRPr="00FF5250" w:rsidRDefault="00AD7549" w:rsidP="0039556A">
      <w:pPr>
        <w:pStyle w:val="ReportList1"/>
        <w:rPr>
          <w:rStyle w:val="PlaceholderText"/>
          <w:rFonts w:ascii="Calibri" w:hAnsi="Calibri" w:cs="Times New Roman"/>
          <w:color w:val="000000" w:themeColor="text1"/>
          <w:lang w:eastAsia="ja-JP"/>
        </w:rPr>
      </w:pPr>
      <w:r w:rsidRPr="00FF5250">
        <w:rPr>
          <w:rStyle w:val="PlaceholderText"/>
          <w:color w:val="000000" w:themeColor="text1"/>
        </w:rPr>
        <w:t>promot</w:t>
      </w:r>
      <w:r w:rsidR="004D7945" w:rsidRPr="00FF5250">
        <w:rPr>
          <w:rStyle w:val="PlaceholderText"/>
          <w:color w:val="000000" w:themeColor="text1"/>
        </w:rPr>
        <w:t>ing</w:t>
      </w:r>
      <w:r w:rsidRPr="00FF5250">
        <w:rPr>
          <w:rStyle w:val="PlaceholderText"/>
          <w:color w:val="000000" w:themeColor="text1"/>
        </w:rPr>
        <w:t xml:space="preserve"> best-practice waste management.</w:t>
      </w:r>
    </w:p>
    <w:p w14:paraId="1A5ACED8" w14:textId="5F3A7BCD" w:rsidR="00BC3210" w:rsidRDefault="00BC3210" w:rsidP="00BC3210">
      <w:pPr>
        <w:pStyle w:val="CS-Paragraphnumbering"/>
        <w:numPr>
          <w:ilvl w:val="0"/>
          <w:numId w:val="0"/>
        </w:numPr>
      </w:pPr>
      <w:r>
        <w:t>Several sections of the Act provide for matters to be declared by regulation. Those of relevance to this RIS include</w:t>
      </w:r>
      <w:r w:rsidR="004C2A57">
        <w:t xml:space="preserve"> following</w:t>
      </w:r>
      <w:r>
        <w:t xml:space="preserve">: </w:t>
      </w:r>
    </w:p>
    <w:p w14:paraId="192D1871" w14:textId="3796E22E" w:rsidR="00BC3210" w:rsidRDefault="00BC3210" w:rsidP="0052263D">
      <w:pPr>
        <w:pStyle w:val="ReportList1"/>
      </w:pPr>
      <w:r>
        <w:t>Section 10</w:t>
      </w:r>
      <w:r w:rsidR="004C2A57">
        <w:t xml:space="preserve"> – </w:t>
      </w:r>
      <w:r>
        <w:t>provi</w:t>
      </w:r>
      <w:r w:rsidR="004C2A57">
        <w:t>des for</w:t>
      </w:r>
      <w:r>
        <w:t xml:space="preserve"> substances to be declared to be waste, </w:t>
      </w:r>
    </w:p>
    <w:p w14:paraId="1A15A97A" w14:textId="37DE9790" w:rsidR="00BC3210" w:rsidRDefault="00BC3210" w:rsidP="0052263D">
      <w:pPr>
        <w:pStyle w:val="ReportList1"/>
      </w:pPr>
      <w:r>
        <w:t>Section 19(2)(b)</w:t>
      </w:r>
      <w:r w:rsidR="004C2A57">
        <w:t xml:space="preserve"> – provides for</w:t>
      </w:r>
      <w:r>
        <w:t xml:space="preserve"> information in licence applications to be prescribed by regulation, </w:t>
      </w:r>
    </w:p>
    <w:p w14:paraId="1EF79A5E" w14:textId="34568FD4" w:rsidR="00BC3210" w:rsidRDefault="00BC3210" w:rsidP="0052263D">
      <w:pPr>
        <w:pStyle w:val="ReportList1"/>
      </w:pPr>
      <w:r>
        <w:t>Section 64(1)(a)</w:t>
      </w:r>
      <w:r w:rsidR="004C2A57">
        <w:t xml:space="preserve"> – provides for the</w:t>
      </w:r>
      <w:r>
        <w:t xml:space="preserve"> establishment of a waste collection service, </w:t>
      </w:r>
    </w:p>
    <w:p w14:paraId="2DF0E952" w14:textId="51291EAB" w:rsidR="00BC3210" w:rsidRDefault="00967D02" w:rsidP="0052263D">
      <w:pPr>
        <w:pStyle w:val="ReportList1"/>
      </w:pPr>
      <w:r>
        <w:t>Section 64(2)</w:t>
      </w:r>
      <w:r w:rsidR="004C2A57">
        <w:t xml:space="preserve"> – </w:t>
      </w:r>
      <w:r>
        <w:t>provi</w:t>
      </w:r>
      <w:r w:rsidR="004C2A57">
        <w:t>des</w:t>
      </w:r>
      <w:r>
        <w:t xml:space="preserve"> for a waste collection service, </w:t>
      </w:r>
    </w:p>
    <w:p w14:paraId="145D0F32" w14:textId="48611C70" w:rsidR="00967D02" w:rsidRDefault="00967D02" w:rsidP="0052263D">
      <w:pPr>
        <w:pStyle w:val="ReportList1"/>
      </w:pPr>
      <w:r>
        <w:t xml:space="preserve">Various arrangements for the CDS scheme including: </w:t>
      </w:r>
    </w:p>
    <w:p w14:paraId="2D44094C" w14:textId="318A5565" w:rsidR="00967D02" w:rsidRDefault="00967D02" w:rsidP="0052263D">
      <w:pPr>
        <w:pStyle w:val="ReportList1"/>
        <w:numPr>
          <w:ilvl w:val="1"/>
          <w:numId w:val="25"/>
        </w:numPr>
      </w:pPr>
      <w:r>
        <w:t>Section 64E</w:t>
      </w:r>
      <w:r w:rsidR="004C2A57">
        <w:t xml:space="preserve"> – the definition </w:t>
      </w:r>
      <w:r>
        <w:t xml:space="preserve">of a CDS container, </w:t>
      </w:r>
    </w:p>
    <w:p w14:paraId="03845423" w14:textId="22FAE447" w:rsidR="00967D02" w:rsidRDefault="00967D02" w:rsidP="0052263D">
      <w:pPr>
        <w:pStyle w:val="ReportList1"/>
        <w:numPr>
          <w:ilvl w:val="1"/>
          <w:numId w:val="25"/>
        </w:numPr>
      </w:pPr>
      <w:r>
        <w:t>Section 64F</w:t>
      </w:r>
      <w:r w:rsidR="004C2A57">
        <w:t xml:space="preserve"> – the </w:t>
      </w:r>
      <w:r>
        <w:t xml:space="preserve">refund amount for CDS containers, </w:t>
      </w:r>
    </w:p>
    <w:p w14:paraId="248BA497" w14:textId="0E143071" w:rsidR="00967D02" w:rsidRDefault="00967D02" w:rsidP="0052263D">
      <w:pPr>
        <w:pStyle w:val="ReportList1"/>
        <w:numPr>
          <w:ilvl w:val="1"/>
          <w:numId w:val="25"/>
        </w:numPr>
      </w:pPr>
      <w:r>
        <w:lastRenderedPageBreak/>
        <w:t>Section 64I</w:t>
      </w:r>
      <w:r w:rsidR="004C2A57">
        <w:t xml:space="preserve"> – determines </w:t>
      </w:r>
      <w:r>
        <w:t xml:space="preserve">matters to be included in CDS scheme administration agreements, including commencement, performance targets, </w:t>
      </w:r>
    </w:p>
    <w:p w14:paraId="67360825" w14:textId="37931ED1" w:rsidR="00967D02" w:rsidRDefault="00967D02" w:rsidP="0052263D">
      <w:pPr>
        <w:pStyle w:val="ReportList1"/>
        <w:numPr>
          <w:ilvl w:val="1"/>
          <w:numId w:val="25"/>
        </w:numPr>
      </w:pPr>
      <w:r>
        <w:t>Section 64K</w:t>
      </w:r>
      <w:r w:rsidR="004C2A57">
        <w:t xml:space="preserve"> – outlines </w:t>
      </w:r>
      <w:r>
        <w:t xml:space="preserve">approval of CDS network arrangements, </w:t>
      </w:r>
    </w:p>
    <w:p w14:paraId="44E187F1" w14:textId="22120182" w:rsidR="00967D02" w:rsidRDefault="00967D02" w:rsidP="0052263D">
      <w:pPr>
        <w:pStyle w:val="ReportList1"/>
      </w:pPr>
      <w:r>
        <w:t>Section 65(2)(a)</w:t>
      </w:r>
      <w:r w:rsidR="00346694">
        <w:t xml:space="preserve"> – outlines </w:t>
      </w:r>
      <w:r>
        <w:t xml:space="preserve">information to be contained in waste activity reports, and </w:t>
      </w:r>
    </w:p>
    <w:p w14:paraId="089C2F29" w14:textId="27D099F1" w:rsidR="00967D02" w:rsidRDefault="00967D02" w:rsidP="0052263D">
      <w:pPr>
        <w:pStyle w:val="ReportList1"/>
      </w:pPr>
      <w:r>
        <w:t>Section 113</w:t>
      </w:r>
      <w:r w:rsidR="00346694">
        <w:t xml:space="preserve"> – outlines </w:t>
      </w:r>
      <w:r>
        <w:t xml:space="preserve">offences relating to taking prescribed waste to facilities.  </w:t>
      </w:r>
    </w:p>
    <w:p w14:paraId="65E02280" w14:textId="28BDECAB" w:rsidR="00BC3210" w:rsidRDefault="00AD7549" w:rsidP="00BC3210">
      <w:pPr>
        <w:pStyle w:val="CS-Paragraphnumbering"/>
        <w:numPr>
          <w:ilvl w:val="0"/>
          <w:numId w:val="0"/>
        </w:numPr>
      </w:pPr>
      <w:r w:rsidRPr="00554046">
        <w:t xml:space="preserve">Section 128 of the Act provides a general regulation-making power, specifically that a regulation may: </w:t>
      </w:r>
    </w:p>
    <w:p w14:paraId="0BCD8C19" w14:textId="0E350215" w:rsidR="00BC3210" w:rsidRDefault="00BC3210" w:rsidP="0039556A">
      <w:pPr>
        <w:pStyle w:val="ReportList1"/>
      </w:pPr>
      <w:r>
        <w:t xml:space="preserve">make provision in relation to the </w:t>
      </w:r>
      <w:r w:rsidR="00AD7549" w:rsidRPr="00554046">
        <w:t>exclu</w:t>
      </w:r>
      <w:r>
        <w:t>sion</w:t>
      </w:r>
      <w:r w:rsidR="00AD7549" w:rsidRPr="00554046">
        <w:t xml:space="preserve"> people or activities from the application of the provisions of the Act</w:t>
      </w:r>
      <w:r w:rsidR="00C208A1">
        <w:t>;</w:t>
      </w:r>
      <w:r w:rsidR="00AD7549" w:rsidRPr="00554046">
        <w:t xml:space="preserve"> and </w:t>
      </w:r>
    </w:p>
    <w:p w14:paraId="41388ED5" w14:textId="104CB990" w:rsidR="00BC3210" w:rsidRDefault="00AD7549" w:rsidP="0039556A">
      <w:pPr>
        <w:pStyle w:val="ReportList1"/>
      </w:pPr>
      <w:r w:rsidRPr="00554046">
        <w:t>create offences for contraventions of the regulations and fix penalties of not more than 40 penalty units for the offences</w:t>
      </w:r>
      <w:r w:rsidR="00C208A1">
        <w:t>;</w:t>
      </w:r>
      <w:r w:rsidR="00BC3210">
        <w:t xml:space="preserve"> and</w:t>
      </w:r>
    </w:p>
    <w:p w14:paraId="75CC0342" w14:textId="4D456A60" w:rsidR="00BC3210" w:rsidRDefault="00BC3210" w:rsidP="0039556A">
      <w:pPr>
        <w:pStyle w:val="ReportList1"/>
      </w:pPr>
      <w:r>
        <w:t>make provisions in relation to the content of CDS scheme arrangements.</w:t>
      </w:r>
    </w:p>
    <w:p w14:paraId="03DA28DA" w14:textId="77777777" w:rsidR="00BC3210" w:rsidRPr="009516AD" w:rsidRDefault="00BC3210" w:rsidP="00BC3210">
      <w:pPr>
        <w:pStyle w:val="CS-Paragraphnumbering"/>
        <w:numPr>
          <w:ilvl w:val="0"/>
          <w:numId w:val="0"/>
        </w:numPr>
        <w:ind w:left="1560" w:hanging="851"/>
      </w:pPr>
    </w:p>
    <w:p w14:paraId="5269C9EE" w14:textId="16DC3B6A" w:rsidR="00AD7549" w:rsidRDefault="00AD7549" w:rsidP="00EE52B7">
      <w:pPr>
        <w:pStyle w:val="Heading2"/>
      </w:pPr>
      <w:bookmarkStart w:id="16" w:name="_Toc78374673"/>
      <w:bookmarkStart w:id="17" w:name="_Toc79490183"/>
      <w:r>
        <w:t xml:space="preserve">5.2 </w:t>
      </w:r>
      <w:r w:rsidR="002F7C2B">
        <w:tab/>
      </w:r>
      <w:r>
        <w:t>Waste Management and Resource Recovery Regulation 2017</w:t>
      </w:r>
      <w:bookmarkEnd w:id="16"/>
      <w:bookmarkEnd w:id="17"/>
      <w:r>
        <w:t xml:space="preserve"> </w:t>
      </w:r>
    </w:p>
    <w:p w14:paraId="2DB29794" w14:textId="1B8AA7AB" w:rsidR="00207C5C" w:rsidRDefault="00207C5C" w:rsidP="00207C5C">
      <w:pPr>
        <w:pStyle w:val="CS-Paragraphnumbering"/>
        <w:numPr>
          <w:ilvl w:val="0"/>
          <w:numId w:val="0"/>
        </w:numPr>
      </w:pPr>
      <w:r>
        <w:t xml:space="preserve">The </w:t>
      </w:r>
      <w:r w:rsidRPr="002D3979">
        <w:rPr>
          <w:i/>
          <w:iCs/>
        </w:rPr>
        <w:t xml:space="preserve">Waste Management and Resource Recovery </w:t>
      </w:r>
      <w:r>
        <w:rPr>
          <w:i/>
          <w:iCs/>
        </w:rPr>
        <w:t>Regulation</w:t>
      </w:r>
      <w:r w:rsidRPr="002D3979">
        <w:rPr>
          <w:i/>
          <w:iCs/>
        </w:rPr>
        <w:t xml:space="preserve"> 201</w:t>
      </w:r>
      <w:r>
        <w:rPr>
          <w:i/>
          <w:iCs/>
        </w:rPr>
        <w:t>7</w:t>
      </w:r>
      <w:r>
        <w:t xml:space="preserve"> (the Regulation) details </w:t>
      </w:r>
      <w:r w:rsidRPr="001429A4">
        <w:t xml:space="preserve">the licensing, registration and reporting requirements for waste businesses, </w:t>
      </w:r>
      <w:r w:rsidR="00346694">
        <w:t xml:space="preserve">and </w:t>
      </w:r>
      <w:r>
        <w:t>contains</w:t>
      </w:r>
      <w:r w:rsidRPr="001429A4">
        <w:t xml:space="preserve"> offence provisions which strengthen the Government’s ability to penalise inappropriate and potentially dangerous waste management practices where compliance is not achieved through public education or the issuing of a rectification notice</w:t>
      </w:r>
      <w:r>
        <w:t>.</w:t>
      </w:r>
    </w:p>
    <w:p w14:paraId="376DC4DC" w14:textId="77777777" w:rsidR="00207C5C" w:rsidRDefault="00207C5C" w:rsidP="00207C5C">
      <w:pPr>
        <w:pStyle w:val="CS-Paragraphnumbering"/>
        <w:numPr>
          <w:ilvl w:val="0"/>
          <w:numId w:val="0"/>
        </w:numPr>
      </w:pPr>
      <w:r>
        <w:t xml:space="preserve">Amongst other things, the Regulation: </w:t>
      </w:r>
    </w:p>
    <w:p w14:paraId="0925F954" w14:textId="48D3B6B4" w:rsidR="00207C5C" w:rsidRDefault="00207C5C" w:rsidP="00FF5250">
      <w:pPr>
        <w:pStyle w:val="ReportList1"/>
      </w:pPr>
      <w:r>
        <w:t>declares substance</w:t>
      </w:r>
      <w:r w:rsidR="00E82826">
        <w:t>s</w:t>
      </w:r>
      <w:r>
        <w:t xml:space="preserve"> to be within the meaning of ‘waste’</w:t>
      </w:r>
      <w:r w:rsidR="00FF5250">
        <w:t>,</w:t>
      </w:r>
    </w:p>
    <w:p w14:paraId="10DAB0FC" w14:textId="259FCB51" w:rsidR="00207C5C" w:rsidRDefault="00207C5C" w:rsidP="00FF5250">
      <w:pPr>
        <w:pStyle w:val="ReportList1"/>
      </w:pPr>
      <w:r>
        <w:t>lists different types of wastes and how they are to be reported as part of facility licenses and transporter registrations</w:t>
      </w:r>
      <w:r w:rsidR="00FF5250">
        <w:t>,</w:t>
      </w:r>
    </w:p>
    <w:p w14:paraId="30C46021" w14:textId="07D82215" w:rsidR="00207C5C" w:rsidRDefault="00207C5C" w:rsidP="00FF5250">
      <w:pPr>
        <w:pStyle w:val="ReportList1"/>
      </w:pPr>
      <w:r>
        <w:t xml:space="preserve">defines eligible containers for the ACT </w:t>
      </w:r>
      <w:r w:rsidR="00E82826">
        <w:t>CDS</w:t>
      </w:r>
      <w:r w:rsidR="00C208A1">
        <w:t>;</w:t>
      </w:r>
      <w:r>
        <w:t xml:space="preserve"> and</w:t>
      </w:r>
    </w:p>
    <w:p w14:paraId="78A8AEBF" w14:textId="77777777" w:rsidR="00207C5C" w:rsidRDefault="00207C5C" w:rsidP="00FF5250">
      <w:pPr>
        <w:pStyle w:val="ReportList1"/>
      </w:pPr>
      <w:r>
        <w:t>identifies information to be included in instruments.</w:t>
      </w:r>
    </w:p>
    <w:p w14:paraId="3E5D317B" w14:textId="6AC32DE4" w:rsidR="004E2FC8" w:rsidRDefault="00EA1EAB" w:rsidP="00FA4129">
      <w:pPr>
        <w:pStyle w:val="Heading1"/>
      </w:pPr>
      <w:bookmarkStart w:id="18" w:name="_Toc79490184"/>
      <w:bookmarkStart w:id="19" w:name="_Toc78374674"/>
      <w:r>
        <w:t xml:space="preserve">Consideration of human rights – </w:t>
      </w:r>
      <w:r w:rsidRPr="003212FB">
        <w:rPr>
          <w:i/>
          <w:iCs/>
        </w:rPr>
        <w:t>Human Rights Act 2004</w:t>
      </w:r>
      <w:bookmarkEnd w:id="18"/>
      <w:r>
        <w:t xml:space="preserve"> </w:t>
      </w:r>
      <w:bookmarkStart w:id="20" w:name="_Toc78374675"/>
      <w:bookmarkEnd w:id="19"/>
      <w:bookmarkEnd w:id="20"/>
    </w:p>
    <w:p w14:paraId="30CA096A" w14:textId="5E1D932D" w:rsidR="00C248FB" w:rsidRDefault="00C248FB" w:rsidP="00416775">
      <w:pPr>
        <w:pStyle w:val="CS-Paragraphnumbering"/>
        <w:numPr>
          <w:ilvl w:val="0"/>
          <w:numId w:val="0"/>
        </w:numPr>
      </w:pPr>
      <w:r>
        <w:t xml:space="preserve">Directorates are obligated under the </w:t>
      </w:r>
      <w:r w:rsidRPr="003212FB">
        <w:rPr>
          <w:i/>
          <w:iCs/>
        </w:rPr>
        <w:t>Human Rights Act 2004</w:t>
      </w:r>
      <w:r w:rsidRPr="00416775">
        <w:t xml:space="preserve"> </w:t>
      </w:r>
      <w:r>
        <w:t>(the HR Act) to act and</w:t>
      </w:r>
      <w:r w:rsidR="004E2FC8">
        <w:t xml:space="preserve"> to</w:t>
      </w:r>
      <w:r>
        <w:t xml:space="preserve"> make decisions consistently with human rights. </w:t>
      </w:r>
    </w:p>
    <w:p w14:paraId="51D805B1" w14:textId="79DBFAA5" w:rsidR="00C248FB" w:rsidRDefault="00C248FB" w:rsidP="00416775">
      <w:pPr>
        <w:pStyle w:val="CS-Paragraphnumbering"/>
        <w:numPr>
          <w:ilvl w:val="0"/>
          <w:numId w:val="0"/>
        </w:numPr>
      </w:pPr>
      <w:r>
        <w:t>This includes ensuring any amendments result in a law that is proportionate</w:t>
      </w:r>
      <w:r w:rsidR="004E2FC8">
        <w:t xml:space="preserve"> – that it limits rights in the least restrictive way possible to achieve the purpose of the legislation</w:t>
      </w:r>
      <w:r>
        <w:t xml:space="preserve"> (section </w:t>
      </w:r>
      <w:r>
        <w:lastRenderedPageBreak/>
        <w:t>28 of the HR Act)</w:t>
      </w:r>
      <w:r w:rsidR="004E2FC8">
        <w:t xml:space="preserve">. </w:t>
      </w:r>
      <w:r>
        <w:t>This includes considering if any amendment is going to have a di</w:t>
      </w:r>
      <w:r w:rsidR="004E2FC8">
        <w:t>s</w:t>
      </w:r>
      <w:r>
        <w:t>prop</w:t>
      </w:r>
      <w:r w:rsidR="004E2FC8">
        <w:t>ort</w:t>
      </w:r>
      <w:r>
        <w:t xml:space="preserve">ionate impact on </w:t>
      </w:r>
      <w:r w:rsidR="00844733">
        <w:t>low-income</w:t>
      </w:r>
      <w:r>
        <w:t xml:space="preserve"> earners or other vulnerable people, engaging the right to equality under section 8 of the HR Act. </w:t>
      </w:r>
    </w:p>
    <w:p w14:paraId="675F3D80" w14:textId="10F2DC35" w:rsidR="00C248FB" w:rsidRPr="00B709C5" w:rsidRDefault="00C248FB" w:rsidP="00416775">
      <w:pPr>
        <w:pStyle w:val="CS-Paragraphnumbering"/>
        <w:numPr>
          <w:ilvl w:val="0"/>
          <w:numId w:val="0"/>
        </w:numPr>
      </w:pPr>
      <w:r>
        <w:t>The following matters are considered from a human rights perspective. Specific provisions that engage human rights were developed with the Justice and Community Safety Directorate</w:t>
      </w:r>
      <w:r w:rsidR="004E2FC8">
        <w:t xml:space="preserve"> (JACS)</w:t>
      </w:r>
      <w:r>
        <w:t xml:space="preserve"> and provided to the Human Rights Commission</w:t>
      </w:r>
      <w:r w:rsidR="004E2FC8">
        <w:t xml:space="preserve"> (HRC)</w:t>
      </w:r>
      <w:r>
        <w:t xml:space="preserve">. </w:t>
      </w:r>
    </w:p>
    <w:p w14:paraId="4BC74E69" w14:textId="19E009A2" w:rsidR="00C248FB" w:rsidRDefault="00872DCA" w:rsidP="00EE52B7">
      <w:pPr>
        <w:pStyle w:val="Heading2"/>
      </w:pPr>
      <w:bookmarkStart w:id="21" w:name="_Toc78374676"/>
      <w:bookmarkStart w:id="22" w:name="_Toc79490185"/>
      <w:r>
        <w:t xml:space="preserve">6.1 </w:t>
      </w:r>
      <w:r w:rsidR="002F7C2B">
        <w:tab/>
      </w:r>
      <w:r w:rsidR="00C248FB">
        <w:t>Right to be presumed innocent until proven guilty</w:t>
      </w:r>
      <w:bookmarkEnd w:id="21"/>
      <w:bookmarkEnd w:id="22"/>
      <w:r w:rsidR="00C248FB">
        <w:t xml:space="preserve"> </w:t>
      </w:r>
    </w:p>
    <w:p w14:paraId="2B8DE0E5" w14:textId="7CF98675" w:rsidR="001E3E1C" w:rsidRDefault="00C248FB" w:rsidP="00416775">
      <w:pPr>
        <w:pStyle w:val="CS-Paragraphnumbering"/>
        <w:numPr>
          <w:ilvl w:val="0"/>
          <w:numId w:val="0"/>
        </w:numPr>
      </w:pPr>
      <w:r>
        <w:t xml:space="preserve">Strict liability offences engage the presumption of innocence under section 22 (1) of the HR Act by removing the fault elements from an offence. This means an accused will be automatically presumed guilty unless they successfully raise the defence of reasonable and honest mistake. </w:t>
      </w:r>
    </w:p>
    <w:p w14:paraId="0BA82B78" w14:textId="2D331BFA" w:rsidR="001E3E1C" w:rsidRDefault="001E3E1C" w:rsidP="00416775">
      <w:pPr>
        <w:pStyle w:val="CS-Paragraphnumbering"/>
        <w:numPr>
          <w:ilvl w:val="0"/>
          <w:numId w:val="0"/>
        </w:numPr>
      </w:pPr>
      <w:r>
        <w:t xml:space="preserve">The </w:t>
      </w:r>
      <w:r w:rsidR="001D3F20">
        <w:t>Amendment Regulation</w:t>
      </w:r>
      <w:r>
        <w:t xml:space="preserve"> proposes to introduce some new strict liability offences related to kerbside waste container management and activities at waste facilities. The reason for this, and </w:t>
      </w:r>
      <w:r w:rsidR="004E2FC8">
        <w:t xml:space="preserve">the </w:t>
      </w:r>
      <w:r>
        <w:t xml:space="preserve">potential impacts are addressed within the sections that deal with those matters, and specifically in Section </w:t>
      </w:r>
      <w:r w:rsidRPr="004724B7">
        <w:t>8.</w:t>
      </w:r>
      <w:r w:rsidR="004724B7" w:rsidRPr="00905D0A">
        <w:t>6</w:t>
      </w:r>
      <w:r w:rsidRPr="004724B7">
        <w:t>.</w:t>
      </w:r>
      <w:r>
        <w:t xml:space="preserve"> </w:t>
      </w:r>
    </w:p>
    <w:p w14:paraId="281FEE40" w14:textId="42DE4133" w:rsidR="00C248FB" w:rsidRDefault="00872DCA" w:rsidP="00EE52B7">
      <w:pPr>
        <w:pStyle w:val="Heading2"/>
      </w:pPr>
      <w:bookmarkStart w:id="23" w:name="_Toc78374677"/>
      <w:bookmarkStart w:id="24" w:name="_Toc79490186"/>
      <w:r>
        <w:t xml:space="preserve">6.2 </w:t>
      </w:r>
      <w:r w:rsidR="002F7C2B">
        <w:tab/>
      </w:r>
      <w:r w:rsidR="00C248FB">
        <w:t>Right to p</w:t>
      </w:r>
      <w:r w:rsidR="00C248FB" w:rsidRPr="00EE52B7">
        <w:t>rivac</w:t>
      </w:r>
      <w:r w:rsidR="00C248FB">
        <w:t>y</w:t>
      </w:r>
      <w:bookmarkEnd w:id="23"/>
      <w:bookmarkEnd w:id="24"/>
      <w:r w:rsidR="00C248FB">
        <w:t xml:space="preserve"> </w:t>
      </w:r>
    </w:p>
    <w:p w14:paraId="4CFA7BC5" w14:textId="09CAD4B0" w:rsidR="00C248FB" w:rsidRPr="00EE52B7" w:rsidRDefault="00C248FB" w:rsidP="00C248FB">
      <w:pPr>
        <w:rPr>
          <w:sz w:val="24"/>
          <w:szCs w:val="24"/>
        </w:rPr>
      </w:pPr>
      <w:r w:rsidRPr="001D3F20">
        <w:rPr>
          <w:sz w:val="24"/>
          <w:szCs w:val="24"/>
        </w:rPr>
        <w:t xml:space="preserve">Section 12 (a) of the HR Act provides that everyone has the right to not have their privacy interfered with unlawfully or </w:t>
      </w:r>
      <w:r w:rsidR="00366BF7">
        <w:rPr>
          <w:sz w:val="24"/>
          <w:szCs w:val="24"/>
        </w:rPr>
        <w:t>arbitrarily.</w:t>
      </w:r>
      <w:r w:rsidRPr="001D3F20">
        <w:rPr>
          <w:sz w:val="24"/>
          <w:szCs w:val="24"/>
        </w:rPr>
        <w:t xml:space="preserve"> </w:t>
      </w:r>
      <w:r w:rsidR="001D3F20">
        <w:rPr>
          <w:sz w:val="24"/>
          <w:szCs w:val="24"/>
        </w:rPr>
        <w:t xml:space="preserve">The Amendment Regulation proposes to introduce a new capacity for regulators to identify owners of vehicles that are identified as being involved in non-compliance at waste facilities. The reasons for these proposed provisions and their impacts on human rights are addressed within section 8.2f, on improving enforceability of provisions at waste facilities. </w:t>
      </w:r>
    </w:p>
    <w:p w14:paraId="481394AE" w14:textId="160D3082" w:rsidR="00AD7549" w:rsidRDefault="005F7ECC" w:rsidP="00EE52B7">
      <w:pPr>
        <w:pStyle w:val="Heading1"/>
      </w:pPr>
      <w:bookmarkStart w:id="25" w:name="_Toc78374678"/>
      <w:bookmarkStart w:id="26" w:name="_Toc79490187"/>
      <w:r>
        <w:t>Providing</w:t>
      </w:r>
      <w:r w:rsidR="00AD7549">
        <w:t xml:space="preserve"> for a Food Organics and Green Organics waste service</w:t>
      </w:r>
      <w:bookmarkEnd w:id="25"/>
      <w:bookmarkEnd w:id="26"/>
    </w:p>
    <w:p w14:paraId="32C0AD5E" w14:textId="579FE410" w:rsidR="00AD7549" w:rsidRDefault="00FE5D37" w:rsidP="003212FB">
      <w:pPr>
        <w:pStyle w:val="Heading2"/>
        <w:numPr>
          <w:ilvl w:val="1"/>
          <w:numId w:val="7"/>
        </w:numPr>
        <w:ind w:left="714" w:hanging="357"/>
      </w:pPr>
      <w:r>
        <w:t xml:space="preserve">           </w:t>
      </w:r>
      <w:bookmarkStart w:id="27" w:name="_Toc78374679"/>
      <w:bookmarkStart w:id="28" w:name="_Toc79490188"/>
      <w:r w:rsidR="00AD7549">
        <w:t>ACT Government FOGO commitments</w:t>
      </w:r>
      <w:bookmarkEnd w:id="27"/>
      <w:bookmarkEnd w:id="28"/>
    </w:p>
    <w:p w14:paraId="06F1A3B8" w14:textId="454E15B1" w:rsidR="00207C5C" w:rsidRPr="00A1031E" w:rsidRDefault="00207C5C" w:rsidP="00207C5C">
      <w:pPr>
        <w:rPr>
          <w:sz w:val="24"/>
          <w:szCs w:val="24"/>
        </w:rPr>
      </w:pPr>
      <w:r w:rsidRPr="00A1031E">
        <w:rPr>
          <w:sz w:val="24"/>
          <w:szCs w:val="24"/>
        </w:rPr>
        <w:t xml:space="preserve">The </w:t>
      </w:r>
      <w:r w:rsidRPr="00A1031E">
        <w:rPr>
          <w:i/>
          <w:iCs/>
          <w:sz w:val="24"/>
          <w:szCs w:val="24"/>
        </w:rPr>
        <w:t>Parliamentary and Govern</w:t>
      </w:r>
      <w:r w:rsidR="00FE5D37">
        <w:rPr>
          <w:i/>
          <w:iCs/>
          <w:sz w:val="24"/>
          <w:szCs w:val="24"/>
        </w:rPr>
        <w:t>ing</w:t>
      </w:r>
      <w:r w:rsidRPr="00A1031E">
        <w:rPr>
          <w:i/>
          <w:iCs/>
          <w:sz w:val="24"/>
          <w:szCs w:val="24"/>
        </w:rPr>
        <w:t xml:space="preserve"> Agreement for the 10th Legislative Assembly</w:t>
      </w:r>
      <w:r w:rsidRPr="00A1031E">
        <w:rPr>
          <w:sz w:val="24"/>
          <w:szCs w:val="24"/>
        </w:rPr>
        <w:t xml:space="preserve"> includes a commitment to roll out a household food waste collection service by 2023 (Appendix 3, 9.1). </w:t>
      </w:r>
      <w:r w:rsidR="00B47549">
        <w:rPr>
          <w:sz w:val="24"/>
          <w:szCs w:val="24"/>
        </w:rPr>
        <w:t xml:space="preserve">Work towards the </w:t>
      </w:r>
      <w:r w:rsidR="00FE5D37">
        <w:rPr>
          <w:sz w:val="24"/>
          <w:szCs w:val="24"/>
        </w:rPr>
        <w:t xml:space="preserve">implementation of this service is </w:t>
      </w:r>
      <w:r w:rsidRPr="00A1031E">
        <w:rPr>
          <w:sz w:val="24"/>
          <w:szCs w:val="24"/>
        </w:rPr>
        <w:t xml:space="preserve">underway </w:t>
      </w:r>
      <w:r w:rsidR="00FE5D37">
        <w:rPr>
          <w:sz w:val="24"/>
          <w:szCs w:val="24"/>
        </w:rPr>
        <w:t xml:space="preserve">with the commencement of </w:t>
      </w:r>
      <w:r w:rsidRPr="00A1031E">
        <w:rPr>
          <w:sz w:val="24"/>
          <w:szCs w:val="24"/>
        </w:rPr>
        <w:t xml:space="preserve">a </w:t>
      </w:r>
      <w:r w:rsidR="00A60D41">
        <w:rPr>
          <w:sz w:val="24"/>
          <w:szCs w:val="24"/>
        </w:rPr>
        <w:t>pilot</w:t>
      </w:r>
      <w:r w:rsidRPr="00A1031E">
        <w:rPr>
          <w:sz w:val="24"/>
          <w:szCs w:val="24"/>
        </w:rPr>
        <w:t xml:space="preserve"> of a combined </w:t>
      </w:r>
      <w:r w:rsidR="007737F4" w:rsidRPr="00A1031E">
        <w:rPr>
          <w:sz w:val="24"/>
          <w:szCs w:val="24"/>
        </w:rPr>
        <w:t>F</w:t>
      </w:r>
      <w:r w:rsidRPr="00A1031E">
        <w:rPr>
          <w:sz w:val="24"/>
          <w:szCs w:val="24"/>
        </w:rPr>
        <w:t xml:space="preserve">ood </w:t>
      </w:r>
      <w:r w:rsidR="007737F4" w:rsidRPr="00A1031E">
        <w:rPr>
          <w:sz w:val="24"/>
          <w:szCs w:val="24"/>
        </w:rPr>
        <w:t>O</w:t>
      </w:r>
      <w:r w:rsidRPr="00A1031E">
        <w:rPr>
          <w:sz w:val="24"/>
          <w:szCs w:val="24"/>
        </w:rPr>
        <w:t xml:space="preserve">rganics and </w:t>
      </w:r>
      <w:r w:rsidR="007737F4" w:rsidRPr="00A1031E">
        <w:rPr>
          <w:sz w:val="24"/>
          <w:szCs w:val="24"/>
        </w:rPr>
        <w:t>G</w:t>
      </w:r>
      <w:r w:rsidRPr="00A1031E">
        <w:rPr>
          <w:sz w:val="24"/>
          <w:szCs w:val="24"/>
        </w:rPr>
        <w:t xml:space="preserve">arden </w:t>
      </w:r>
      <w:r w:rsidR="007737F4" w:rsidRPr="00A1031E">
        <w:rPr>
          <w:sz w:val="24"/>
          <w:szCs w:val="24"/>
        </w:rPr>
        <w:t>O</w:t>
      </w:r>
      <w:r w:rsidRPr="00A1031E">
        <w:rPr>
          <w:sz w:val="24"/>
          <w:szCs w:val="24"/>
        </w:rPr>
        <w:t xml:space="preserve">rganics (FOGO) collection using ACT green bins, for selected households in Belconnen in </w:t>
      </w:r>
      <w:r w:rsidR="00EA1E51">
        <w:rPr>
          <w:sz w:val="24"/>
          <w:szCs w:val="24"/>
        </w:rPr>
        <w:t>November</w:t>
      </w:r>
      <w:r w:rsidRPr="00A1031E">
        <w:rPr>
          <w:sz w:val="24"/>
          <w:szCs w:val="24"/>
        </w:rPr>
        <w:t xml:space="preserve"> 2021. </w:t>
      </w:r>
    </w:p>
    <w:p w14:paraId="1D657B61" w14:textId="77777777" w:rsidR="00AD7549" w:rsidRPr="00A1031E" w:rsidRDefault="00AD7549" w:rsidP="00AD7549">
      <w:pPr>
        <w:rPr>
          <w:sz w:val="24"/>
          <w:szCs w:val="24"/>
        </w:rPr>
      </w:pPr>
      <w:r w:rsidRPr="00A1031E">
        <w:rPr>
          <w:sz w:val="24"/>
          <w:szCs w:val="24"/>
        </w:rPr>
        <w:t xml:space="preserve">The </w:t>
      </w:r>
      <w:r w:rsidRPr="00FA4129">
        <w:rPr>
          <w:i/>
          <w:iCs/>
          <w:sz w:val="24"/>
          <w:szCs w:val="24"/>
        </w:rPr>
        <w:t>ACT Waste Management Strategy 2011-2025</w:t>
      </w:r>
      <w:r w:rsidRPr="00A1031E">
        <w:rPr>
          <w:sz w:val="24"/>
          <w:szCs w:val="24"/>
        </w:rPr>
        <w:t xml:space="preserve"> set targets raising waste diversion from landfill from 70% to 90% by 2025 and achieving a carbon-neutral waste sector by 2020. </w:t>
      </w:r>
    </w:p>
    <w:p w14:paraId="593B08A3" w14:textId="7B7830A3" w:rsidR="00AD7549" w:rsidRPr="00A1031E" w:rsidRDefault="00AD7549" w:rsidP="00AD7549">
      <w:pPr>
        <w:rPr>
          <w:sz w:val="24"/>
          <w:szCs w:val="24"/>
        </w:rPr>
      </w:pPr>
      <w:r w:rsidRPr="00A1031E">
        <w:rPr>
          <w:sz w:val="24"/>
          <w:szCs w:val="24"/>
        </w:rPr>
        <w:t>A</w:t>
      </w:r>
      <w:r w:rsidR="00100B6B">
        <w:rPr>
          <w:sz w:val="24"/>
          <w:szCs w:val="24"/>
        </w:rPr>
        <w:t xml:space="preserve">n </w:t>
      </w:r>
      <w:r w:rsidR="00FE5D37" w:rsidRPr="00A1031E">
        <w:rPr>
          <w:sz w:val="24"/>
          <w:szCs w:val="24"/>
        </w:rPr>
        <w:t xml:space="preserve">opt-in </w:t>
      </w:r>
      <w:r w:rsidRPr="00A1031E">
        <w:rPr>
          <w:sz w:val="24"/>
          <w:szCs w:val="24"/>
        </w:rPr>
        <w:t xml:space="preserve">kerbside garden organic collection </w:t>
      </w:r>
      <w:r w:rsidR="00100B6B">
        <w:rPr>
          <w:sz w:val="24"/>
          <w:szCs w:val="24"/>
        </w:rPr>
        <w:t xml:space="preserve">service </w:t>
      </w:r>
      <w:r w:rsidRPr="00A1031E">
        <w:rPr>
          <w:sz w:val="24"/>
          <w:szCs w:val="24"/>
        </w:rPr>
        <w:t>has</w:t>
      </w:r>
      <w:r w:rsidR="00FE5D37">
        <w:rPr>
          <w:sz w:val="24"/>
          <w:szCs w:val="24"/>
        </w:rPr>
        <w:t xml:space="preserve"> already</w:t>
      </w:r>
      <w:r w:rsidRPr="00A1031E">
        <w:rPr>
          <w:sz w:val="24"/>
          <w:szCs w:val="24"/>
        </w:rPr>
        <w:t xml:space="preserve"> been rolled out across the ACT, commencing with trials in 2017 and becoming available to all households across the ACT from 2019</w:t>
      </w:r>
      <w:r w:rsidR="00100B6B">
        <w:rPr>
          <w:sz w:val="24"/>
          <w:szCs w:val="24"/>
        </w:rPr>
        <w:t>.</w:t>
      </w:r>
      <w:r w:rsidRPr="00A1031E">
        <w:rPr>
          <w:sz w:val="24"/>
          <w:szCs w:val="24"/>
        </w:rPr>
        <w:t xml:space="preserve"> Food organics are the next key focus in the ACT journey towards a more sustainable and circular use of resources.</w:t>
      </w:r>
    </w:p>
    <w:p w14:paraId="48C72B3B" w14:textId="2673868B" w:rsidR="00AD7549" w:rsidRPr="00A1031E" w:rsidRDefault="00AD7549" w:rsidP="00AD7549">
      <w:pPr>
        <w:rPr>
          <w:sz w:val="24"/>
          <w:szCs w:val="24"/>
        </w:rPr>
      </w:pPr>
      <w:r w:rsidRPr="00A1031E">
        <w:rPr>
          <w:sz w:val="24"/>
          <w:szCs w:val="24"/>
        </w:rPr>
        <w:lastRenderedPageBreak/>
        <w:t xml:space="preserve">In 2018, the </w:t>
      </w:r>
      <w:r w:rsidRPr="00320B4E">
        <w:rPr>
          <w:i/>
          <w:iCs/>
          <w:sz w:val="24"/>
          <w:szCs w:val="24"/>
        </w:rPr>
        <w:t>Waste Feasibility Study Roadmap</w:t>
      </w:r>
      <w:r w:rsidRPr="00A1031E">
        <w:rPr>
          <w:sz w:val="24"/>
          <w:szCs w:val="24"/>
        </w:rPr>
        <w:t xml:space="preserve"> recommended introducing a kerbside </w:t>
      </w:r>
      <w:r w:rsidR="007737F4" w:rsidRPr="00A1031E">
        <w:rPr>
          <w:sz w:val="24"/>
          <w:szCs w:val="24"/>
        </w:rPr>
        <w:t>FOGO service</w:t>
      </w:r>
      <w:r w:rsidRPr="00A1031E">
        <w:rPr>
          <w:sz w:val="24"/>
          <w:szCs w:val="24"/>
        </w:rPr>
        <w:t xml:space="preserve"> as a critical component of the roadmap to meet the 90% diversion target, contributing an additional 5 percentage points to the ACT recycling rate.</w:t>
      </w:r>
    </w:p>
    <w:p w14:paraId="1F1C59ED" w14:textId="50E9561D" w:rsidR="00E76E27" w:rsidRPr="00A1031E" w:rsidRDefault="00E76E27" w:rsidP="00E76E27">
      <w:pPr>
        <w:rPr>
          <w:sz w:val="24"/>
          <w:szCs w:val="24"/>
        </w:rPr>
      </w:pPr>
      <w:r w:rsidRPr="00A1031E">
        <w:rPr>
          <w:sz w:val="24"/>
          <w:szCs w:val="24"/>
        </w:rPr>
        <w:t xml:space="preserve">The proposal to introduce a FOGO service is also consistent with commitments within the </w:t>
      </w:r>
      <w:r w:rsidRPr="00A1031E">
        <w:rPr>
          <w:i/>
          <w:iCs/>
          <w:sz w:val="24"/>
          <w:szCs w:val="24"/>
        </w:rPr>
        <w:t>ACT Climate Change Strategy 2019-2025</w:t>
      </w:r>
      <w:r w:rsidRPr="00A1031E">
        <w:rPr>
          <w:sz w:val="24"/>
          <w:szCs w:val="24"/>
        </w:rPr>
        <w:t>. Waste management in the ACT currently generates approximately 70,000 tonnes of carbon dioxide equivalent emissions (tCO2e) each year, accounting for approximately 4% of ACT’s greenhouse emissions in the 2019-20 financial year</w:t>
      </w:r>
      <w:r w:rsidR="00221266">
        <w:rPr>
          <w:rStyle w:val="FootnoteReference"/>
          <w:sz w:val="24"/>
          <w:szCs w:val="24"/>
        </w:rPr>
        <w:footnoteReference w:id="3"/>
      </w:r>
      <w:r w:rsidRPr="00A1031E">
        <w:rPr>
          <w:sz w:val="24"/>
          <w:szCs w:val="24"/>
        </w:rPr>
        <w:t>. These emissions are primarily in the form of methane, a potent greenhouse gas which is generated when organic waste breaks down in landfill. Whilst some methane is collected from existing landfills to produce energy</w:t>
      </w:r>
      <w:r w:rsidR="00100B6B">
        <w:rPr>
          <w:sz w:val="24"/>
          <w:szCs w:val="24"/>
        </w:rPr>
        <w:t>,</w:t>
      </w:r>
      <w:r w:rsidRPr="00A1031E">
        <w:rPr>
          <w:sz w:val="24"/>
          <w:szCs w:val="24"/>
        </w:rPr>
        <w:t xml:space="preserve"> it is estimated that introducing a universal FOGO collection for 45,000 tonnes per year of FOGO waste</w:t>
      </w:r>
      <w:r w:rsidR="00100B6B">
        <w:rPr>
          <w:sz w:val="24"/>
          <w:szCs w:val="24"/>
        </w:rPr>
        <w:t>, it</w:t>
      </w:r>
      <w:r w:rsidRPr="00A1031E">
        <w:rPr>
          <w:sz w:val="24"/>
          <w:szCs w:val="24"/>
        </w:rPr>
        <w:t xml:space="preserve"> would reduce ACT’s emissions from the waste sector by approximately 30%. </w:t>
      </w:r>
    </w:p>
    <w:p w14:paraId="38FD385F" w14:textId="55B179FC" w:rsidR="00E76E27" w:rsidRPr="00A1031E" w:rsidRDefault="00E76E27" w:rsidP="00AD7549">
      <w:pPr>
        <w:rPr>
          <w:sz w:val="24"/>
          <w:szCs w:val="24"/>
        </w:rPr>
      </w:pPr>
      <w:r w:rsidRPr="00A1031E">
        <w:rPr>
          <w:sz w:val="24"/>
          <w:szCs w:val="24"/>
        </w:rPr>
        <w:t xml:space="preserve">The FOGO proposal is also consistent with the </w:t>
      </w:r>
      <w:r w:rsidR="00AE6BB1">
        <w:rPr>
          <w:sz w:val="24"/>
          <w:szCs w:val="24"/>
        </w:rPr>
        <w:t>overarching goal of</w:t>
      </w:r>
      <w:r w:rsidRPr="00A1031E">
        <w:rPr>
          <w:sz w:val="24"/>
          <w:szCs w:val="24"/>
        </w:rPr>
        <w:t xml:space="preserve"> the National Food Waste Strategy </w:t>
      </w:r>
      <w:r w:rsidR="00AE6BB1">
        <w:rPr>
          <w:sz w:val="24"/>
          <w:szCs w:val="24"/>
        </w:rPr>
        <w:t>to halve</w:t>
      </w:r>
      <w:r w:rsidRPr="00A1031E">
        <w:rPr>
          <w:sz w:val="24"/>
          <w:szCs w:val="24"/>
        </w:rPr>
        <w:t xml:space="preserve"> Australia’s food waste by 2030</w:t>
      </w:r>
      <w:r w:rsidR="009D2E9F">
        <w:rPr>
          <w:rStyle w:val="FootnoteReference"/>
          <w:sz w:val="24"/>
          <w:szCs w:val="24"/>
        </w:rPr>
        <w:footnoteReference w:id="4"/>
      </w:r>
      <w:r w:rsidRPr="00A1031E">
        <w:rPr>
          <w:sz w:val="24"/>
          <w:szCs w:val="24"/>
        </w:rPr>
        <w:t xml:space="preserve">. It will </w:t>
      </w:r>
      <w:r w:rsidR="00100B6B">
        <w:rPr>
          <w:sz w:val="24"/>
          <w:szCs w:val="24"/>
        </w:rPr>
        <w:t>further</w:t>
      </w:r>
      <w:r w:rsidRPr="00A1031E">
        <w:rPr>
          <w:sz w:val="24"/>
          <w:szCs w:val="24"/>
        </w:rPr>
        <w:t xml:space="preserve"> deliver on the Territory’s commitments under the National Waste Policy Action Plan, to halve the amount of organic waste sent to landfill for disposal by 2030. </w:t>
      </w:r>
    </w:p>
    <w:p w14:paraId="3900D9CA" w14:textId="5493D1D2" w:rsidR="00100B6B" w:rsidRDefault="00100B6B" w:rsidP="00AD7549">
      <w:pPr>
        <w:rPr>
          <w:sz w:val="24"/>
          <w:szCs w:val="24"/>
        </w:rPr>
      </w:pPr>
      <w:r>
        <w:rPr>
          <w:sz w:val="24"/>
          <w:szCs w:val="24"/>
        </w:rPr>
        <w:t xml:space="preserve">The Amendment Regulation is required because it is recognised that </w:t>
      </w:r>
      <w:r w:rsidRPr="00A1031E">
        <w:rPr>
          <w:sz w:val="24"/>
          <w:szCs w:val="24"/>
        </w:rPr>
        <w:t>the current Regulation makes it an offence to place anything other than garden waste into the ‘green bins’</w:t>
      </w:r>
      <w:r>
        <w:rPr>
          <w:sz w:val="24"/>
          <w:szCs w:val="24"/>
        </w:rPr>
        <w:t xml:space="preserve">.  The Territory’s current green bin collection and recycling service was established for garden waste. Additional infrastructure and operational processing are required to processing food and other organic waste in addition to the currently accepted garden clippings. Further work will be completed to define the compostable wastes that may be placed in the green bins, and to identify the households that will be involved in the pilot. </w:t>
      </w:r>
    </w:p>
    <w:p w14:paraId="0C8CAB48" w14:textId="01FA734A" w:rsidR="00BA39A4" w:rsidRDefault="00922451" w:rsidP="00BA39A4">
      <w:pPr>
        <w:pStyle w:val="Heading3"/>
      </w:pPr>
      <w:bookmarkStart w:id="29" w:name="_Toc78374680"/>
      <w:bookmarkStart w:id="30" w:name="_Toc79490189"/>
      <w:r>
        <w:t>7</w:t>
      </w:r>
      <w:r w:rsidR="00BA39A4">
        <w:t xml:space="preserve">.1a </w:t>
      </w:r>
      <w:r w:rsidR="002F7C2B">
        <w:tab/>
      </w:r>
      <w:bookmarkEnd w:id="29"/>
      <w:r w:rsidR="003B05D9">
        <w:t>Accommodating a FOGO pilot</w:t>
      </w:r>
      <w:bookmarkEnd w:id="30"/>
    </w:p>
    <w:p w14:paraId="6B0E445F" w14:textId="5AFD1401" w:rsidR="00916896" w:rsidRDefault="00916896" w:rsidP="00BA39A4">
      <w:pPr>
        <w:rPr>
          <w:sz w:val="24"/>
          <w:szCs w:val="24"/>
        </w:rPr>
      </w:pPr>
      <w:r w:rsidRPr="00A1031E">
        <w:rPr>
          <w:sz w:val="24"/>
          <w:szCs w:val="24"/>
        </w:rPr>
        <w:t>The current proposal is for a</w:t>
      </w:r>
      <w:r>
        <w:rPr>
          <w:sz w:val="24"/>
          <w:szCs w:val="24"/>
        </w:rPr>
        <w:t xml:space="preserve"> FOGO</w:t>
      </w:r>
      <w:r w:rsidRPr="00A1031E">
        <w:rPr>
          <w:sz w:val="24"/>
          <w:szCs w:val="24"/>
        </w:rPr>
        <w:t xml:space="preserve"> pilot to be delivered to approximately 5,000 households in Belconnen, commencing in late 2021. The pilot will aim to test the proposed service delivery model, raise awareness, </w:t>
      </w:r>
      <w:r w:rsidR="00427533">
        <w:rPr>
          <w:sz w:val="24"/>
          <w:szCs w:val="24"/>
        </w:rPr>
        <w:t>understand household experiences and barriers to participation</w:t>
      </w:r>
      <w:r w:rsidRPr="00A1031E">
        <w:rPr>
          <w:sz w:val="24"/>
          <w:szCs w:val="24"/>
        </w:rPr>
        <w:t xml:space="preserve">, </w:t>
      </w:r>
      <w:r w:rsidR="00427533">
        <w:rPr>
          <w:sz w:val="24"/>
          <w:szCs w:val="24"/>
        </w:rPr>
        <w:t xml:space="preserve">and </w:t>
      </w:r>
      <w:r w:rsidRPr="00A1031E">
        <w:rPr>
          <w:sz w:val="24"/>
          <w:szCs w:val="24"/>
        </w:rPr>
        <w:t>gather sample data on waste feedstock</w:t>
      </w:r>
      <w:r w:rsidR="00F911F7">
        <w:rPr>
          <w:sz w:val="24"/>
          <w:szCs w:val="24"/>
        </w:rPr>
        <w:t xml:space="preserve"> and recycled products</w:t>
      </w:r>
      <w:r w:rsidRPr="00A1031E">
        <w:rPr>
          <w:sz w:val="24"/>
          <w:szCs w:val="24"/>
        </w:rPr>
        <w:t xml:space="preserve"> </w:t>
      </w:r>
      <w:r>
        <w:rPr>
          <w:sz w:val="24"/>
          <w:szCs w:val="24"/>
        </w:rPr>
        <w:t>in parallel to the planning and infrastructure development required for a</w:t>
      </w:r>
      <w:r w:rsidRPr="00A1031E">
        <w:rPr>
          <w:sz w:val="24"/>
          <w:szCs w:val="24"/>
        </w:rPr>
        <w:t xml:space="preserve"> whole-of</w:t>
      </w:r>
      <w:r w:rsidR="00612D08">
        <w:rPr>
          <w:sz w:val="24"/>
          <w:szCs w:val="24"/>
        </w:rPr>
        <w:t>-ACT</w:t>
      </w:r>
      <w:r w:rsidRPr="00A1031E">
        <w:rPr>
          <w:sz w:val="24"/>
          <w:szCs w:val="24"/>
        </w:rPr>
        <w:t xml:space="preserve"> roll-out. </w:t>
      </w:r>
    </w:p>
    <w:p w14:paraId="29D54FEE" w14:textId="2F363B25" w:rsidR="005A57F2" w:rsidRDefault="005A57F2" w:rsidP="005A57F2">
      <w:pPr>
        <w:pStyle w:val="Heading4"/>
      </w:pPr>
      <w:bookmarkStart w:id="31" w:name="_Toc79490190"/>
      <w:r>
        <w:t>FOGO case studies across Australia</w:t>
      </w:r>
      <w:bookmarkEnd w:id="31"/>
    </w:p>
    <w:p w14:paraId="1AB4075D" w14:textId="71101722" w:rsidR="00276641" w:rsidRDefault="00BA39A4" w:rsidP="00BA39A4">
      <w:pPr>
        <w:rPr>
          <w:sz w:val="24"/>
          <w:szCs w:val="24"/>
        </w:rPr>
      </w:pPr>
      <w:r>
        <w:rPr>
          <w:sz w:val="24"/>
          <w:szCs w:val="24"/>
        </w:rPr>
        <w:t xml:space="preserve">A FOGO feasibility study prepared in support of the ACT proposal reviewed relevant case studies from across Australia. </w:t>
      </w:r>
      <w:r w:rsidR="005A57F2">
        <w:rPr>
          <w:sz w:val="24"/>
          <w:szCs w:val="24"/>
        </w:rPr>
        <w:t>As a point of reference, a</w:t>
      </w:r>
      <w:r>
        <w:rPr>
          <w:sz w:val="24"/>
          <w:szCs w:val="24"/>
        </w:rPr>
        <w:t xml:space="preserve"> </w:t>
      </w:r>
      <w:r w:rsidR="003B05D9">
        <w:rPr>
          <w:sz w:val="24"/>
          <w:szCs w:val="24"/>
        </w:rPr>
        <w:t>snapshot of some of the</w:t>
      </w:r>
      <w:r>
        <w:rPr>
          <w:sz w:val="24"/>
          <w:szCs w:val="24"/>
        </w:rPr>
        <w:t xml:space="preserve"> populations targeted for FOGO services</w:t>
      </w:r>
      <w:r w:rsidR="00612D08">
        <w:rPr>
          <w:sz w:val="24"/>
          <w:szCs w:val="24"/>
        </w:rPr>
        <w:t xml:space="preserve"> can be found</w:t>
      </w:r>
      <w:r>
        <w:rPr>
          <w:sz w:val="24"/>
          <w:szCs w:val="24"/>
        </w:rPr>
        <w:t xml:space="preserve"> in </w:t>
      </w:r>
      <w:r w:rsidR="00612D08">
        <w:rPr>
          <w:sz w:val="24"/>
          <w:szCs w:val="24"/>
        </w:rPr>
        <w:t>T</w:t>
      </w:r>
      <w:r>
        <w:rPr>
          <w:sz w:val="24"/>
          <w:szCs w:val="24"/>
        </w:rPr>
        <w:t>able</w:t>
      </w:r>
      <w:r w:rsidR="00612D08">
        <w:rPr>
          <w:sz w:val="24"/>
          <w:szCs w:val="24"/>
        </w:rPr>
        <w:t xml:space="preserve"> 1</w:t>
      </w:r>
      <w:r>
        <w:rPr>
          <w:sz w:val="24"/>
          <w:szCs w:val="24"/>
        </w:rPr>
        <w:t xml:space="preserve"> below</w:t>
      </w:r>
      <w:r w:rsidR="003B05D9">
        <w:rPr>
          <w:sz w:val="24"/>
          <w:szCs w:val="24"/>
        </w:rPr>
        <w:t>.</w:t>
      </w:r>
      <w:r w:rsidR="00916896">
        <w:rPr>
          <w:sz w:val="24"/>
          <w:szCs w:val="24"/>
        </w:rPr>
        <w:t xml:space="preserve"> </w:t>
      </w:r>
    </w:p>
    <w:p w14:paraId="10680057" w14:textId="4E87C36C" w:rsidR="00100B6B" w:rsidRDefault="00100B6B" w:rsidP="00BA39A4">
      <w:pPr>
        <w:rPr>
          <w:sz w:val="24"/>
          <w:szCs w:val="24"/>
        </w:rPr>
      </w:pPr>
    </w:p>
    <w:p w14:paraId="4960DCED" w14:textId="24085002" w:rsidR="005A57F2" w:rsidRDefault="005A57F2" w:rsidP="00BA39A4">
      <w:pPr>
        <w:rPr>
          <w:sz w:val="24"/>
          <w:szCs w:val="24"/>
        </w:rPr>
      </w:pPr>
    </w:p>
    <w:p w14:paraId="6DF22362" w14:textId="77777777" w:rsidR="005A57F2" w:rsidRDefault="005A57F2" w:rsidP="00BA39A4">
      <w:pPr>
        <w:rPr>
          <w:sz w:val="24"/>
          <w:szCs w:val="24"/>
        </w:rPr>
      </w:pPr>
    </w:p>
    <w:p w14:paraId="291E0F7A" w14:textId="77777777" w:rsidR="00100B6B" w:rsidRDefault="00100B6B" w:rsidP="00BA39A4">
      <w:pPr>
        <w:rPr>
          <w:sz w:val="24"/>
          <w:szCs w:val="24"/>
        </w:rPr>
      </w:pPr>
    </w:p>
    <w:p w14:paraId="6C2DE1A6" w14:textId="413A91A4" w:rsidR="00B013EB" w:rsidRPr="00B013EB" w:rsidRDefault="00B013EB" w:rsidP="00B013EB">
      <w:pPr>
        <w:pStyle w:val="Caption"/>
      </w:pPr>
      <w:bookmarkStart w:id="32" w:name="_Toc78275031"/>
      <w:r w:rsidRPr="00B013EB">
        <w:t xml:space="preserve">Table </w:t>
      </w:r>
      <w:r w:rsidR="000150F9">
        <w:fldChar w:fldCharType="begin"/>
      </w:r>
      <w:r w:rsidR="000150F9">
        <w:instrText xml:space="preserve"> SEQ Table \* ARABIC </w:instrText>
      </w:r>
      <w:r w:rsidR="000150F9">
        <w:fldChar w:fldCharType="separate"/>
      </w:r>
      <w:r w:rsidR="002C4D5A">
        <w:rPr>
          <w:noProof/>
        </w:rPr>
        <w:t>1</w:t>
      </w:r>
      <w:r w:rsidR="000150F9">
        <w:rPr>
          <w:noProof/>
        </w:rPr>
        <w:fldChar w:fldCharType="end"/>
      </w:r>
      <w:r w:rsidRPr="00B013EB">
        <w:t xml:space="preserve"> FOGO case studies and issues</w:t>
      </w:r>
      <w:bookmarkEnd w:id="32"/>
    </w:p>
    <w:tbl>
      <w:tblPr>
        <w:tblStyle w:val="GridTable5Dark-Accent1"/>
        <w:tblW w:w="0" w:type="auto"/>
        <w:tblLook w:val="04A0" w:firstRow="1" w:lastRow="0" w:firstColumn="1" w:lastColumn="0" w:noHBand="0" w:noVBand="1"/>
      </w:tblPr>
      <w:tblGrid>
        <w:gridCol w:w="1838"/>
        <w:gridCol w:w="3544"/>
        <w:gridCol w:w="3402"/>
      </w:tblGrid>
      <w:tr w:rsidR="00BA39A4" w14:paraId="190BA97E" w14:textId="77777777" w:rsidTr="00CE0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FE5AC5" w14:textId="77777777" w:rsidR="00BA39A4" w:rsidRPr="009C0A54" w:rsidRDefault="00BA39A4" w:rsidP="00B013EB">
            <w:pPr>
              <w:keepNext/>
            </w:pPr>
            <w:r w:rsidRPr="009C0A54">
              <w:t>Case study area</w:t>
            </w:r>
          </w:p>
        </w:tc>
        <w:tc>
          <w:tcPr>
            <w:tcW w:w="3544" w:type="dxa"/>
          </w:tcPr>
          <w:p w14:paraId="56ECFCE0" w14:textId="77777777" w:rsidR="00BA39A4" w:rsidRPr="009C0A54" w:rsidRDefault="00BA39A4" w:rsidP="00B013EB">
            <w:pPr>
              <w:keepNext/>
              <w:cnfStyle w:val="100000000000" w:firstRow="1" w:lastRow="0" w:firstColumn="0" w:lastColumn="0" w:oddVBand="0" w:evenVBand="0" w:oddHBand="0" w:evenHBand="0" w:firstRowFirstColumn="0" w:firstRowLastColumn="0" w:lastRowFirstColumn="0" w:lastRowLastColumn="0"/>
            </w:pPr>
            <w:r w:rsidRPr="009C0A54">
              <w:t>Service provision per population</w:t>
            </w:r>
          </w:p>
        </w:tc>
        <w:tc>
          <w:tcPr>
            <w:tcW w:w="3402" w:type="dxa"/>
          </w:tcPr>
          <w:p w14:paraId="5CADF7E3" w14:textId="77777777" w:rsidR="00BA39A4" w:rsidRPr="009C0A54" w:rsidRDefault="00BA39A4" w:rsidP="00B013EB">
            <w:pPr>
              <w:keepNext/>
              <w:cnfStyle w:val="100000000000" w:firstRow="1" w:lastRow="0" w:firstColumn="0" w:lastColumn="0" w:oddVBand="0" w:evenVBand="0" w:oddHBand="0" w:evenHBand="0" w:firstRowFirstColumn="0" w:firstRowLastColumn="0" w:lastRowFirstColumn="0" w:lastRowLastColumn="0"/>
            </w:pPr>
            <w:r w:rsidRPr="009C0A54">
              <w:t>Summary of issues</w:t>
            </w:r>
          </w:p>
        </w:tc>
      </w:tr>
      <w:tr w:rsidR="00BA39A4" w14:paraId="75F370F3" w14:textId="77777777" w:rsidTr="00CE0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71FB12" w14:textId="77777777" w:rsidR="00BA39A4" w:rsidRPr="009C0A54" w:rsidRDefault="00BA39A4" w:rsidP="00B013EB">
            <w:r w:rsidRPr="009C0A54">
              <w:t>Bunbury-Harvey Regional Council, WA</w:t>
            </w:r>
            <w:r w:rsidRPr="009C0A54">
              <w:rPr>
                <w:rStyle w:val="FootnoteReference"/>
              </w:rPr>
              <w:footnoteReference w:id="5"/>
            </w:r>
          </w:p>
        </w:tc>
        <w:tc>
          <w:tcPr>
            <w:tcW w:w="3544" w:type="dxa"/>
          </w:tcPr>
          <w:p w14:paraId="02B9D981" w14:textId="040512F3" w:rsidR="00BA39A4" w:rsidRPr="009C0A54" w:rsidRDefault="00BA39A4" w:rsidP="00B013EB">
            <w:pPr>
              <w:cnfStyle w:val="000000100000" w:firstRow="0" w:lastRow="0" w:firstColumn="0" w:lastColumn="0" w:oddVBand="0" w:evenVBand="0" w:oddHBand="1" w:evenHBand="0" w:firstRowFirstColumn="0" w:firstRowLastColumn="0" w:lastRowFirstColumn="0" w:lastRowLastColumn="0"/>
            </w:pPr>
            <w:r w:rsidRPr="009C0A54">
              <w:t xml:space="preserve">Service provided to </w:t>
            </w:r>
            <w:r w:rsidR="00276641" w:rsidRPr="009C0A54">
              <w:t xml:space="preserve">a subset of </w:t>
            </w:r>
            <w:r w:rsidRPr="009C0A54">
              <w:t xml:space="preserve">46,000 households across seven local governments. </w:t>
            </w:r>
          </w:p>
        </w:tc>
        <w:tc>
          <w:tcPr>
            <w:tcW w:w="3402" w:type="dxa"/>
          </w:tcPr>
          <w:p w14:paraId="2ED9D5FF" w14:textId="77777777" w:rsidR="00BA39A4" w:rsidRPr="009C0A54" w:rsidRDefault="00BA39A4" w:rsidP="00B013EB">
            <w:pPr>
              <w:cnfStyle w:val="000000100000" w:firstRow="0" w:lastRow="0" w:firstColumn="0" w:lastColumn="0" w:oddVBand="0" w:evenVBand="0" w:oddHBand="1" w:evenHBand="0" w:firstRowFirstColumn="0" w:firstRowLastColumn="0" w:lastRowFirstColumn="0" w:lastRowLastColumn="0"/>
            </w:pPr>
            <w:r w:rsidRPr="009C0A54">
              <w:t xml:space="preserve">2.4% contamination rates which vary between the 7 participating councils. Councils required to pay a penalty if contamination exceeds 5%. </w:t>
            </w:r>
          </w:p>
        </w:tc>
      </w:tr>
      <w:tr w:rsidR="00BA39A4" w14:paraId="5DA727BF" w14:textId="77777777" w:rsidTr="00CE070B">
        <w:tc>
          <w:tcPr>
            <w:cnfStyle w:val="001000000000" w:firstRow="0" w:lastRow="0" w:firstColumn="1" w:lastColumn="0" w:oddVBand="0" w:evenVBand="0" w:oddHBand="0" w:evenHBand="0" w:firstRowFirstColumn="0" w:firstRowLastColumn="0" w:lastRowFirstColumn="0" w:lastRowLastColumn="0"/>
            <w:tcW w:w="1838" w:type="dxa"/>
          </w:tcPr>
          <w:p w14:paraId="17411EE7" w14:textId="77777777" w:rsidR="00BA39A4" w:rsidRPr="009C0A54" w:rsidRDefault="00BA39A4" w:rsidP="00B013EB">
            <w:r w:rsidRPr="009C0A54">
              <w:t>Tweed Shire Council, NSW</w:t>
            </w:r>
            <w:r w:rsidRPr="009C0A54">
              <w:rPr>
                <w:rStyle w:val="FootnoteReference"/>
              </w:rPr>
              <w:footnoteReference w:id="6"/>
            </w:r>
          </w:p>
        </w:tc>
        <w:tc>
          <w:tcPr>
            <w:tcW w:w="3544" w:type="dxa"/>
          </w:tcPr>
          <w:p w14:paraId="384B4AE0" w14:textId="77777777" w:rsidR="00BA39A4" w:rsidRPr="009C0A54" w:rsidRDefault="00BA39A4" w:rsidP="00B013EB">
            <w:pPr>
              <w:cnfStyle w:val="000000000000" w:firstRow="0" w:lastRow="0" w:firstColumn="0" w:lastColumn="0" w:oddVBand="0" w:evenVBand="0" w:oddHBand="0" w:evenHBand="0" w:firstRowFirstColumn="0" w:firstRowLastColumn="0" w:lastRowFirstColumn="0" w:lastRowLastColumn="0"/>
            </w:pPr>
            <w:r w:rsidRPr="009C0A54">
              <w:t xml:space="preserve">Service provided to 60,000 people out of 100,000 in the region. </w:t>
            </w:r>
          </w:p>
        </w:tc>
        <w:tc>
          <w:tcPr>
            <w:tcW w:w="3402" w:type="dxa"/>
          </w:tcPr>
          <w:p w14:paraId="3B844DBD" w14:textId="77777777" w:rsidR="00BA39A4" w:rsidRPr="009C0A54" w:rsidRDefault="00BA39A4" w:rsidP="00B013EB">
            <w:pPr>
              <w:cnfStyle w:val="000000000000" w:firstRow="0" w:lastRow="0" w:firstColumn="0" w:lastColumn="0" w:oddVBand="0" w:evenVBand="0" w:oddHBand="0" w:evenHBand="0" w:firstRowFirstColumn="0" w:firstRowLastColumn="0" w:lastRowFirstColumn="0" w:lastRowLastColumn="0"/>
            </w:pPr>
            <w:r w:rsidRPr="009C0A54">
              <w:t xml:space="preserve">MUDs can opt into FOGO for an additional fee. Contamination rate of 4%, focused in specific hotspots. </w:t>
            </w:r>
          </w:p>
        </w:tc>
      </w:tr>
      <w:tr w:rsidR="00BA39A4" w14:paraId="0CBC8924" w14:textId="77777777" w:rsidTr="00CE0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ACAD4A" w14:textId="77777777" w:rsidR="00BA39A4" w:rsidRPr="009C0A54" w:rsidRDefault="00BA39A4" w:rsidP="00B013EB">
            <w:r w:rsidRPr="009C0A54">
              <w:t>Bega Valley Shire Council, NSW</w:t>
            </w:r>
            <w:r w:rsidRPr="009C0A54">
              <w:rPr>
                <w:rStyle w:val="FootnoteReference"/>
              </w:rPr>
              <w:footnoteReference w:id="7"/>
            </w:r>
          </w:p>
        </w:tc>
        <w:tc>
          <w:tcPr>
            <w:tcW w:w="3544" w:type="dxa"/>
          </w:tcPr>
          <w:p w14:paraId="2B80E718" w14:textId="77777777" w:rsidR="00BA39A4" w:rsidRPr="009C0A54" w:rsidRDefault="00BA39A4" w:rsidP="00B013EB">
            <w:pPr>
              <w:cnfStyle w:val="000000100000" w:firstRow="0" w:lastRow="0" w:firstColumn="0" w:lastColumn="0" w:oddVBand="0" w:evenVBand="0" w:oddHBand="1" w:evenHBand="0" w:firstRowFirstColumn="0" w:firstRowLastColumn="0" w:lastRowFirstColumn="0" w:lastRowLastColumn="0"/>
            </w:pPr>
            <w:r w:rsidRPr="009C0A54">
              <w:t xml:space="preserve">Service provided to 20,000 people out of a total population of around 35,000. </w:t>
            </w:r>
          </w:p>
        </w:tc>
        <w:tc>
          <w:tcPr>
            <w:tcW w:w="3402" w:type="dxa"/>
          </w:tcPr>
          <w:p w14:paraId="0B2E5D43" w14:textId="77777777" w:rsidR="00BA39A4" w:rsidRPr="009C0A54" w:rsidRDefault="00BA39A4" w:rsidP="00B013EB">
            <w:pPr>
              <w:cnfStyle w:val="000000100000" w:firstRow="0" w:lastRow="0" w:firstColumn="0" w:lastColumn="0" w:oddVBand="0" w:evenVBand="0" w:oddHBand="1" w:evenHBand="0" w:firstRowFirstColumn="0" w:firstRowLastColumn="0" w:lastRowFirstColumn="0" w:lastRowLastColumn="0"/>
            </w:pPr>
            <w:r w:rsidRPr="009C0A54">
              <w:t xml:space="preserve">Very low contamination rates averaging 0.4% following highly effective education campaign. </w:t>
            </w:r>
          </w:p>
        </w:tc>
      </w:tr>
      <w:tr w:rsidR="00BA39A4" w14:paraId="08968AC5" w14:textId="77777777" w:rsidTr="00CE070B">
        <w:tc>
          <w:tcPr>
            <w:cnfStyle w:val="001000000000" w:firstRow="0" w:lastRow="0" w:firstColumn="1" w:lastColumn="0" w:oddVBand="0" w:evenVBand="0" w:oddHBand="0" w:evenHBand="0" w:firstRowFirstColumn="0" w:firstRowLastColumn="0" w:lastRowFirstColumn="0" w:lastRowLastColumn="0"/>
            <w:tcW w:w="1838" w:type="dxa"/>
          </w:tcPr>
          <w:p w14:paraId="37E5ED97" w14:textId="77777777" w:rsidR="00BA39A4" w:rsidRPr="009C0A54" w:rsidRDefault="00BA39A4" w:rsidP="00B013EB">
            <w:r w:rsidRPr="009C0A54">
              <w:t>Snowy-Monaro Regional Council NSW</w:t>
            </w:r>
            <w:r w:rsidRPr="009C0A54">
              <w:rPr>
                <w:rStyle w:val="FootnoteReference"/>
              </w:rPr>
              <w:footnoteReference w:id="8"/>
            </w:r>
          </w:p>
        </w:tc>
        <w:tc>
          <w:tcPr>
            <w:tcW w:w="3544" w:type="dxa"/>
          </w:tcPr>
          <w:p w14:paraId="0AD88696" w14:textId="77777777" w:rsidR="00BA39A4" w:rsidRPr="009C0A54" w:rsidRDefault="00BA39A4" w:rsidP="00B013EB">
            <w:pPr>
              <w:cnfStyle w:val="000000000000" w:firstRow="0" w:lastRow="0" w:firstColumn="0" w:lastColumn="0" w:oddVBand="0" w:evenVBand="0" w:oddHBand="0" w:evenHBand="0" w:firstRowFirstColumn="0" w:firstRowLastColumn="0" w:lastRowFirstColumn="0" w:lastRowLastColumn="0"/>
            </w:pPr>
            <w:r w:rsidRPr="009C0A54">
              <w:t xml:space="preserve">Service provided to 3,600 people from a total population of around 20,000. </w:t>
            </w:r>
          </w:p>
        </w:tc>
        <w:tc>
          <w:tcPr>
            <w:tcW w:w="3402" w:type="dxa"/>
          </w:tcPr>
          <w:p w14:paraId="2FAFDBF8" w14:textId="77777777" w:rsidR="00BA39A4" w:rsidRPr="009C0A54" w:rsidRDefault="00BA39A4" w:rsidP="00B013EB">
            <w:pPr>
              <w:cnfStyle w:val="000000000000" w:firstRow="0" w:lastRow="0" w:firstColumn="0" w:lastColumn="0" w:oddVBand="0" w:evenVBand="0" w:oddHBand="0" w:evenHBand="0" w:firstRowFirstColumn="0" w:firstRowLastColumn="0" w:lastRowFirstColumn="0" w:lastRowLastColumn="0"/>
            </w:pPr>
            <w:r w:rsidRPr="009C0A54">
              <w:t xml:space="preserve">Compost shown as beneficial for week control and feedstock self-sufficiency. </w:t>
            </w:r>
          </w:p>
        </w:tc>
      </w:tr>
      <w:tr w:rsidR="00BA39A4" w14:paraId="2344B99A" w14:textId="77777777" w:rsidTr="00CE0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565A98" w14:textId="77777777" w:rsidR="00BA39A4" w:rsidRPr="009C0A54" w:rsidRDefault="00BA39A4" w:rsidP="00B013EB">
            <w:r w:rsidRPr="009C0A54">
              <w:t>City of Sydney</w:t>
            </w:r>
          </w:p>
        </w:tc>
        <w:tc>
          <w:tcPr>
            <w:tcW w:w="3544" w:type="dxa"/>
          </w:tcPr>
          <w:p w14:paraId="15DE4772" w14:textId="4CE3A2AA" w:rsidR="00BA39A4" w:rsidRPr="009C0A54" w:rsidRDefault="006D3D60" w:rsidP="00B013EB">
            <w:pPr>
              <w:cnfStyle w:val="000000100000" w:firstRow="0" w:lastRow="0" w:firstColumn="0" w:lastColumn="0" w:oddVBand="0" w:evenVBand="0" w:oddHBand="1" w:evenHBand="0" w:firstRowFirstColumn="0" w:firstRowLastColumn="0" w:lastRowFirstColumn="0" w:lastRowLastColumn="0"/>
            </w:pPr>
            <w:r>
              <w:t>T</w:t>
            </w:r>
            <w:r w:rsidR="00EA250E">
              <w:t>rial</w:t>
            </w:r>
            <w:r w:rsidRPr="009C0A54">
              <w:t xml:space="preserve"> </w:t>
            </w:r>
            <w:r w:rsidR="00BA39A4" w:rsidRPr="009C0A54">
              <w:t>of 88 actively participating MUDs buildings, the largest with 810 dwellings. Trial to be extended to all MUDs by 2030.</w:t>
            </w:r>
          </w:p>
        </w:tc>
        <w:tc>
          <w:tcPr>
            <w:tcW w:w="3402" w:type="dxa"/>
          </w:tcPr>
          <w:p w14:paraId="0B67AC2C" w14:textId="77777777" w:rsidR="00BA39A4" w:rsidRPr="009C0A54" w:rsidRDefault="00BA39A4" w:rsidP="00B013EB">
            <w:pPr>
              <w:cnfStyle w:val="000000100000" w:firstRow="0" w:lastRow="0" w:firstColumn="0" w:lastColumn="0" w:oddVBand="0" w:evenVBand="0" w:oddHBand="1" w:evenHBand="0" w:firstRowFirstColumn="0" w:firstRowLastColumn="0" w:lastRowFirstColumn="0" w:lastRowLastColumn="0"/>
            </w:pPr>
            <w:r w:rsidRPr="009C0A54">
              <w:t xml:space="preserve">Opt-in rate of about 40% among residents in participating buildings. </w:t>
            </w:r>
          </w:p>
        </w:tc>
      </w:tr>
    </w:tbl>
    <w:p w14:paraId="1E910377" w14:textId="5726E247" w:rsidR="00BA39A4" w:rsidRDefault="00BA39A4" w:rsidP="00BA39A4">
      <w:pPr>
        <w:rPr>
          <w:sz w:val="24"/>
          <w:szCs w:val="24"/>
        </w:rPr>
      </w:pPr>
    </w:p>
    <w:p w14:paraId="70CD5F66" w14:textId="6304DB76" w:rsidR="00A00E00" w:rsidRDefault="00922451" w:rsidP="00BA39A4">
      <w:pPr>
        <w:pStyle w:val="Heading3"/>
      </w:pPr>
      <w:bookmarkStart w:id="33" w:name="_Toc78374681"/>
      <w:bookmarkStart w:id="34" w:name="_Toc79490191"/>
      <w:r>
        <w:t>7</w:t>
      </w:r>
      <w:r w:rsidR="00BA39A4">
        <w:t>.1b</w:t>
      </w:r>
      <w:r w:rsidR="002F7C2B">
        <w:tab/>
      </w:r>
      <w:r w:rsidR="00CE070B">
        <w:t>Specifying households for the FOGO pilot</w:t>
      </w:r>
      <w:bookmarkEnd w:id="33"/>
      <w:bookmarkEnd w:id="34"/>
    </w:p>
    <w:p w14:paraId="13A53B00" w14:textId="3F5814DE" w:rsidR="00CE070B" w:rsidRDefault="002022A3" w:rsidP="00085CD2">
      <w:pPr>
        <w:rPr>
          <w:sz w:val="24"/>
          <w:szCs w:val="24"/>
        </w:rPr>
      </w:pPr>
      <w:r>
        <w:rPr>
          <w:sz w:val="24"/>
          <w:szCs w:val="24"/>
        </w:rPr>
        <w:t xml:space="preserve">To </w:t>
      </w:r>
      <w:r w:rsidR="00CE070B">
        <w:rPr>
          <w:sz w:val="24"/>
          <w:szCs w:val="24"/>
        </w:rPr>
        <w:t>support the design of a final, whole-of-Canberra FOGO service</w:t>
      </w:r>
      <w:r>
        <w:rPr>
          <w:sz w:val="24"/>
          <w:szCs w:val="24"/>
        </w:rPr>
        <w:t xml:space="preserve">, the pilot will need to connect all different types of dwellings to the FOGO service. </w:t>
      </w:r>
      <w:r w:rsidR="00CE070B">
        <w:rPr>
          <w:sz w:val="24"/>
          <w:szCs w:val="24"/>
        </w:rPr>
        <w:t xml:space="preserve">For simplicity and cost effectiveness, the trial participants need to be close together, and the proposed approach is for a partial opt-in arrangement </w:t>
      </w:r>
      <w:r w:rsidR="003B05D9">
        <w:rPr>
          <w:sz w:val="24"/>
          <w:szCs w:val="24"/>
        </w:rPr>
        <w:t xml:space="preserve">for multi-unit developments </w:t>
      </w:r>
      <w:r w:rsidR="00CE070B">
        <w:rPr>
          <w:sz w:val="24"/>
          <w:szCs w:val="24"/>
        </w:rPr>
        <w:t xml:space="preserve">within the target geographical areas. </w:t>
      </w:r>
    </w:p>
    <w:p w14:paraId="75443495" w14:textId="4E8F563B" w:rsidR="002022A3" w:rsidRDefault="002022A3" w:rsidP="00085CD2">
      <w:pPr>
        <w:rPr>
          <w:sz w:val="24"/>
          <w:szCs w:val="24"/>
        </w:rPr>
      </w:pPr>
      <w:r>
        <w:rPr>
          <w:sz w:val="24"/>
          <w:szCs w:val="24"/>
        </w:rPr>
        <w:t xml:space="preserve">The most complex group of households for the trial are the many different types of </w:t>
      </w:r>
      <w:r w:rsidR="00E85B61">
        <w:rPr>
          <w:sz w:val="24"/>
          <w:szCs w:val="24"/>
        </w:rPr>
        <w:t xml:space="preserve">       </w:t>
      </w:r>
      <w:r>
        <w:rPr>
          <w:sz w:val="24"/>
          <w:szCs w:val="24"/>
        </w:rPr>
        <w:t xml:space="preserve">multi-unit developments (MUDs) which exist in the Canberra community. Waste facilities and collection services differ for high density apartment buildings which generally use large skips for waste collections, and for a range of medium density units. The variety of waste containers and collection services that apply to MUDs mean that work will be needed to trouble-shoot issues and support households to transition to the new service. The best </w:t>
      </w:r>
      <w:r>
        <w:rPr>
          <w:sz w:val="24"/>
          <w:szCs w:val="24"/>
        </w:rPr>
        <w:lastRenderedPageBreak/>
        <w:t xml:space="preserve">outcomes are anticipated if a collaborative approach is taken, and MUDs within the target pilot area will be offered the chance to opt-in. </w:t>
      </w:r>
    </w:p>
    <w:p w14:paraId="2D7FD5C8" w14:textId="2A8DC7A2" w:rsidR="00CE070B" w:rsidRDefault="00CE070B" w:rsidP="00085CD2">
      <w:pPr>
        <w:rPr>
          <w:sz w:val="24"/>
          <w:szCs w:val="24"/>
        </w:rPr>
      </w:pPr>
      <w:r>
        <w:rPr>
          <w:sz w:val="24"/>
          <w:szCs w:val="24"/>
        </w:rPr>
        <w:t xml:space="preserve">The opt-in arrangements mean that the best option for defining households that will be part of the trial is not to map whole suburbs, or list whole streets. This approach would lead to the inclusion of some MUDs whose residents are not ready to opt into a trial, and would prefer to receive the final service, once </w:t>
      </w:r>
      <w:r w:rsidR="00E85B61">
        <w:rPr>
          <w:sz w:val="24"/>
          <w:szCs w:val="24"/>
        </w:rPr>
        <w:t>troubleshooting</w:t>
      </w:r>
      <w:r>
        <w:rPr>
          <w:sz w:val="24"/>
          <w:szCs w:val="24"/>
        </w:rPr>
        <w:t xml:space="preserve"> is complete. Some movement in and out of the pilot may also be called for prior to the whole-of-Canberra roll-out. For these reasons, the proposal is to allow pilot participants to be specified through the comparatively </w:t>
      </w:r>
      <w:r w:rsidR="00E85B61">
        <w:rPr>
          <w:sz w:val="24"/>
          <w:szCs w:val="24"/>
        </w:rPr>
        <w:t>quick</w:t>
      </w:r>
      <w:r>
        <w:rPr>
          <w:sz w:val="24"/>
          <w:szCs w:val="24"/>
        </w:rPr>
        <w:t xml:space="preserve"> and streamlined option of a notifiable instrument, rather than by regulation. </w:t>
      </w:r>
    </w:p>
    <w:p w14:paraId="186C6182" w14:textId="38165F1B" w:rsidR="00BA39A4" w:rsidRDefault="00922451" w:rsidP="00BA39A4">
      <w:pPr>
        <w:pStyle w:val="Heading3"/>
      </w:pPr>
      <w:bookmarkStart w:id="35" w:name="_Toc78374682"/>
      <w:bookmarkStart w:id="36" w:name="_Toc79490192"/>
      <w:r>
        <w:t>7</w:t>
      </w:r>
      <w:r w:rsidR="00BA39A4">
        <w:t xml:space="preserve">.1c </w:t>
      </w:r>
      <w:r w:rsidR="002F7C2B">
        <w:tab/>
      </w:r>
      <w:r w:rsidR="00BA39A4">
        <w:t>Temporary and long-term infrastructure</w:t>
      </w:r>
      <w:bookmarkEnd w:id="35"/>
      <w:bookmarkEnd w:id="36"/>
    </w:p>
    <w:p w14:paraId="48148755" w14:textId="7F7DEE0F" w:rsidR="00D01FB2" w:rsidRDefault="007F2690" w:rsidP="00F64D14">
      <w:pPr>
        <w:rPr>
          <w:sz w:val="24"/>
          <w:szCs w:val="24"/>
        </w:rPr>
      </w:pPr>
      <w:r>
        <w:rPr>
          <w:sz w:val="24"/>
          <w:szCs w:val="24"/>
        </w:rPr>
        <w:t>T</w:t>
      </w:r>
      <w:r w:rsidR="00F64D14">
        <w:rPr>
          <w:sz w:val="24"/>
          <w:szCs w:val="24"/>
        </w:rPr>
        <w:t>he</w:t>
      </w:r>
      <w:r w:rsidR="00F64D14" w:rsidRPr="00A1031E">
        <w:rPr>
          <w:sz w:val="24"/>
          <w:szCs w:val="24"/>
        </w:rPr>
        <w:t xml:space="preserve"> </w:t>
      </w:r>
      <w:r>
        <w:rPr>
          <w:sz w:val="24"/>
          <w:szCs w:val="24"/>
        </w:rPr>
        <w:t xml:space="preserve">introduction of </w:t>
      </w:r>
      <w:r w:rsidR="00F64D14" w:rsidRPr="00A1031E">
        <w:rPr>
          <w:sz w:val="24"/>
          <w:szCs w:val="24"/>
        </w:rPr>
        <w:t xml:space="preserve">FOGO </w:t>
      </w:r>
      <w:r>
        <w:rPr>
          <w:sz w:val="24"/>
          <w:szCs w:val="24"/>
        </w:rPr>
        <w:t>will</w:t>
      </w:r>
      <w:r w:rsidR="00F64D14" w:rsidRPr="00A1031E">
        <w:rPr>
          <w:sz w:val="24"/>
          <w:szCs w:val="24"/>
        </w:rPr>
        <w:t xml:space="preserve"> require the construction of new commercial composting infrastructure.</w:t>
      </w:r>
      <w:r w:rsidR="00E06369">
        <w:rPr>
          <w:sz w:val="24"/>
          <w:szCs w:val="24"/>
        </w:rPr>
        <w:t xml:space="preserve"> This new infrastructure will take several years to establish</w:t>
      </w:r>
      <w:r w:rsidR="00D01FB2">
        <w:rPr>
          <w:sz w:val="24"/>
          <w:szCs w:val="24"/>
        </w:rPr>
        <w:t xml:space="preserve">. </w:t>
      </w:r>
    </w:p>
    <w:p w14:paraId="2DB05B5A" w14:textId="1D22B594" w:rsidR="00D01FB2" w:rsidRDefault="007F2690" w:rsidP="00F64D14">
      <w:pPr>
        <w:rPr>
          <w:sz w:val="24"/>
          <w:szCs w:val="24"/>
        </w:rPr>
      </w:pPr>
      <w:r>
        <w:rPr>
          <w:sz w:val="24"/>
          <w:szCs w:val="24"/>
        </w:rPr>
        <w:t>It is intended that</w:t>
      </w:r>
      <w:r w:rsidR="00D01FB2">
        <w:rPr>
          <w:sz w:val="24"/>
          <w:szCs w:val="24"/>
        </w:rPr>
        <w:t xml:space="preserve"> t</w:t>
      </w:r>
      <w:r w:rsidR="00D01FB2" w:rsidRPr="00A1031E">
        <w:rPr>
          <w:sz w:val="24"/>
          <w:szCs w:val="24"/>
        </w:rPr>
        <w:t>emporary infrastructure to compost and process the feedstock</w:t>
      </w:r>
      <w:r>
        <w:rPr>
          <w:sz w:val="24"/>
          <w:szCs w:val="24"/>
        </w:rPr>
        <w:t xml:space="preserve"> will be </w:t>
      </w:r>
      <w:r w:rsidR="00776148">
        <w:rPr>
          <w:sz w:val="24"/>
          <w:szCs w:val="24"/>
        </w:rPr>
        <w:t>utilised</w:t>
      </w:r>
      <w:r w:rsidR="00D01FB2" w:rsidRPr="00A1031E">
        <w:rPr>
          <w:sz w:val="24"/>
          <w:szCs w:val="24"/>
        </w:rPr>
        <w:t xml:space="preserve"> during the FOGO pilot. </w:t>
      </w:r>
      <w:r w:rsidR="00D01FB2">
        <w:rPr>
          <w:sz w:val="24"/>
          <w:szCs w:val="24"/>
        </w:rPr>
        <w:t>The range of new compostable materials that can be accepted into this temporary infrastructure will be limited compared with materials that the</w:t>
      </w:r>
      <w:r w:rsidR="00D01FB2" w:rsidRPr="00A1031E">
        <w:rPr>
          <w:sz w:val="24"/>
          <w:szCs w:val="24"/>
        </w:rPr>
        <w:t xml:space="preserve"> purpose-built facility service will be able to accept.</w:t>
      </w:r>
      <w:r w:rsidR="008557C5">
        <w:rPr>
          <w:sz w:val="24"/>
          <w:szCs w:val="24"/>
        </w:rPr>
        <w:t xml:space="preserve"> </w:t>
      </w:r>
      <w:bookmarkStart w:id="37" w:name="_Hlk78977378"/>
      <w:r w:rsidR="008557C5">
        <w:rPr>
          <w:sz w:val="24"/>
          <w:szCs w:val="24"/>
        </w:rPr>
        <w:t xml:space="preserve">Examples of materials that will not be accepted into the FOGO pilot, but are expected to be allowed in the long-run are animal excrement and other odorous substances. There is also an intention to expand the range of biodegradable packaging that may be allowed in the final facility, although the ability to do this will be determined through further testing. </w:t>
      </w:r>
      <w:bookmarkEnd w:id="37"/>
    </w:p>
    <w:p w14:paraId="10E5760C" w14:textId="0872390C" w:rsidR="00BA39A4" w:rsidRDefault="00D01FB2" w:rsidP="00BA39A4">
      <w:pPr>
        <w:rPr>
          <w:sz w:val="24"/>
          <w:szCs w:val="24"/>
        </w:rPr>
      </w:pPr>
      <w:r>
        <w:rPr>
          <w:sz w:val="24"/>
          <w:szCs w:val="24"/>
        </w:rPr>
        <w:t>The regulatory problem includes a requirement to adjust the definition of compostable material that can be placed in green bins in</w:t>
      </w:r>
      <w:r w:rsidR="00E85B61">
        <w:rPr>
          <w:sz w:val="24"/>
          <w:szCs w:val="24"/>
        </w:rPr>
        <w:t>-</w:t>
      </w:r>
      <w:r>
        <w:rPr>
          <w:sz w:val="24"/>
          <w:szCs w:val="24"/>
        </w:rPr>
        <w:t xml:space="preserve">between the trial, and the whole-of-Canberra roll-out which will make use of the new, fit-for-purpose infrastructure. </w:t>
      </w:r>
    </w:p>
    <w:p w14:paraId="1377DBFA" w14:textId="7F5F42A4" w:rsidR="00BA39A4" w:rsidRDefault="00922451" w:rsidP="00BA39A4">
      <w:pPr>
        <w:pStyle w:val="Heading3"/>
      </w:pPr>
      <w:bookmarkStart w:id="38" w:name="_Toc78374683"/>
      <w:bookmarkStart w:id="39" w:name="_Toc79490193"/>
      <w:r>
        <w:t>7</w:t>
      </w:r>
      <w:r w:rsidR="00BA39A4">
        <w:t xml:space="preserve">.1d </w:t>
      </w:r>
      <w:r w:rsidR="00110FC6">
        <w:t xml:space="preserve">   </w:t>
      </w:r>
      <w:r w:rsidR="00BA39A4">
        <w:t>Minimising contamination</w:t>
      </w:r>
      <w:bookmarkEnd w:id="38"/>
      <w:bookmarkEnd w:id="39"/>
    </w:p>
    <w:p w14:paraId="0D63DAD0" w14:textId="21032999" w:rsidR="00655921" w:rsidRDefault="007D7645" w:rsidP="007D7645">
      <w:pPr>
        <w:rPr>
          <w:sz w:val="24"/>
          <w:szCs w:val="24"/>
        </w:rPr>
      </w:pPr>
      <w:r>
        <w:rPr>
          <w:sz w:val="24"/>
          <w:szCs w:val="24"/>
        </w:rPr>
        <w:t>Minimising contamination of the FOGO feedstock is critical to the success of the initiative. If contamination is low, the resulting compost can be sold as a valuable soil enhancer with beneficial properties for landscape development and even food production</w:t>
      </w:r>
      <w:r w:rsidR="00E85B61">
        <w:rPr>
          <w:sz w:val="24"/>
          <w:szCs w:val="24"/>
        </w:rPr>
        <w:t xml:space="preserve">; whereas if </w:t>
      </w:r>
      <w:r>
        <w:rPr>
          <w:sz w:val="24"/>
          <w:szCs w:val="24"/>
        </w:rPr>
        <w:t xml:space="preserve">contamination is high, the quality and value of the compost will be low and profitable markets may not be found. </w:t>
      </w:r>
    </w:p>
    <w:p w14:paraId="1BDC4FE0" w14:textId="319B5B0C" w:rsidR="007D7645" w:rsidRDefault="007D7645" w:rsidP="007D7645">
      <w:pPr>
        <w:rPr>
          <w:sz w:val="24"/>
          <w:szCs w:val="24"/>
        </w:rPr>
      </w:pPr>
      <w:r>
        <w:rPr>
          <w:sz w:val="24"/>
          <w:szCs w:val="24"/>
        </w:rPr>
        <w:t>Two main options are available to the Territory for preventing contamination</w:t>
      </w:r>
      <w:r w:rsidR="00A84D51">
        <w:rPr>
          <w:sz w:val="24"/>
          <w:szCs w:val="24"/>
        </w:rPr>
        <w:t xml:space="preserve"> and both are included in the ACT FOGO proposal</w:t>
      </w:r>
      <w:r>
        <w:rPr>
          <w:sz w:val="24"/>
          <w:szCs w:val="24"/>
        </w:rPr>
        <w:t xml:space="preserve">. </w:t>
      </w:r>
      <w:r w:rsidR="00E85B61">
        <w:rPr>
          <w:sz w:val="24"/>
          <w:szCs w:val="24"/>
        </w:rPr>
        <w:t>The first option</w:t>
      </w:r>
      <w:r>
        <w:rPr>
          <w:sz w:val="24"/>
          <w:szCs w:val="24"/>
        </w:rPr>
        <w:t xml:space="preserve"> is to deliver an effective communication campaign </w:t>
      </w:r>
      <w:r w:rsidR="00E85B61">
        <w:rPr>
          <w:sz w:val="24"/>
          <w:szCs w:val="24"/>
        </w:rPr>
        <w:t xml:space="preserve">as was used in </w:t>
      </w:r>
      <w:r>
        <w:rPr>
          <w:sz w:val="24"/>
          <w:szCs w:val="24"/>
        </w:rPr>
        <w:t>Bega Valley Shire Council</w:t>
      </w:r>
      <w:r w:rsidR="00EE52B7">
        <w:rPr>
          <w:sz w:val="24"/>
          <w:szCs w:val="24"/>
        </w:rPr>
        <w:t xml:space="preserve"> and other jurisdictions with successful FOGO </w:t>
      </w:r>
      <w:r w:rsidR="00E85B61">
        <w:rPr>
          <w:sz w:val="24"/>
          <w:szCs w:val="24"/>
        </w:rPr>
        <w:t>rollouts</w:t>
      </w:r>
      <w:r w:rsidR="003B05D9">
        <w:rPr>
          <w:sz w:val="24"/>
          <w:szCs w:val="24"/>
        </w:rPr>
        <w:t>, although contamination remains a problem even for these areas</w:t>
      </w:r>
      <w:r>
        <w:rPr>
          <w:sz w:val="24"/>
          <w:szCs w:val="24"/>
        </w:rPr>
        <w:t xml:space="preserve">. This </w:t>
      </w:r>
      <w:r w:rsidR="00A84D51">
        <w:rPr>
          <w:sz w:val="24"/>
          <w:szCs w:val="24"/>
        </w:rPr>
        <w:t>is proposed to</w:t>
      </w:r>
      <w:r>
        <w:rPr>
          <w:sz w:val="24"/>
          <w:szCs w:val="24"/>
        </w:rPr>
        <w:t xml:space="preserve"> be supported by </w:t>
      </w:r>
      <w:r w:rsidR="00E85B61">
        <w:rPr>
          <w:sz w:val="24"/>
          <w:szCs w:val="24"/>
        </w:rPr>
        <w:t xml:space="preserve">the </w:t>
      </w:r>
      <w:r>
        <w:rPr>
          <w:sz w:val="24"/>
          <w:szCs w:val="24"/>
        </w:rPr>
        <w:t>provision of suitable caddies for household kitchens</w:t>
      </w:r>
      <w:r w:rsidR="00E85B61">
        <w:rPr>
          <w:sz w:val="24"/>
          <w:szCs w:val="24"/>
        </w:rPr>
        <w:t xml:space="preserve"> </w:t>
      </w:r>
      <w:r>
        <w:rPr>
          <w:sz w:val="24"/>
          <w:szCs w:val="24"/>
        </w:rPr>
        <w:t xml:space="preserve">and caddy bags for at least the first year. Some councils, including parts of </w:t>
      </w:r>
      <w:r w:rsidR="00655921">
        <w:rPr>
          <w:sz w:val="24"/>
          <w:szCs w:val="24"/>
        </w:rPr>
        <w:t>neighbouring Queanbeyan-Palerang Regional Council have continued to supply caddy bags to participating households</w:t>
      </w:r>
      <w:r w:rsidR="00655921">
        <w:rPr>
          <w:rStyle w:val="FootnoteReference"/>
          <w:sz w:val="24"/>
          <w:szCs w:val="24"/>
        </w:rPr>
        <w:footnoteReference w:id="9"/>
      </w:r>
      <w:r w:rsidR="00655921">
        <w:rPr>
          <w:sz w:val="24"/>
          <w:szCs w:val="24"/>
        </w:rPr>
        <w:t xml:space="preserve">. </w:t>
      </w:r>
      <w:r w:rsidR="00E85B61">
        <w:rPr>
          <w:sz w:val="24"/>
          <w:szCs w:val="24"/>
        </w:rPr>
        <w:t>T</w:t>
      </w:r>
      <w:r w:rsidR="00A84D51">
        <w:rPr>
          <w:sz w:val="24"/>
          <w:szCs w:val="24"/>
        </w:rPr>
        <w:t xml:space="preserve">he </w:t>
      </w:r>
      <w:r w:rsidR="00C51828">
        <w:rPr>
          <w:sz w:val="24"/>
          <w:szCs w:val="24"/>
        </w:rPr>
        <w:t xml:space="preserve">supply of these items is being considered for ACT FOGO collections. </w:t>
      </w:r>
    </w:p>
    <w:p w14:paraId="5F7332AA" w14:textId="022E84D5" w:rsidR="00655921" w:rsidRDefault="00C51828" w:rsidP="007D7645">
      <w:pPr>
        <w:rPr>
          <w:sz w:val="24"/>
          <w:szCs w:val="24"/>
        </w:rPr>
      </w:pPr>
      <w:r>
        <w:rPr>
          <w:sz w:val="24"/>
          <w:szCs w:val="24"/>
        </w:rPr>
        <w:lastRenderedPageBreak/>
        <w:t>Another</w:t>
      </w:r>
      <w:r w:rsidR="00655921">
        <w:rPr>
          <w:sz w:val="24"/>
          <w:szCs w:val="24"/>
        </w:rPr>
        <w:t xml:space="preserve"> option for minimising contamination </w:t>
      </w:r>
      <w:r w:rsidR="00521314">
        <w:rPr>
          <w:sz w:val="24"/>
          <w:szCs w:val="24"/>
        </w:rPr>
        <w:t>is regulatory</w:t>
      </w:r>
      <w:r w:rsidR="004146BB">
        <w:rPr>
          <w:sz w:val="24"/>
          <w:szCs w:val="24"/>
        </w:rPr>
        <w:t xml:space="preserve"> – to </w:t>
      </w:r>
      <w:r w:rsidR="00655921">
        <w:rPr>
          <w:sz w:val="24"/>
          <w:szCs w:val="24"/>
        </w:rPr>
        <w:t>make it an offence to place non-compostable material in the green bins</w:t>
      </w:r>
      <w:r w:rsidR="00A84D51">
        <w:rPr>
          <w:sz w:val="24"/>
          <w:szCs w:val="24"/>
        </w:rPr>
        <w:t>, through an extension of the existing offence placing</w:t>
      </w:r>
      <w:r w:rsidR="00A84D51" w:rsidRPr="00A1031E">
        <w:rPr>
          <w:sz w:val="24"/>
          <w:szCs w:val="24"/>
        </w:rPr>
        <w:t xml:space="preserve"> anything other than garden waste into these bins</w:t>
      </w:r>
      <w:r w:rsidR="00A84D51">
        <w:rPr>
          <w:sz w:val="24"/>
          <w:szCs w:val="24"/>
        </w:rPr>
        <w:t xml:space="preserve">. This is included in the proposed </w:t>
      </w:r>
      <w:r w:rsidR="00EE52B7">
        <w:rPr>
          <w:sz w:val="24"/>
          <w:szCs w:val="24"/>
        </w:rPr>
        <w:t xml:space="preserve">Amendment </w:t>
      </w:r>
      <w:r w:rsidR="00A84D51">
        <w:rPr>
          <w:sz w:val="24"/>
          <w:szCs w:val="24"/>
        </w:rPr>
        <w:t xml:space="preserve">Regulation. </w:t>
      </w:r>
      <w:r w:rsidR="00655921">
        <w:rPr>
          <w:sz w:val="24"/>
          <w:szCs w:val="24"/>
        </w:rPr>
        <w:t xml:space="preserve">  </w:t>
      </w:r>
    </w:p>
    <w:p w14:paraId="0D8A7D3E" w14:textId="278CFCB5" w:rsidR="003372F3" w:rsidRPr="00A1031E" w:rsidRDefault="00C51828" w:rsidP="007D7645">
      <w:pPr>
        <w:rPr>
          <w:sz w:val="24"/>
          <w:szCs w:val="24"/>
        </w:rPr>
      </w:pPr>
      <w:r>
        <w:rPr>
          <w:sz w:val="24"/>
          <w:szCs w:val="24"/>
        </w:rPr>
        <w:t xml:space="preserve">The ACT is considering options for a </w:t>
      </w:r>
      <w:r w:rsidR="003372F3">
        <w:rPr>
          <w:sz w:val="24"/>
          <w:szCs w:val="24"/>
        </w:rPr>
        <w:t xml:space="preserve">FOGO collection service </w:t>
      </w:r>
      <w:r>
        <w:rPr>
          <w:sz w:val="24"/>
          <w:szCs w:val="24"/>
        </w:rPr>
        <w:t xml:space="preserve">using </w:t>
      </w:r>
      <w:r w:rsidR="003372F3">
        <w:rPr>
          <w:sz w:val="24"/>
          <w:szCs w:val="24"/>
        </w:rPr>
        <w:t>technology which is being successfully used in the Bega Valley Council area</w:t>
      </w:r>
      <w:r w:rsidR="00EE52B7">
        <w:rPr>
          <w:sz w:val="24"/>
          <w:szCs w:val="24"/>
        </w:rPr>
        <w:t xml:space="preserve"> and other places</w:t>
      </w:r>
      <w:r w:rsidR="003372F3">
        <w:rPr>
          <w:sz w:val="24"/>
          <w:szCs w:val="24"/>
        </w:rPr>
        <w:t xml:space="preserve">. </w:t>
      </w:r>
      <w:r w:rsidR="00DC0265">
        <w:rPr>
          <w:sz w:val="24"/>
          <w:szCs w:val="24"/>
        </w:rPr>
        <w:t xml:space="preserve">This approach involves </w:t>
      </w:r>
      <w:r w:rsidR="003372F3">
        <w:rPr>
          <w:sz w:val="24"/>
          <w:szCs w:val="24"/>
        </w:rPr>
        <w:t xml:space="preserve">FOGO collection vehicles </w:t>
      </w:r>
      <w:r w:rsidR="00DC0265">
        <w:rPr>
          <w:sz w:val="24"/>
          <w:szCs w:val="24"/>
        </w:rPr>
        <w:t>being</w:t>
      </w:r>
      <w:r w:rsidR="003372F3">
        <w:rPr>
          <w:sz w:val="24"/>
          <w:szCs w:val="24"/>
        </w:rPr>
        <w:t xml:space="preserve"> fitted with </w:t>
      </w:r>
      <w:r w:rsidR="003372F3" w:rsidRPr="003372F3">
        <w:rPr>
          <w:sz w:val="24"/>
          <w:szCs w:val="24"/>
        </w:rPr>
        <w:t>cameras, which drivers</w:t>
      </w:r>
      <w:r w:rsidR="00DC0265">
        <w:rPr>
          <w:sz w:val="24"/>
          <w:szCs w:val="24"/>
        </w:rPr>
        <w:t xml:space="preserve"> or regulators could</w:t>
      </w:r>
      <w:r w:rsidR="003372F3" w:rsidRPr="003372F3">
        <w:rPr>
          <w:sz w:val="24"/>
          <w:szCs w:val="24"/>
        </w:rPr>
        <w:t xml:space="preserve"> use to inspect and photograph material emptied in the truck. This system does not prevent contamination </w:t>
      </w:r>
      <w:r w:rsidR="00C208A1" w:rsidRPr="003372F3">
        <w:rPr>
          <w:sz w:val="24"/>
          <w:szCs w:val="24"/>
        </w:rPr>
        <w:t>being collected;</w:t>
      </w:r>
      <w:r w:rsidR="003372F3" w:rsidRPr="003372F3">
        <w:rPr>
          <w:sz w:val="24"/>
          <w:szCs w:val="24"/>
        </w:rPr>
        <w:t xml:space="preserve"> </w:t>
      </w:r>
      <w:r w:rsidR="004146BB">
        <w:rPr>
          <w:sz w:val="24"/>
          <w:szCs w:val="24"/>
        </w:rPr>
        <w:t>however</w:t>
      </w:r>
      <w:r w:rsidR="003372F3" w:rsidRPr="003372F3">
        <w:rPr>
          <w:sz w:val="24"/>
          <w:szCs w:val="24"/>
        </w:rPr>
        <w:t xml:space="preserve"> it provides the information </w:t>
      </w:r>
      <w:r w:rsidR="00DC0265">
        <w:rPr>
          <w:sz w:val="24"/>
          <w:szCs w:val="24"/>
        </w:rPr>
        <w:t xml:space="preserve">needed </w:t>
      </w:r>
      <w:r w:rsidR="003372F3" w:rsidRPr="003372F3">
        <w:rPr>
          <w:sz w:val="24"/>
          <w:szCs w:val="24"/>
        </w:rPr>
        <w:t>to follow up</w:t>
      </w:r>
      <w:r w:rsidR="00DC0265">
        <w:rPr>
          <w:sz w:val="24"/>
          <w:szCs w:val="24"/>
        </w:rPr>
        <w:t xml:space="preserve"> contamination sources and prevent repeat events</w:t>
      </w:r>
      <w:r w:rsidR="003372F3" w:rsidRPr="003372F3">
        <w:rPr>
          <w:sz w:val="24"/>
          <w:szCs w:val="24"/>
        </w:rPr>
        <w:t>.</w:t>
      </w:r>
      <w:r w:rsidR="00DC0265">
        <w:rPr>
          <w:sz w:val="24"/>
          <w:szCs w:val="24"/>
        </w:rPr>
        <w:t xml:space="preserve"> </w:t>
      </w:r>
    </w:p>
    <w:p w14:paraId="4745C0B4" w14:textId="12A6C264" w:rsidR="00BA39A4" w:rsidRDefault="00922451" w:rsidP="00BA39A4">
      <w:pPr>
        <w:pStyle w:val="Heading3"/>
      </w:pPr>
      <w:bookmarkStart w:id="40" w:name="_Toc78374684"/>
      <w:bookmarkStart w:id="41" w:name="_Toc79490194"/>
      <w:r>
        <w:t>7</w:t>
      </w:r>
      <w:r w:rsidR="00BA39A4">
        <w:t xml:space="preserve">.1e </w:t>
      </w:r>
      <w:r w:rsidR="00221266">
        <w:t xml:space="preserve">    </w:t>
      </w:r>
      <w:r w:rsidR="00BA39A4">
        <w:t>Changing the frequency of waste collection services</w:t>
      </w:r>
      <w:bookmarkEnd w:id="40"/>
      <w:bookmarkEnd w:id="41"/>
    </w:p>
    <w:p w14:paraId="1BAC16FC" w14:textId="0ED532AF" w:rsidR="00085CD2" w:rsidRDefault="00830B97" w:rsidP="00AD7549">
      <w:pPr>
        <w:rPr>
          <w:sz w:val="24"/>
          <w:szCs w:val="24"/>
        </w:rPr>
      </w:pPr>
      <w:r w:rsidRPr="00A1031E">
        <w:rPr>
          <w:sz w:val="24"/>
          <w:szCs w:val="24"/>
        </w:rPr>
        <w:t xml:space="preserve">Changes to the frequency of existing domestic waste collection services are </w:t>
      </w:r>
      <w:r w:rsidR="00C51828">
        <w:rPr>
          <w:sz w:val="24"/>
          <w:szCs w:val="24"/>
        </w:rPr>
        <w:t xml:space="preserve">being considered </w:t>
      </w:r>
      <w:r w:rsidRPr="00A1031E">
        <w:rPr>
          <w:sz w:val="24"/>
          <w:szCs w:val="24"/>
        </w:rPr>
        <w:t xml:space="preserve">as part of the </w:t>
      </w:r>
      <w:r w:rsidR="00F64D14" w:rsidRPr="00A1031E">
        <w:rPr>
          <w:sz w:val="24"/>
          <w:szCs w:val="24"/>
        </w:rPr>
        <w:t xml:space="preserve">FOGO </w:t>
      </w:r>
      <w:r w:rsidR="00DC0265">
        <w:rPr>
          <w:sz w:val="24"/>
          <w:szCs w:val="24"/>
        </w:rPr>
        <w:t>initiative</w:t>
      </w:r>
      <w:r w:rsidR="00C51828">
        <w:rPr>
          <w:sz w:val="24"/>
          <w:szCs w:val="24"/>
        </w:rPr>
        <w:t xml:space="preserve">, with </w:t>
      </w:r>
      <w:r w:rsidRPr="00A1031E">
        <w:rPr>
          <w:sz w:val="24"/>
          <w:szCs w:val="24"/>
        </w:rPr>
        <w:t xml:space="preserve">FOGO </w:t>
      </w:r>
      <w:r w:rsidR="00085CD2">
        <w:rPr>
          <w:sz w:val="24"/>
          <w:szCs w:val="24"/>
        </w:rPr>
        <w:t>compostable</w:t>
      </w:r>
      <w:r w:rsidRPr="00A1031E">
        <w:rPr>
          <w:sz w:val="24"/>
          <w:szCs w:val="24"/>
        </w:rPr>
        <w:t xml:space="preserve"> bins</w:t>
      </w:r>
      <w:r w:rsidR="00085CD2">
        <w:rPr>
          <w:sz w:val="24"/>
          <w:szCs w:val="24"/>
        </w:rPr>
        <w:t xml:space="preserve"> (green bins)</w:t>
      </w:r>
      <w:r w:rsidRPr="00A1031E">
        <w:rPr>
          <w:sz w:val="24"/>
          <w:szCs w:val="24"/>
        </w:rPr>
        <w:t xml:space="preserve"> </w:t>
      </w:r>
      <w:r w:rsidR="00C51828">
        <w:rPr>
          <w:sz w:val="24"/>
          <w:szCs w:val="24"/>
        </w:rPr>
        <w:t xml:space="preserve">potentially </w:t>
      </w:r>
      <w:r w:rsidRPr="00A1031E">
        <w:rPr>
          <w:sz w:val="24"/>
          <w:szCs w:val="24"/>
        </w:rPr>
        <w:t>to be collected weekly, and residual waste bins</w:t>
      </w:r>
      <w:r w:rsidR="00085CD2" w:rsidRPr="00A1031E">
        <w:rPr>
          <w:sz w:val="24"/>
          <w:szCs w:val="24"/>
        </w:rPr>
        <w:t xml:space="preserve"> (red</w:t>
      </w:r>
      <w:r w:rsidR="00085CD2">
        <w:rPr>
          <w:sz w:val="24"/>
          <w:szCs w:val="24"/>
        </w:rPr>
        <w:t xml:space="preserve"> bin</w:t>
      </w:r>
      <w:r w:rsidR="004146BB">
        <w:rPr>
          <w:sz w:val="24"/>
          <w:szCs w:val="24"/>
        </w:rPr>
        <w:t>s</w:t>
      </w:r>
      <w:r w:rsidR="00085CD2" w:rsidRPr="00A1031E">
        <w:rPr>
          <w:sz w:val="24"/>
          <w:szCs w:val="24"/>
        </w:rPr>
        <w:t>)</w:t>
      </w:r>
      <w:r w:rsidR="00085CD2">
        <w:rPr>
          <w:sz w:val="24"/>
          <w:szCs w:val="24"/>
        </w:rPr>
        <w:t xml:space="preserve"> </w:t>
      </w:r>
      <w:r w:rsidRPr="00A1031E">
        <w:rPr>
          <w:sz w:val="24"/>
          <w:szCs w:val="24"/>
        </w:rPr>
        <w:t xml:space="preserve">collected fortnightly. </w:t>
      </w:r>
      <w:r w:rsidR="00085CD2">
        <w:rPr>
          <w:sz w:val="24"/>
          <w:szCs w:val="24"/>
        </w:rPr>
        <w:t xml:space="preserve">This is the </w:t>
      </w:r>
      <w:r w:rsidR="004146BB">
        <w:rPr>
          <w:sz w:val="24"/>
          <w:szCs w:val="24"/>
        </w:rPr>
        <w:t>opposite</w:t>
      </w:r>
      <w:r w:rsidR="00085CD2">
        <w:rPr>
          <w:sz w:val="24"/>
          <w:szCs w:val="24"/>
        </w:rPr>
        <w:t xml:space="preserve"> of the </w:t>
      </w:r>
      <w:r w:rsidR="004146BB">
        <w:rPr>
          <w:sz w:val="24"/>
          <w:szCs w:val="24"/>
        </w:rPr>
        <w:t>existing</w:t>
      </w:r>
      <w:r w:rsidR="00085CD2">
        <w:rPr>
          <w:sz w:val="24"/>
          <w:szCs w:val="24"/>
        </w:rPr>
        <w:t xml:space="preserve"> collection rates for both services</w:t>
      </w:r>
      <w:r w:rsidR="004146BB">
        <w:rPr>
          <w:sz w:val="24"/>
          <w:szCs w:val="24"/>
        </w:rPr>
        <w:t xml:space="preserve"> as currently</w:t>
      </w:r>
      <w:r w:rsidR="00085CD2">
        <w:rPr>
          <w:sz w:val="24"/>
          <w:szCs w:val="24"/>
        </w:rPr>
        <w:t>, red bins are collected weekly and green bins</w:t>
      </w:r>
      <w:r w:rsidR="004146BB">
        <w:rPr>
          <w:sz w:val="24"/>
          <w:szCs w:val="24"/>
        </w:rPr>
        <w:t xml:space="preserve"> are collected</w:t>
      </w:r>
      <w:r w:rsidR="00085CD2">
        <w:rPr>
          <w:sz w:val="24"/>
          <w:szCs w:val="24"/>
        </w:rPr>
        <w:t xml:space="preserve"> fortnightly. </w:t>
      </w:r>
    </w:p>
    <w:p w14:paraId="5924A498" w14:textId="795012C2" w:rsidR="00830B97" w:rsidRDefault="00C51828" w:rsidP="00AD7549">
      <w:pPr>
        <w:rPr>
          <w:sz w:val="24"/>
          <w:szCs w:val="24"/>
        </w:rPr>
      </w:pPr>
      <w:r>
        <w:rPr>
          <w:sz w:val="24"/>
          <w:szCs w:val="24"/>
        </w:rPr>
        <w:t>Under this arrangement, t</w:t>
      </w:r>
      <w:r w:rsidR="00830B97" w:rsidRPr="00A1031E">
        <w:rPr>
          <w:sz w:val="24"/>
          <w:szCs w:val="24"/>
        </w:rPr>
        <w:t xml:space="preserve">he increased frequency of </w:t>
      </w:r>
      <w:r w:rsidR="00085CD2">
        <w:rPr>
          <w:sz w:val="24"/>
          <w:szCs w:val="24"/>
        </w:rPr>
        <w:t>green</w:t>
      </w:r>
      <w:r w:rsidR="00830B97" w:rsidRPr="00A1031E">
        <w:rPr>
          <w:sz w:val="24"/>
          <w:szCs w:val="24"/>
        </w:rPr>
        <w:t xml:space="preserve"> bin collections w</w:t>
      </w:r>
      <w:r>
        <w:rPr>
          <w:sz w:val="24"/>
          <w:szCs w:val="24"/>
        </w:rPr>
        <w:t>ould</w:t>
      </w:r>
      <w:r w:rsidR="00830B97" w:rsidRPr="00A1031E">
        <w:rPr>
          <w:sz w:val="24"/>
          <w:szCs w:val="24"/>
        </w:rPr>
        <w:t xml:space="preserve"> be </w:t>
      </w:r>
      <w:r w:rsidR="004146BB">
        <w:rPr>
          <w:sz w:val="24"/>
          <w:szCs w:val="24"/>
        </w:rPr>
        <w:t>required</w:t>
      </w:r>
      <w:r w:rsidR="004146BB" w:rsidRPr="00A1031E">
        <w:rPr>
          <w:sz w:val="24"/>
          <w:szCs w:val="24"/>
        </w:rPr>
        <w:t xml:space="preserve"> </w:t>
      </w:r>
      <w:r w:rsidR="00830B97" w:rsidRPr="00A1031E">
        <w:rPr>
          <w:sz w:val="24"/>
          <w:szCs w:val="24"/>
        </w:rPr>
        <w:t xml:space="preserve">as </w:t>
      </w:r>
      <w:r w:rsidR="004146BB">
        <w:rPr>
          <w:sz w:val="24"/>
          <w:szCs w:val="24"/>
        </w:rPr>
        <w:t xml:space="preserve">the </w:t>
      </w:r>
      <w:r w:rsidR="00551021">
        <w:rPr>
          <w:sz w:val="24"/>
          <w:szCs w:val="24"/>
        </w:rPr>
        <w:t xml:space="preserve">introduction of </w:t>
      </w:r>
      <w:r w:rsidR="00830B97" w:rsidRPr="00A1031E">
        <w:rPr>
          <w:sz w:val="24"/>
          <w:szCs w:val="24"/>
        </w:rPr>
        <w:t xml:space="preserve">putrescible wastes </w:t>
      </w:r>
      <w:r w:rsidR="00551021">
        <w:rPr>
          <w:sz w:val="24"/>
          <w:szCs w:val="24"/>
        </w:rPr>
        <w:t>means that if</w:t>
      </w:r>
      <w:r w:rsidR="004146BB">
        <w:rPr>
          <w:sz w:val="24"/>
          <w:szCs w:val="24"/>
        </w:rPr>
        <w:t xml:space="preserve"> the bins are not collected weekly, they </w:t>
      </w:r>
      <w:r w:rsidR="00830B97" w:rsidRPr="00A1031E">
        <w:rPr>
          <w:sz w:val="24"/>
          <w:szCs w:val="24"/>
        </w:rPr>
        <w:t xml:space="preserve">will have an increased potential to cause odour issues, and to attract vermin or other nuisance issues. </w:t>
      </w:r>
      <w:r w:rsidR="004146BB">
        <w:rPr>
          <w:sz w:val="24"/>
          <w:szCs w:val="24"/>
        </w:rPr>
        <w:t xml:space="preserve">The </w:t>
      </w:r>
      <w:r w:rsidR="00830B97" w:rsidRPr="00A1031E">
        <w:rPr>
          <w:sz w:val="24"/>
          <w:szCs w:val="24"/>
        </w:rPr>
        <w:t xml:space="preserve">collection of the </w:t>
      </w:r>
      <w:r w:rsidR="008743EC" w:rsidRPr="00A1031E">
        <w:rPr>
          <w:sz w:val="24"/>
          <w:szCs w:val="24"/>
        </w:rPr>
        <w:t>red bin</w:t>
      </w:r>
      <w:r w:rsidR="00124B1C">
        <w:rPr>
          <w:sz w:val="24"/>
          <w:szCs w:val="24"/>
        </w:rPr>
        <w:t xml:space="preserve"> </w:t>
      </w:r>
      <w:r w:rsidR="008743EC" w:rsidRPr="00A1031E">
        <w:rPr>
          <w:sz w:val="24"/>
          <w:szCs w:val="24"/>
        </w:rPr>
        <w:t xml:space="preserve">service will be reduced </w:t>
      </w:r>
      <w:r w:rsidR="00830B97" w:rsidRPr="00A1031E">
        <w:rPr>
          <w:sz w:val="24"/>
          <w:szCs w:val="24"/>
        </w:rPr>
        <w:t>from weekly to fortnightly</w:t>
      </w:r>
      <w:r w:rsidR="004146BB">
        <w:rPr>
          <w:sz w:val="24"/>
          <w:szCs w:val="24"/>
        </w:rPr>
        <w:t xml:space="preserve"> due to several reasons including managing </w:t>
      </w:r>
      <w:r w:rsidR="008743EC" w:rsidRPr="00A1031E">
        <w:rPr>
          <w:sz w:val="24"/>
          <w:szCs w:val="24"/>
        </w:rPr>
        <w:t xml:space="preserve">the financial impact of the FOGO service and </w:t>
      </w:r>
      <w:r w:rsidR="004146BB">
        <w:rPr>
          <w:sz w:val="24"/>
          <w:szCs w:val="24"/>
        </w:rPr>
        <w:t xml:space="preserve">as there will be </w:t>
      </w:r>
      <w:r w:rsidR="008743EC" w:rsidRPr="00A1031E">
        <w:rPr>
          <w:sz w:val="24"/>
          <w:szCs w:val="24"/>
        </w:rPr>
        <w:t>reduced putrescible wastes in the red bins</w:t>
      </w:r>
      <w:r w:rsidR="004146BB">
        <w:rPr>
          <w:sz w:val="24"/>
          <w:szCs w:val="24"/>
        </w:rPr>
        <w:t>, their risks of odour and other issues will be lowered.</w:t>
      </w:r>
      <w:r w:rsidR="008743EC" w:rsidRPr="00A1031E">
        <w:rPr>
          <w:sz w:val="24"/>
          <w:szCs w:val="24"/>
        </w:rPr>
        <w:t xml:space="preserve"> A reduced red bin service frequency will support the proposed community education and engagement program to encourage the separation of food and garden waste from the residual waste.</w:t>
      </w:r>
    </w:p>
    <w:p w14:paraId="3016E67E" w14:textId="2E74DFAE" w:rsidR="00521314" w:rsidRPr="00A1031E" w:rsidRDefault="00521314" w:rsidP="00AD7549">
      <w:pPr>
        <w:rPr>
          <w:sz w:val="24"/>
          <w:szCs w:val="24"/>
        </w:rPr>
      </w:pPr>
      <w:r>
        <w:rPr>
          <w:sz w:val="24"/>
          <w:szCs w:val="24"/>
        </w:rPr>
        <w:t xml:space="preserve">No regulatory change is needed for adjusting service frequency, as the waste legislation does not specify service delivery timeframes. </w:t>
      </w:r>
    </w:p>
    <w:p w14:paraId="4EF05BCF" w14:textId="30447900" w:rsidR="00AD7549" w:rsidRDefault="00DC1B47" w:rsidP="00EE52B7">
      <w:pPr>
        <w:pStyle w:val="Heading2"/>
      </w:pPr>
      <w:bookmarkStart w:id="42" w:name="_Toc78374685"/>
      <w:bookmarkStart w:id="43" w:name="_Toc79490195"/>
      <w:r>
        <w:t>7</w:t>
      </w:r>
      <w:r w:rsidR="00F86E75">
        <w:t>.2</w:t>
      </w:r>
      <w:r w:rsidR="002F7C2B">
        <w:tab/>
      </w:r>
      <w:r w:rsidR="00AD7549">
        <w:t>Objectives</w:t>
      </w:r>
      <w:bookmarkEnd w:id="42"/>
      <w:bookmarkEnd w:id="43"/>
    </w:p>
    <w:p w14:paraId="46250D5E" w14:textId="0E6FAAC7" w:rsidR="00085CD2" w:rsidRPr="00FE42A8" w:rsidRDefault="00872DCA" w:rsidP="00872DCA">
      <w:pPr>
        <w:rPr>
          <w:sz w:val="24"/>
          <w:szCs w:val="24"/>
        </w:rPr>
      </w:pPr>
      <w:r w:rsidRPr="00FE42A8">
        <w:rPr>
          <w:sz w:val="24"/>
          <w:szCs w:val="24"/>
        </w:rPr>
        <w:t>The core objective</w:t>
      </w:r>
      <w:r w:rsidR="00F64D14" w:rsidRPr="00FE42A8">
        <w:rPr>
          <w:sz w:val="24"/>
          <w:szCs w:val="24"/>
        </w:rPr>
        <w:t xml:space="preserve"> of the regulation update</w:t>
      </w:r>
      <w:r w:rsidRPr="00FE42A8">
        <w:rPr>
          <w:sz w:val="24"/>
          <w:szCs w:val="24"/>
        </w:rPr>
        <w:t xml:space="preserve"> is to allow for green bins to be used for FOGO collections</w:t>
      </w:r>
      <w:r w:rsidR="00085CD2" w:rsidRPr="00FE42A8">
        <w:rPr>
          <w:sz w:val="24"/>
          <w:szCs w:val="24"/>
        </w:rPr>
        <w:t xml:space="preserve">. To support both a pilot and whole-of-Canberra roll-out, provision </w:t>
      </w:r>
      <w:r w:rsidR="00A444B0" w:rsidRPr="00FE42A8">
        <w:rPr>
          <w:sz w:val="24"/>
          <w:szCs w:val="24"/>
        </w:rPr>
        <w:t>is</w:t>
      </w:r>
      <w:r w:rsidR="00085CD2" w:rsidRPr="00FE42A8">
        <w:rPr>
          <w:sz w:val="24"/>
          <w:szCs w:val="24"/>
        </w:rPr>
        <w:t xml:space="preserve"> made for: </w:t>
      </w:r>
    </w:p>
    <w:p w14:paraId="68712298" w14:textId="77777777" w:rsidR="008D48F1" w:rsidRDefault="002022A3" w:rsidP="00FE42A8">
      <w:pPr>
        <w:pStyle w:val="ReportList1"/>
      </w:pPr>
      <w:r>
        <w:t xml:space="preserve">Different definitions for the compostable waste that may be placed in green bins during the pilot and whole-of-Canberra roll-out, </w:t>
      </w:r>
    </w:p>
    <w:p w14:paraId="776D61C4" w14:textId="670DFF03" w:rsidR="00A444B0" w:rsidRPr="00872DCA" w:rsidRDefault="00A444B0" w:rsidP="00FE42A8">
      <w:pPr>
        <w:pStyle w:val="ReportList1"/>
      </w:pPr>
      <w:r>
        <w:t>Specification of Canberra households to be allowed to place additional compostable materials within the green bin during the pilot phase and final phase, and</w:t>
      </w:r>
    </w:p>
    <w:p w14:paraId="21C114AC" w14:textId="6719B137" w:rsidR="002022A3" w:rsidRDefault="00A444B0" w:rsidP="00FE42A8">
      <w:pPr>
        <w:pStyle w:val="ReportList1"/>
      </w:pPr>
      <w:r>
        <w:t>Offence provisions to s</w:t>
      </w:r>
      <w:r w:rsidR="008D48F1">
        <w:t>upport a high quality and low contamination feedstock which produces a valuable end product</w:t>
      </w:r>
      <w:r>
        <w:t xml:space="preserve">. </w:t>
      </w:r>
    </w:p>
    <w:p w14:paraId="4A1D04FD" w14:textId="11E6771E" w:rsidR="00127724" w:rsidRDefault="00DC1B47" w:rsidP="00EE52B7">
      <w:pPr>
        <w:pStyle w:val="Heading2"/>
      </w:pPr>
      <w:bookmarkStart w:id="44" w:name="_Toc78374686"/>
      <w:bookmarkStart w:id="45" w:name="_Toc79490196"/>
      <w:r>
        <w:lastRenderedPageBreak/>
        <w:t>7</w:t>
      </w:r>
      <w:r w:rsidR="00AD7549">
        <w:t xml:space="preserve">.3 </w:t>
      </w:r>
      <w:r w:rsidR="00127724">
        <w:t>Approaches from other jurisdictions</w:t>
      </w:r>
      <w:bookmarkEnd w:id="44"/>
      <w:bookmarkEnd w:id="45"/>
    </w:p>
    <w:p w14:paraId="12C71C86" w14:textId="6DA094AD" w:rsidR="00A444B0" w:rsidRPr="00FE42A8" w:rsidRDefault="00F64D14" w:rsidP="00AA3BA3">
      <w:pPr>
        <w:rPr>
          <w:sz w:val="24"/>
          <w:szCs w:val="24"/>
        </w:rPr>
      </w:pPr>
      <w:r w:rsidRPr="00FE42A8">
        <w:rPr>
          <w:sz w:val="24"/>
          <w:szCs w:val="24"/>
        </w:rPr>
        <w:t>As outlined above, many</w:t>
      </w:r>
      <w:r w:rsidR="00A444B0" w:rsidRPr="00FE42A8">
        <w:rPr>
          <w:sz w:val="24"/>
          <w:szCs w:val="24"/>
        </w:rPr>
        <w:t xml:space="preserve"> other jurisdictions have introduced FOGO services, </w:t>
      </w:r>
      <w:r w:rsidRPr="00FE42A8">
        <w:rPr>
          <w:sz w:val="24"/>
          <w:szCs w:val="24"/>
        </w:rPr>
        <w:t>consistent</w:t>
      </w:r>
      <w:r w:rsidR="00A444B0" w:rsidRPr="00FE42A8">
        <w:rPr>
          <w:sz w:val="24"/>
          <w:szCs w:val="24"/>
        </w:rPr>
        <w:t xml:space="preserve"> with national commitments to reduce food and organic waste in landfills</w:t>
      </w:r>
      <w:r w:rsidRPr="00FE42A8">
        <w:rPr>
          <w:sz w:val="24"/>
          <w:szCs w:val="24"/>
        </w:rPr>
        <w:t xml:space="preserve"> and to support local economies and priorities</w:t>
      </w:r>
      <w:r w:rsidR="00A444B0" w:rsidRPr="00FE42A8">
        <w:rPr>
          <w:sz w:val="24"/>
          <w:szCs w:val="24"/>
        </w:rPr>
        <w:t xml:space="preserve">. The Commonwealth Government is progressing a funding program to support new FOGO services across Australia and the Territory may seek to participate in the program through its FOGO initiatives. </w:t>
      </w:r>
    </w:p>
    <w:p w14:paraId="53817A27" w14:textId="0C6A9033" w:rsidR="00A444B0" w:rsidRPr="00FE42A8" w:rsidRDefault="00AA3BA3" w:rsidP="00AA3BA3">
      <w:pPr>
        <w:rPr>
          <w:sz w:val="24"/>
          <w:szCs w:val="24"/>
        </w:rPr>
      </w:pPr>
      <w:r w:rsidRPr="00FE42A8">
        <w:rPr>
          <w:sz w:val="24"/>
          <w:szCs w:val="24"/>
        </w:rPr>
        <w:t xml:space="preserve">In other jurisdictions, </w:t>
      </w:r>
      <w:r w:rsidR="00A444B0" w:rsidRPr="00FE42A8">
        <w:rPr>
          <w:sz w:val="24"/>
          <w:szCs w:val="24"/>
        </w:rPr>
        <w:t xml:space="preserve">waste legislation is enacted by state governments while </w:t>
      </w:r>
      <w:r w:rsidRPr="00FE42A8">
        <w:rPr>
          <w:sz w:val="24"/>
          <w:szCs w:val="24"/>
        </w:rPr>
        <w:t>waste services are delivered by local governments</w:t>
      </w:r>
      <w:r w:rsidR="00983FCE" w:rsidRPr="00FE42A8">
        <w:rPr>
          <w:sz w:val="24"/>
          <w:szCs w:val="24"/>
        </w:rPr>
        <w:t xml:space="preserve">. </w:t>
      </w:r>
      <w:r w:rsidR="00A444B0" w:rsidRPr="00FE42A8">
        <w:rPr>
          <w:sz w:val="24"/>
          <w:szCs w:val="24"/>
        </w:rPr>
        <w:t>Where needed, s</w:t>
      </w:r>
      <w:r w:rsidR="00983FCE" w:rsidRPr="00FE42A8">
        <w:rPr>
          <w:sz w:val="24"/>
          <w:szCs w:val="24"/>
        </w:rPr>
        <w:t>tate governments have provided regulatory capacity for local governments to use green bins for FOGO services</w:t>
      </w:r>
      <w:r w:rsidRPr="00FE42A8">
        <w:rPr>
          <w:sz w:val="24"/>
          <w:szCs w:val="24"/>
        </w:rPr>
        <w:t>.</w:t>
      </w:r>
      <w:r w:rsidR="00A444B0" w:rsidRPr="00FE42A8">
        <w:rPr>
          <w:sz w:val="24"/>
          <w:szCs w:val="24"/>
        </w:rPr>
        <w:t xml:space="preserve"> </w:t>
      </w:r>
      <w:r w:rsidR="00B7207E">
        <w:rPr>
          <w:sz w:val="24"/>
          <w:szCs w:val="24"/>
        </w:rPr>
        <w:t>For</w:t>
      </w:r>
      <w:r w:rsidR="00A84D51" w:rsidRPr="00FE42A8">
        <w:rPr>
          <w:sz w:val="24"/>
          <w:szCs w:val="24"/>
        </w:rPr>
        <w:t xml:space="preserve"> example, some jurisdictions have required regulatory changes to enable </w:t>
      </w:r>
      <w:r w:rsidR="00B7207E">
        <w:rPr>
          <w:sz w:val="24"/>
          <w:szCs w:val="24"/>
        </w:rPr>
        <w:t xml:space="preserve">changes in </w:t>
      </w:r>
      <w:r w:rsidR="00A444B0" w:rsidRPr="00FE42A8">
        <w:rPr>
          <w:sz w:val="24"/>
          <w:szCs w:val="24"/>
        </w:rPr>
        <w:t xml:space="preserve">service frequency for </w:t>
      </w:r>
      <w:r w:rsidR="00B7207E">
        <w:rPr>
          <w:sz w:val="24"/>
          <w:szCs w:val="24"/>
        </w:rPr>
        <w:t xml:space="preserve">their collections </w:t>
      </w:r>
      <w:r w:rsidR="00A444B0" w:rsidRPr="00FE42A8">
        <w:rPr>
          <w:sz w:val="24"/>
          <w:szCs w:val="24"/>
        </w:rPr>
        <w:t xml:space="preserve">so that red bins shift to fortnightly and green bins to weekly. This </w:t>
      </w:r>
      <w:r w:rsidR="00A84D51" w:rsidRPr="00FE42A8">
        <w:rPr>
          <w:sz w:val="24"/>
          <w:szCs w:val="24"/>
        </w:rPr>
        <w:t xml:space="preserve">type of </w:t>
      </w:r>
      <w:r w:rsidR="00B65F68">
        <w:rPr>
          <w:sz w:val="24"/>
          <w:szCs w:val="24"/>
        </w:rPr>
        <w:t xml:space="preserve">regulatory </w:t>
      </w:r>
      <w:r w:rsidR="00A84D51" w:rsidRPr="00FE42A8">
        <w:rPr>
          <w:sz w:val="24"/>
          <w:szCs w:val="24"/>
        </w:rPr>
        <w:t>change is</w:t>
      </w:r>
      <w:r w:rsidR="00A444B0" w:rsidRPr="00FE42A8">
        <w:rPr>
          <w:sz w:val="24"/>
          <w:szCs w:val="24"/>
        </w:rPr>
        <w:t xml:space="preserve"> not needed for the ACT as service frequency is not regulated. </w:t>
      </w:r>
    </w:p>
    <w:p w14:paraId="0A191E46" w14:textId="43297127" w:rsidR="00E16786" w:rsidRPr="00FE42A8" w:rsidRDefault="007B2183" w:rsidP="00AA3BA3">
      <w:pPr>
        <w:rPr>
          <w:sz w:val="24"/>
          <w:szCs w:val="24"/>
        </w:rPr>
      </w:pPr>
      <w:r w:rsidRPr="00FE42A8">
        <w:rPr>
          <w:sz w:val="24"/>
          <w:szCs w:val="24"/>
        </w:rPr>
        <w:t>Most jurisdictions with successful FOGO services and low contamination have focused on quality communications</w:t>
      </w:r>
      <w:r w:rsidR="00B7207E">
        <w:rPr>
          <w:sz w:val="24"/>
          <w:szCs w:val="24"/>
        </w:rPr>
        <w:t xml:space="preserve"> and engagement</w:t>
      </w:r>
      <w:r w:rsidRPr="00FE42A8">
        <w:rPr>
          <w:sz w:val="24"/>
          <w:szCs w:val="24"/>
        </w:rPr>
        <w:t xml:space="preserve"> to </w:t>
      </w:r>
      <w:r w:rsidR="00B7207E">
        <w:rPr>
          <w:sz w:val="24"/>
          <w:szCs w:val="24"/>
        </w:rPr>
        <w:t>clarify</w:t>
      </w:r>
      <w:r w:rsidRPr="00FE42A8">
        <w:rPr>
          <w:sz w:val="24"/>
          <w:szCs w:val="24"/>
        </w:rPr>
        <w:t xml:space="preserve"> requirements ahead of </w:t>
      </w:r>
      <w:r w:rsidR="00E16786" w:rsidRPr="00FE42A8">
        <w:rPr>
          <w:sz w:val="24"/>
          <w:szCs w:val="24"/>
        </w:rPr>
        <w:t xml:space="preserve">service introduction. Most have provided every participating household with a kitchen caddy and </w:t>
      </w:r>
      <w:r w:rsidR="001C20B1">
        <w:rPr>
          <w:sz w:val="24"/>
          <w:szCs w:val="24"/>
        </w:rPr>
        <w:t>an annual supply of</w:t>
      </w:r>
      <w:r w:rsidR="00E16786" w:rsidRPr="00FE42A8">
        <w:rPr>
          <w:sz w:val="24"/>
          <w:szCs w:val="24"/>
        </w:rPr>
        <w:t xml:space="preserve"> compostable caddy liners. Some</w:t>
      </w:r>
      <w:r w:rsidR="001C20B1">
        <w:rPr>
          <w:sz w:val="24"/>
          <w:szCs w:val="24"/>
        </w:rPr>
        <w:t xml:space="preserve"> jurisdictions</w:t>
      </w:r>
      <w:r w:rsidR="00E16786" w:rsidRPr="00FE42A8">
        <w:rPr>
          <w:sz w:val="24"/>
          <w:szCs w:val="24"/>
        </w:rPr>
        <w:t xml:space="preserve"> have continued to provide </w:t>
      </w:r>
      <w:r w:rsidR="001C20B1">
        <w:rPr>
          <w:sz w:val="24"/>
          <w:szCs w:val="24"/>
        </w:rPr>
        <w:t xml:space="preserve">an annual supply of </w:t>
      </w:r>
      <w:r w:rsidR="00E16786" w:rsidRPr="00FE42A8">
        <w:rPr>
          <w:sz w:val="24"/>
          <w:szCs w:val="24"/>
        </w:rPr>
        <w:t>caddy liners</w:t>
      </w:r>
      <w:r w:rsidR="001C20B1">
        <w:rPr>
          <w:sz w:val="24"/>
          <w:szCs w:val="24"/>
        </w:rPr>
        <w:t xml:space="preserve"> to</w:t>
      </w:r>
      <w:r w:rsidR="00E16786" w:rsidRPr="00FE42A8">
        <w:rPr>
          <w:sz w:val="24"/>
          <w:szCs w:val="24"/>
        </w:rPr>
        <w:t xml:space="preserve"> householders to</w:t>
      </w:r>
      <w:r w:rsidR="001C20B1">
        <w:rPr>
          <w:sz w:val="24"/>
          <w:szCs w:val="24"/>
        </w:rPr>
        <w:t xml:space="preserve"> encourage and support the</w:t>
      </w:r>
      <w:r w:rsidR="00E16786" w:rsidRPr="00FE42A8">
        <w:rPr>
          <w:sz w:val="24"/>
          <w:szCs w:val="24"/>
        </w:rPr>
        <w:t xml:space="preserve"> use compostable bin liners and minimise odour and other potential nuisance issues that may be associated with green bins. </w:t>
      </w:r>
      <w:r w:rsidR="00521314" w:rsidRPr="00FE42A8">
        <w:rPr>
          <w:sz w:val="24"/>
          <w:szCs w:val="24"/>
        </w:rPr>
        <w:t xml:space="preserve"> </w:t>
      </w:r>
    </w:p>
    <w:p w14:paraId="3BEBF322" w14:textId="5AF838DD" w:rsidR="00521314" w:rsidRPr="00FE42A8" w:rsidRDefault="00521314" w:rsidP="00521314">
      <w:pPr>
        <w:rPr>
          <w:sz w:val="24"/>
          <w:szCs w:val="24"/>
        </w:rPr>
      </w:pPr>
      <w:r w:rsidRPr="00FE42A8">
        <w:rPr>
          <w:sz w:val="24"/>
          <w:szCs w:val="24"/>
        </w:rPr>
        <w:t>The ACT FOGO proposal is consistent with th</w:t>
      </w:r>
      <w:r w:rsidR="001C20B1">
        <w:rPr>
          <w:sz w:val="24"/>
          <w:szCs w:val="24"/>
        </w:rPr>
        <w:t>ese approaches</w:t>
      </w:r>
      <w:r w:rsidRPr="00FE42A8">
        <w:rPr>
          <w:sz w:val="24"/>
          <w:szCs w:val="24"/>
        </w:rPr>
        <w:t xml:space="preserve"> in that marketing, communication and education activities are proposed for both the pilot and the whole-of-Canberra roll-out</w:t>
      </w:r>
      <w:r w:rsidR="001C20B1">
        <w:rPr>
          <w:sz w:val="24"/>
          <w:szCs w:val="24"/>
        </w:rPr>
        <w:t xml:space="preserve"> </w:t>
      </w:r>
      <w:r w:rsidRPr="00FE42A8">
        <w:rPr>
          <w:sz w:val="24"/>
          <w:szCs w:val="24"/>
        </w:rPr>
        <w:t xml:space="preserve">to maximise community understanding and appropriate behaviours. </w:t>
      </w:r>
    </w:p>
    <w:p w14:paraId="74C2D743" w14:textId="787DAD6A" w:rsidR="00521314" w:rsidRPr="00FE42A8" w:rsidRDefault="001C20B1" w:rsidP="00521314">
      <w:pPr>
        <w:rPr>
          <w:sz w:val="24"/>
          <w:szCs w:val="24"/>
        </w:rPr>
      </w:pPr>
      <w:r>
        <w:rPr>
          <w:sz w:val="24"/>
          <w:szCs w:val="24"/>
        </w:rPr>
        <w:t>In early 2021, t</w:t>
      </w:r>
      <w:r w:rsidR="00521314" w:rsidRPr="00FE42A8">
        <w:rPr>
          <w:sz w:val="24"/>
          <w:szCs w:val="24"/>
        </w:rPr>
        <w:t xml:space="preserve">he ACT raised the issue of offence provisions </w:t>
      </w:r>
      <w:r w:rsidRPr="00FE42A8">
        <w:rPr>
          <w:sz w:val="24"/>
          <w:szCs w:val="24"/>
        </w:rPr>
        <w:t xml:space="preserve">during a National Waste Working Group meeting </w:t>
      </w:r>
      <w:r w:rsidR="00521314" w:rsidRPr="00FE42A8">
        <w:rPr>
          <w:sz w:val="24"/>
          <w:szCs w:val="24"/>
        </w:rPr>
        <w:t>to prevent contamination of FOGO services with other state government jurisdictions</w:t>
      </w:r>
      <w:r>
        <w:rPr>
          <w:sz w:val="24"/>
          <w:szCs w:val="24"/>
        </w:rPr>
        <w:t>.</w:t>
      </w:r>
      <w:r w:rsidR="00521314" w:rsidRPr="00FE42A8">
        <w:rPr>
          <w:sz w:val="24"/>
          <w:szCs w:val="24"/>
        </w:rPr>
        <w:t xml:space="preserve"> </w:t>
      </w:r>
      <w:r>
        <w:rPr>
          <w:sz w:val="24"/>
          <w:szCs w:val="24"/>
        </w:rPr>
        <w:t>Advice was sought</w:t>
      </w:r>
      <w:r w:rsidR="00521314" w:rsidRPr="00FE42A8">
        <w:rPr>
          <w:sz w:val="24"/>
          <w:szCs w:val="24"/>
        </w:rPr>
        <w:t xml:space="preserve"> on whether jurisdictions </w:t>
      </w:r>
      <w:r w:rsidR="00EE52B7" w:rsidRPr="00FE42A8">
        <w:rPr>
          <w:sz w:val="24"/>
          <w:szCs w:val="24"/>
        </w:rPr>
        <w:t>recommend</w:t>
      </w:r>
      <w:r>
        <w:rPr>
          <w:sz w:val="24"/>
          <w:szCs w:val="24"/>
        </w:rPr>
        <w:t>ed</w:t>
      </w:r>
      <w:r w:rsidR="00EE52B7" w:rsidRPr="00FE42A8">
        <w:rPr>
          <w:sz w:val="24"/>
          <w:szCs w:val="24"/>
        </w:rPr>
        <w:t xml:space="preserve"> that</w:t>
      </w:r>
      <w:r w:rsidR="00521314" w:rsidRPr="00FE42A8">
        <w:rPr>
          <w:sz w:val="24"/>
          <w:szCs w:val="24"/>
        </w:rPr>
        <w:t xml:space="preserve"> regulatory </w:t>
      </w:r>
      <w:r w:rsidR="00EE52B7" w:rsidRPr="00FE42A8">
        <w:rPr>
          <w:sz w:val="24"/>
          <w:szCs w:val="24"/>
        </w:rPr>
        <w:t>offences be available</w:t>
      </w:r>
      <w:r w:rsidR="00521314" w:rsidRPr="00FE42A8">
        <w:rPr>
          <w:sz w:val="24"/>
          <w:szCs w:val="24"/>
        </w:rPr>
        <w:t xml:space="preserve"> to prevent contamination. A clear consensus was that </w:t>
      </w:r>
      <w:r w:rsidR="00EE52B7" w:rsidRPr="00FE42A8">
        <w:rPr>
          <w:sz w:val="24"/>
          <w:szCs w:val="24"/>
        </w:rPr>
        <w:t>offence</w:t>
      </w:r>
      <w:r w:rsidR="00521314" w:rsidRPr="00FE42A8">
        <w:rPr>
          <w:sz w:val="24"/>
          <w:szCs w:val="24"/>
        </w:rPr>
        <w:t xml:space="preserve"> provisions are essential to preventing contamination and supporting a cost-effective FOGO roll-out. </w:t>
      </w:r>
      <w:r>
        <w:rPr>
          <w:sz w:val="24"/>
          <w:szCs w:val="24"/>
        </w:rPr>
        <w:t xml:space="preserve">  </w:t>
      </w:r>
    </w:p>
    <w:p w14:paraId="02BF6C67" w14:textId="5886D447" w:rsidR="00C11146" w:rsidRDefault="007C4762" w:rsidP="00521314">
      <w:r w:rsidRPr="00FE42A8">
        <w:rPr>
          <w:sz w:val="24"/>
          <w:szCs w:val="24"/>
        </w:rPr>
        <w:t xml:space="preserve">Taking account of the considerations above, </w:t>
      </w:r>
      <w:r w:rsidR="00C11146" w:rsidRPr="00FE42A8">
        <w:rPr>
          <w:sz w:val="24"/>
          <w:szCs w:val="24"/>
        </w:rPr>
        <w:t xml:space="preserve">the offence provisions </w:t>
      </w:r>
      <w:r w:rsidRPr="00FE42A8">
        <w:rPr>
          <w:sz w:val="24"/>
          <w:szCs w:val="24"/>
        </w:rPr>
        <w:t>applying to the</w:t>
      </w:r>
      <w:r w:rsidR="00EE52B7" w:rsidRPr="00FE42A8">
        <w:rPr>
          <w:sz w:val="24"/>
          <w:szCs w:val="24"/>
        </w:rPr>
        <w:t xml:space="preserve"> improper use of the green bins </w:t>
      </w:r>
      <w:r w:rsidR="00C11146" w:rsidRPr="00FE42A8">
        <w:rPr>
          <w:sz w:val="24"/>
          <w:szCs w:val="24"/>
        </w:rPr>
        <w:t xml:space="preserve">are included </w:t>
      </w:r>
      <w:r w:rsidR="00EE52B7" w:rsidRPr="00FE42A8">
        <w:rPr>
          <w:sz w:val="24"/>
          <w:szCs w:val="24"/>
        </w:rPr>
        <w:t>in the Amendment Regulation</w:t>
      </w:r>
      <w:r w:rsidRPr="00FE42A8">
        <w:rPr>
          <w:sz w:val="24"/>
          <w:szCs w:val="24"/>
        </w:rPr>
        <w:t xml:space="preserve">. </w:t>
      </w:r>
      <w:r w:rsidR="001C20B1">
        <w:rPr>
          <w:sz w:val="24"/>
          <w:szCs w:val="24"/>
        </w:rPr>
        <w:t>T</w:t>
      </w:r>
      <w:r w:rsidR="00C11146" w:rsidRPr="00FE42A8">
        <w:rPr>
          <w:sz w:val="24"/>
          <w:szCs w:val="24"/>
        </w:rPr>
        <w:t xml:space="preserve">he </w:t>
      </w:r>
      <w:r w:rsidRPr="00FE42A8">
        <w:rPr>
          <w:sz w:val="24"/>
          <w:szCs w:val="24"/>
        </w:rPr>
        <w:t xml:space="preserve">policy </w:t>
      </w:r>
      <w:r w:rsidR="00C11146" w:rsidRPr="00FE42A8">
        <w:rPr>
          <w:sz w:val="24"/>
          <w:szCs w:val="24"/>
        </w:rPr>
        <w:t>intention is not to make extensive use of these provisions, or to seek additional resources to undertake significant additional enforcement actions</w:t>
      </w:r>
      <w:r w:rsidR="001C20B1">
        <w:rPr>
          <w:sz w:val="24"/>
          <w:szCs w:val="24"/>
        </w:rPr>
        <w:t xml:space="preserve">. The </w:t>
      </w:r>
      <w:r w:rsidR="00C11146" w:rsidRPr="00FE42A8">
        <w:rPr>
          <w:sz w:val="24"/>
          <w:szCs w:val="24"/>
        </w:rPr>
        <w:t xml:space="preserve">proposal is to make use of recording devices on FOGO collection trucks to identify any major, repeated instances of contamination and to follow these up with targeted communication and education materials. </w:t>
      </w:r>
      <w:r w:rsidR="009B18CE">
        <w:rPr>
          <w:sz w:val="24"/>
          <w:szCs w:val="24"/>
        </w:rPr>
        <w:t xml:space="preserve">Other options include random inspections of FOGO bins presented at the kerbside for collection. Bin tagging has been used to good effect for green bins contributing to low contamination levels. </w:t>
      </w:r>
      <w:r w:rsidR="00C11146" w:rsidRPr="00FE42A8">
        <w:rPr>
          <w:sz w:val="24"/>
          <w:szCs w:val="24"/>
        </w:rPr>
        <w:t xml:space="preserve">Enforcement action would be intended as a last resort option in rare cases where </w:t>
      </w:r>
      <w:r w:rsidR="001C20B1">
        <w:rPr>
          <w:sz w:val="24"/>
          <w:szCs w:val="24"/>
        </w:rPr>
        <w:t>other</w:t>
      </w:r>
      <w:r w:rsidR="00C11146" w:rsidRPr="00FE42A8">
        <w:rPr>
          <w:sz w:val="24"/>
          <w:szCs w:val="24"/>
        </w:rPr>
        <w:t xml:space="preserve"> approaches were unsuccessful in preventing contamination. </w:t>
      </w:r>
    </w:p>
    <w:p w14:paraId="22DD6F09" w14:textId="6CE5073E" w:rsidR="005C26B0" w:rsidRDefault="00DC1B47" w:rsidP="00EE52B7">
      <w:pPr>
        <w:pStyle w:val="Heading2"/>
      </w:pPr>
      <w:bookmarkStart w:id="46" w:name="_Toc78374687"/>
      <w:bookmarkStart w:id="47" w:name="_Toc79490197"/>
      <w:r>
        <w:lastRenderedPageBreak/>
        <w:t>7</w:t>
      </w:r>
      <w:r w:rsidR="00127724">
        <w:t>.4</w:t>
      </w:r>
      <w:r w:rsidR="005C26B0">
        <w:t xml:space="preserve"> Options</w:t>
      </w:r>
      <w:bookmarkEnd w:id="46"/>
      <w:bookmarkEnd w:id="47"/>
      <w:r w:rsidR="00127724">
        <w:t xml:space="preserve"> </w:t>
      </w:r>
    </w:p>
    <w:p w14:paraId="3E4593CA" w14:textId="52FEDC6D" w:rsidR="00D070DA" w:rsidRPr="00FE42A8" w:rsidRDefault="00476607" w:rsidP="00AA3BA3">
      <w:pPr>
        <w:rPr>
          <w:sz w:val="24"/>
          <w:szCs w:val="24"/>
        </w:rPr>
      </w:pPr>
      <w:r w:rsidRPr="00FE42A8">
        <w:rPr>
          <w:sz w:val="24"/>
          <w:szCs w:val="24"/>
        </w:rPr>
        <w:t xml:space="preserve">The </w:t>
      </w:r>
      <w:r w:rsidR="00D070DA" w:rsidRPr="00FE42A8">
        <w:rPr>
          <w:sz w:val="24"/>
          <w:szCs w:val="24"/>
        </w:rPr>
        <w:t xml:space="preserve">recommended option </w:t>
      </w:r>
      <w:r w:rsidR="0041065E" w:rsidRPr="00FE42A8">
        <w:rPr>
          <w:sz w:val="24"/>
          <w:szCs w:val="24"/>
        </w:rPr>
        <w:t>for the Amendment</w:t>
      </w:r>
      <w:r w:rsidR="00D070DA" w:rsidRPr="00FE42A8">
        <w:rPr>
          <w:sz w:val="24"/>
          <w:szCs w:val="24"/>
        </w:rPr>
        <w:t xml:space="preserve"> Regulation </w:t>
      </w:r>
      <w:r w:rsidR="009501A6" w:rsidRPr="00FE42A8">
        <w:rPr>
          <w:sz w:val="24"/>
          <w:szCs w:val="24"/>
        </w:rPr>
        <w:t xml:space="preserve">is </w:t>
      </w:r>
      <w:r w:rsidR="00D070DA" w:rsidRPr="00FE42A8">
        <w:rPr>
          <w:sz w:val="24"/>
          <w:szCs w:val="24"/>
        </w:rPr>
        <w:t xml:space="preserve">to enable the waste manager to define compostable waste, and to specify addresses within the ACT which may place those wastes in a green bin by notifiable instrument. </w:t>
      </w:r>
      <w:r w:rsidR="001C20B1">
        <w:rPr>
          <w:sz w:val="24"/>
          <w:szCs w:val="24"/>
        </w:rPr>
        <w:t xml:space="preserve">This option also allows for the </w:t>
      </w:r>
      <w:r w:rsidR="00D070DA" w:rsidRPr="00FE42A8">
        <w:rPr>
          <w:sz w:val="24"/>
          <w:szCs w:val="24"/>
        </w:rPr>
        <w:t>exten</w:t>
      </w:r>
      <w:r w:rsidR="001C20B1">
        <w:rPr>
          <w:sz w:val="24"/>
          <w:szCs w:val="24"/>
        </w:rPr>
        <w:t xml:space="preserve">sion of </w:t>
      </w:r>
      <w:r w:rsidR="00D070DA" w:rsidRPr="00FE42A8">
        <w:rPr>
          <w:sz w:val="24"/>
          <w:szCs w:val="24"/>
        </w:rPr>
        <w:t xml:space="preserve">existing contamination offences so that they may be used to </w:t>
      </w:r>
      <w:r w:rsidR="0041065E" w:rsidRPr="00FE42A8">
        <w:rPr>
          <w:sz w:val="24"/>
          <w:szCs w:val="24"/>
        </w:rPr>
        <w:t>respond to and prevent</w:t>
      </w:r>
      <w:r w:rsidR="00D070DA" w:rsidRPr="00FE42A8">
        <w:rPr>
          <w:sz w:val="24"/>
          <w:szCs w:val="24"/>
        </w:rPr>
        <w:t xml:space="preserve"> FOGO contamination</w:t>
      </w:r>
      <w:r w:rsidR="0041065E" w:rsidRPr="00FE42A8">
        <w:rPr>
          <w:sz w:val="24"/>
          <w:szCs w:val="24"/>
        </w:rPr>
        <w:t xml:space="preserve">. The proposed offences are a simple extension of existing </w:t>
      </w:r>
      <w:r w:rsidR="009501A6" w:rsidRPr="00FE42A8">
        <w:rPr>
          <w:sz w:val="24"/>
          <w:szCs w:val="24"/>
        </w:rPr>
        <w:t xml:space="preserve">strict liability offence </w:t>
      </w:r>
      <w:r w:rsidR="0041065E" w:rsidRPr="00FE42A8">
        <w:rPr>
          <w:sz w:val="24"/>
          <w:szCs w:val="24"/>
        </w:rPr>
        <w:t>provisions</w:t>
      </w:r>
      <w:r w:rsidR="00D070DA" w:rsidRPr="00FE42A8">
        <w:rPr>
          <w:sz w:val="24"/>
          <w:szCs w:val="24"/>
        </w:rPr>
        <w:t xml:space="preserve"> </w:t>
      </w:r>
      <w:r w:rsidR="0041065E" w:rsidRPr="00FE42A8">
        <w:rPr>
          <w:sz w:val="24"/>
          <w:szCs w:val="24"/>
        </w:rPr>
        <w:t xml:space="preserve">designed </w:t>
      </w:r>
      <w:r w:rsidR="00D070DA" w:rsidRPr="00FE42A8">
        <w:rPr>
          <w:sz w:val="24"/>
          <w:szCs w:val="24"/>
        </w:rPr>
        <w:t xml:space="preserve">to </w:t>
      </w:r>
      <w:r w:rsidR="0041065E" w:rsidRPr="00FE42A8">
        <w:rPr>
          <w:sz w:val="24"/>
          <w:szCs w:val="24"/>
        </w:rPr>
        <w:t xml:space="preserve">prevent </w:t>
      </w:r>
      <w:r w:rsidR="00D070DA" w:rsidRPr="00FE42A8">
        <w:rPr>
          <w:sz w:val="24"/>
          <w:szCs w:val="24"/>
        </w:rPr>
        <w:t xml:space="preserve">contamination of other recyclable waste streams. </w:t>
      </w:r>
    </w:p>
    <w:p w14:paraId="207BABDC" w14:textId="4C6ABDA4" w:rsidR="005A325E" w:rsidRPr="00FE42A8" w:rsidRDefault="00AA011F" w:rsidP="00AA3BA3">
      <w:pPr>
        <w:rPr>
          <w:sz w:val="24"/>
          <w:szCs w:val="24"/>
        </w:rPr>
      </w:pPr>
      <w:r w:rsidRPr="00FE42A8">
        <w:rPr>
          <w:sz w:val="24"/>
          <w:szCs w:val="24"/>
        </w:rPr>
        <w:t>An</w:t>
      </w:r>
      <w:r w:rsidR="005A325E" w:rsidRPr="00FE42A8">
        <w:rPr>
          <w:sz w:val="24"/>
          <w:szCs w:val="24"/>
        </w:rPr>
        <w:t xml:space="preserve"> alternative option </w:t>
      </w:r>
      <w:r w:rsidR="009501A6" w:rsidRPr="00FE42A8">
        <w:rPr>
          <w:sz w:val="24"/>
          <w:szCs w:val="24"/>
        </w:rPr>
        <w:t>would be</w:t>
      </w:r>
      <w:r w:rsidRPr="00FE42A8">
        <w:rPr>
          <w:sz w:val="24"/>
          <w:szCs w:val="24"/>
        </w:rPr>
        <w:t xml:space="preserve"> </w:t>
      </w:r>
      <w:r w:rsidR="005A325E" w:rsidRPr="00FE42A8">
        <w:rPr>
          <w:sz w:val="24"/>
          <w:szCs w:val="24"/>
        </w:rPr>
        <w:t xml:space="preserve">to </w:t>
      </w:r>
      <w:r w:rsidRPr="00FE42A8">
        <w:rPr>
          <w:sz w:val="24"/>
          <w:szCs w:val="24"/>
        </w:rPr>
        <w:t>specify</w:t>
      </w:r>
      <w:r w:rsidR="005A325E" w:rsidRPr="00FE42A8">
        <w:rPr>
          <w:sz w:val="24"/>
          <w:szCs w:val="24"/>
        </w:rPr>
        <w:t xml:space="preserve"> compostable materials and </w:t>
      </w:r>
      <w:r w:rsidR="009501A6" w:rsidRPr="00FE42A8">
        <w:rPr>
          <w:sz w:val="24"/>
          <w:szCs w:val="24"/>
        </w:rPr>
        <w:t xml:space="preserve">FOGO pilot areas by </w:t>
      </w:r>
      <w:r w:rsidR="005A325E" w:rsidRPr="00FE42A8">
        <w:rPr>
          <w:sz w:val="24"/>
          <w:szCs w:val="24"/>
        </w:rPr>
        <w:t>regulation</w:t>
      </w:r>
      <w:r w:rsidR="009501A6" w:rsidRPr="00FE42A8">
        <w:rPr>
          <w:sz w:val="24"/>
          <w:szCs w:val="24"/>
        </w:rPr>
        <w:t xml:space="preserve"> instead of by notifiable instrument</w:t>
      </w:r>
      <w:r w:rsidR="005A325E" w:rsidRPr="00FE42A8">
        <w:rPr>
          <w:sz w:val="24"/>
          <w:szCs w:val="24"/>
        </w:rPr>
        <w:t xml:space="preserve">. This is not recommended, as </w:t>
      </w:r>
      <w:r w:rsidR="009501A6" w:rsidRPr="00FE42A8">
        <w:rPr>
          <w:sz w:val="24"/>
          <w:szCs w:val="24"/>
        </w:rPr>
        <w:t>it would limit the flexibility for</w:t>
      </w:r>
      <w:r w:rsidR="00C272BF" w:rsidRPr="00FE42A8">
        <w:rPr>
          <w:sz w:val="24"/>
          <w:szCs w:val="24"/>
        </w:rPr>
        <w:t xml:space="preserve"> MUDs to opt in and out</w:t>
      </w:r>
      <w:r w:rsidR="009501A6" w:rsidRPr="00FE42A8">
        <w:rPr>
          <w:sz w:val="24"/>
          <w:szCs w:val="24"/>
        </w:rPr>
        <w:t xml:space="preserve"> as the trial progresses and would also require further regulation changes to transition to the</w:t>
      </w:r>
      <w:r w:rsidR="00C272BF" w:rsidRPr="00FE42A8">
        <w:rPr>
          <w:sz w:val="24"/>
          <w:szCs w:val="24"/>
        </w:rPr>
        <w:t xml:space="preserve"> whole-of-Canberra roll-out. </w:t>
      </w:r>
    </w:p>
    <w:p w14:paraId="6AEF34F2" w14:textId="0E3050B7" w:rsidR="00A444B0" w:rsidRPr="00FE42A8" w:rsidRDefault="009501A6" w:rsidP="00AA3BA3">
      <w:pPr>
        <w:rPr>
          <w:sz w:val="24"/>
          <w:szCs w:val="24"/>
        </w:rPr>
      </w:pPr>
      <w:r w:rsidRPr="00FE42A8">
        <w:rPr>
          <w:sz w:val="24"/>
          <w:szCs w:val="24"/>
        </w:rPr>
        <w:t xml:space="preserve">Consideration was given to not extending the existing strict liability offences to FOGO contamination. </w:t>
      </w:r>
      <w:r w:rsidR="00C272BF" w:rsidRPr="00FE42A8">
        <w:rPr>
          <w:sz w:val="24"/>
          <w:szCs w:val="24"/>
        </w:rPr>
        <w:t>This</w:t>
      </w:r>
      <w:r w:rsidRPr="00FE42A8">
        <w:rPr>
          <w:sz w:val="24"/>
          <w:szCs w:val="24"/>
        </w:rPr>
        <w:t xml:space="preserve"> is not recommended as</w:t>
      </w:r>
      <w:r w:rsidR="00C272BF" w:rsidRPr="00FE42A8">
        <w:rPr>
          <w:sz w:val="24"/>
          <w:szCs w:val="24"/>
        </w:rPr>
        <w:t xml:space="preserve"> </w:t>
      </w:r>
      <w:r w:rsidR="001C20B1">
        <w:rPr>
          <w:sz w:val="24"/>
          <w:szCs w:val="24"/>
        </w:rPr>
        <w:t xml:space="preserve">it </w:t>
      </w:r>
      <w:r w:rsidR="003372F3" w:rsidRPr="00FE42A8">
        <w:rPr>
          <w:sz w:val="24"/>
          <w:szCs w:val="24"/>
        </w:rPr>
        <w:t xml:space="preserve">would mean </w:t>
      </w:r>
      <w:r w:rsidRPr="00FE42A8">
        <w:rPr>
          <w:sz w:val="24"/>
          <w:szCs w:val="24"/>
        </w:rPr>
        <w:t>a reduction in</w:t>
      </w:r>
      <w:r w:rsidR="003372F3" w:rsidRPr="00FE42A8">
        <w:rPr>
          <w:sz w:val="24"/>
          <w:szCs w:val="24"/>
        </w:rPr>
        <w:t xml:space="preserve"> the </w:t>
      </w:r>
      <w:r w:rsidRPr="00FE42A8">
        <w:rPr>
          <w:sz w:val="24"/>
          <w:szCs w:val="24"/>
        </w:rPr>
        <w:t xml:space="preserve">existing </w:t>
      </w:r>
      <w:r w:rsidR="003372F3" w:rsidRPr="00FE42A8">
        <w:rPr>
          <w:sz w:val="24"/>
          <w:szCs w:val="24"/>
        </w:rPr>
        <w:t xml:space="preserve">regulatory controls around the management </w:t>
      </w:r>
      <w:r w:rsidR="002A33B4" w:rsidRPr="00FE42A8">
        <w:rPr>
          <w:sz w:val="24"/>
          <w:szCs w:val="24"/>
        </w:rPr>
        <w:t xml:space="preserve">of </w:t>
      </w:r>
      <w:r w:rsidRPr="00FE42A8">
        <w:rPr>
          <w:sz w:val="24"/>
          <w:szCs w:val="24"/>
        </w:rPr>
        <w:t>green waste</w:t>
      </w:r>
      <w:r w:rsidR="009D7140">
        <w:rPr>
          <w:sz w:val="24"/>
          <w:szCs w:val="24"/>
        </w:rPr>
        <w:t xml:space="preserve">, resulting in </w:t>
      </w:r>
      <w:r w:rsidR="002A33B4" w:rsidRPr="00FE42A8">
        <w:rPr>
          <w:sz w:val="24"/>
          <w:szCs w:val="24"/>
        </w:rPr>
        <w:t xml:space="preserve">FOGO and compostable wastes </w:t>
      </w:r>
      <w:r w:rsidRPr="00FE42A8">
        <w:rPr>
          <w:sz w:val="24"/>
          <w:szCs w:val="24"/>
        </w:rPr>
        <w:t xml:space="preserve">offences </w:t>
      </w:r>
      <w:r w:rsidR="009D7140">
        <w:rPr>
          <w:sz w:val="24"/>
          <w:szCs w:val="24"/>
        </w:rPr>
        <w:t>being</w:t>
      </w:r>
      <w:r w:rsidR="002A33B4" w:rsidRPr="00FE42A8">
        <w:rPr>
          <w:sz w:val="24"/>
          <w:szCs w:val="24"/>
        </w:rPr>
        <w:t xml:space="preserve"> less </w:t>
      </w:r>
      <w:r w:rsidRPr="00FE42A8">
        <w:rPr>
          <w:sz w:val="24"/>
          <w:szCs w:val="24"/>
        </w:rPr>
        <w:t xml:space="preserve">enforceable </w:t>
      </w:r>
      <w:r w:rsidR="002A33B4" w:rsidRPr="00FE42A8">
        <w:rPr>
          <w:sz w:val="24"/>
          <w:szCs w:val="24"/>
        </w:rPr>
        <w:t xml:space="preserve">than those applying to other domestic recycling services. </w:t>
      </w:r>
      <w:r w:rsidRPr="00FE42A8">
        <w:rPr>
          <w:sz w:val="24"/>
          <w:szCs w:val="24"/>
        </w:rPr>
        <w:t>This approach would likely constrain</w:t>
      </w:r>
      <w:r w:rsidR="00EB7AC4" w:rsidRPr="00FE42A8">
        <w:rPr>
          <w:sz w:val="24"/>
          <w:szCs w:val="24"/>
        </w:rPr>
        <w:t xml:space="preserve"> </w:t>
      </w:r>
      <w:r w:rsidRPr="00FE42A8">
        <w:rPr>
          <w:sz w:val="24"/>
          <w:szCs w:val="24"/>
        </w:rPr>
        <w:t xml:space="preserve">the </w:t>
      </w:r>
      <w:r w:rsidR="00EB7AC4" w:rsidRPr="00FE42A8">
        <w:rPr>
          <w:sz w:val="24"/>
          <w:szCs w:val="24"/>
        </w:rPr>
        <w:t xml:space="preserve">success of the FOGO service </w:t>
      </w:r>
      <w:r w:rsidRPr="00FE42A8">
        <w:rPr>
          <w:sz w:val="24"/>
          <w:szCs w:val="24"/>
        </w:rPr>
        <w:t xml:space="preserve">which </w:t>
      </w:r>
      <w:r w:rsidR="00EB7AC4" w:rsidRPr="00FE42A8">
        <w:rPr>
          <w:sz w:val="24"/>
          <w:szCs w:val="24"/>
        </w:rPr>
        <w:t>depend</w:t>
      </w:r>
      <w:r w:rsidR="00E47B8A" w:rsidRPr="00FE42A8">
        <w:rPr>
          <w:sz w:val="24"/>
          <w:szCs w:val="24"/>
        </w:rPr>
        <w:t>s</w:t>
      </w:r>
      <w:r w:rsidR="00EB7AC4" w:rsidRPr="00FE42A8">
        <w:rPr>
          <w:sz w:val="24"/>
          <w:szCs w:val="24"/>
        </w:rPr>
        <w:t xml:space="preserve"> on low contamination rates</w:t>
      </w:r>
      <w:r w:rsidR="009D7140">
        <w:rPr>
          <w:sz w:val="24"/>
          <w:szCs w:val="24"/>
        </w:rPr>
        <w:t>.</w:t>
      </w:r>
      <w:r w:rsidR="00EB7AC4" w:rsidRPr="00FE42A8">
        <w:rPr>
          <w:sz w:val="24"/>
          <w:szCs w:val="24"/>
        </w:rPr>
        <w:t xml:space="preserve"> </w:t>
      </w:r>
      <w:r w:rsidR="009D7140">
        <w:rPr>
          <w:sz w:val="24"/>
          <w:szCs w:val="24"/>
        </w:rPr>
        <w:t xml:space="preserve">Having an </w:t>
      </w:r>
      <w:r w:rsidR="00EB7AC4" w:rsidRPr="00FE42A8">
        <w:rPr>
          <w:sz w:val="24"/>
          <w:szCs w:val="24"/>
        </w:rPr>
        <w:t xml:space="preserve">enforcement option is considered an important </w:t>
      </w:r>
      <w:r w:rsidR="00E47B8A" w:rsidRPr="00FE42A8">
        <w:rPr>
          <w:sz w:val="24"/>
          <w:szCs w:val="24"/>
        </w:rPr>
        <w:t>backup</w:t>
      </w:r>
      <w:r w:rsidR="00EB7AC4" w:rsidRPr="00FE42A8">
        <w:rPr>
          <w:sz w:val="24"/>
          <w:szCs w:val="24"/>
        </w:rPr>
        <w:t xml:space="preserve"> mechanism to reinforce and support the </w:t>
      </w:r>
      <w:r w:rsidR="000C3FB9" w:rsidRPr="00FE42A8">
        <w:rPr>
          <w:sz w:val="24"/>
          <w:szCs w:val="24"/>
        </w:rPr>
        <w:t xml:space="preserve">proposed education and communication campaign. </w:t>
      </w:r>
    </w:p>
    <w:p w14:paraId="3CAB94EE" w14:textId="0D7FBF5D" w:rsidR="001C0114" w:rsidRPr="00872DCA" w:rsidRDefault="00130258" w:rsidP="00AA3BA3">
      <w:r w:rsidRPr="00FE42A8">
        <w:rPr>
          <w:sz w:val="24"/>
          <w:szCs w:val="24"/>
        </w:rPr>
        <w:t xml:space="preserve">Another option for preventing contamination </w:t>
      </w:r>
      <w:r w:rsidR="00E47B8A" w:rsidRPr="00FE42A8">
        <w:rPr>
          <w:sz w:val="24"/>
          <w:szCs w:val="24"/>
        </w:rPr>
        <w:t>is</w:t>
      </w:r>
      <w:r w:rsidRPr="00FE42A8">
        <w:rPr>
          <w:sz w:val="24"/>
          <w:szCs w:val="24"/>
        </w:rPr>
        <w:t xml:space="preserve"> to</w:t>
      </w:r>
      <w:r w:rsidR="001C0114" w:rsidRPr="00FE42A8">
        <w:rPr>
          <w:sz w:val="24"/>
          <w:szCs w:val="24"/>
        </w:rPr>
        <w:t xml:space="preserve"> use the </w:t>
      </w:r>
      <w:r w:rsidR="001C0114" w:rsidRPr="00FA4129">
        <w:rPr>
          <w:i/>
          <w:iCs/>
          <w:sz w:val="24"/>
          <w:szCs w:val="24"/>
        </w:rPr>
        <w:t xml:space="preserve">Plastic Reduction Act </w:t>
      </w:r>
      <w:r w:rsidR="00176906" w:rsidRPr="00FA4129">
        <w:rPr>
          <w:i/>
          <w:iCs/>
          <w:sz w:val="24"/>
          <w:szCs w:val="24"/>
        </w:rPr>
        <w:t>2021</w:t>
      </w:r>
      <w:r w:rsidR="00176906" w:rsidRPr="00FE42A8">
        <w:rPr>
          <w:sz w:val="24"/>
          <w:szCs w:val="24"/>
        </w:rPr>
        <w:t xml:space="preserve"> </w:t>
      </w:r>
      <w:r w:rsidR="001C0114" w:rsidRPr="00FE42A8">
        <w:rPr>
          <w:sz w:val="24"/>
          <w:szCs w:val="24"/>
        </w:rPr>
        <w:t>to prevent</w:t>
      </w:r>
      <w:r w:rsidR="00176906" w:rsidRPr="00FE42A8">
        <w:rPr>
          <w:sz w:val="24"/>
          <w:szCs w:val="24"/>
        </w:rPr>
        <w:t xml:space="preserve"> the sale of non-compostable caddy bags within the ACT. </w:t>
      </w:r>
      <w:r w:rsidR="00E47B8A" w:rsidRPr="00FE42A8">
        <w:rPr>
          <w:sz w:val="24"/>
          <w:szCs w:val="24"/>
        </w:rPr>
        <w:t xml:space="preserve">This is expected to be achieved </w:t>
      </w:r>
      <w:r w:rsidR="009D7140">
        <w:rPr>
          <w:sz w:val="24"/>
          <w:szCs w:val="24"/>
        </w:rPr>
        <w:t>with</w:t>
      </w:r>
      <w:r w:rsidR="00E47B8A" w:rsidRPr="00FE42A8">
        <w:rPr>
          <w:sz w:val="24"/>
          <w:szCs w:val="24"/>
        </w:rPr>
        <w:t xml:space="preserve"> the second tranche of items to be phased out by the Act</w:t>
      </w:r>
      <w:r w:rsidR="009D7140">
        <w:rPr>
          <w:sz w:val="24"/>
          <w:szCs w:val="24"/>
        </w:rPr>
        <w:t>. A</w:t>
      </w:r>
      <w:r w:rsidR="00E47B8A" w:rsidRPr="00FE42A8">
        <w:rPr>
          <w:sz w:val="24"/>
          <w:szCs w:val="24"/>
        </w:rPr>
        <w:t xml:space="preserve"> ban on the sale of</w:t>
      </w:r>
      <w:r w:rsidR="009D7140">
        <w:rPr>
          <w:sz w:val="24"/>
          <w:szCs w:val="24"/>
        </w:rPr>
        <w:t xml:space="preserve"> further products will occur from July 2022 including</w:t>
      </w:r>
      <w:r w:rsidR="00E47B8A" w:rsidRPr="00FE42A8">
        <w:rPr>
          <w:sz w:val="24"/>
          <w:szCs w:val="24"/>
        </w:rPr>
        <w:t xml:space="preserve"> single use plastic fruit and vegetable ‘barrier bags’ and products made from </w:t>
      </w:r>
      <w:r w:rsidR="00C208A1" w:rsidRPr="00FE42A8">
        <w:rPr>
          <w:sz w:val="24"/>
          <w:szCs w:val="24"/>
        </w:rPr>
        <w:t>degradable</w:t>
      </w:r>
      <w:r w:rsidR="00E47B8A" w:rsidRPr="00FE42A8">
        <w:rPr>
          <w:sz w:val="24"/>
          <w:szCs w:val="24"/>
        </w:rPr>
        <w:t xml:space="preserve"> plastics which contain additives which enable plastics to be broken down into microplastics which don’t completely decompose</w:t>
      </w:r>
      <w:r w:rsidR="00C447D2" w:rsidRPr="00FE42A8">
        <w:rPr>
          <w:sz w:val="24"/>
          <w:szCs w:val="24"/>
          <w:vertAlign w:val="superscript"/>
        </w:rPr>
        <w:footnoteReference w:id="10"/>
      </w:r>
      <w:r w:rsidR="00F13D02" w:rsidRPr="00FE42A8">
        <w:rPr>
          <w:sz w:val="24"/>
          <w:szCs w:val="24"/>
        </w:rPr>
        <w:t xml:space="preserve">. </w:t>
      </w:r>
    </w:p>
    <w:p w14:paraId="6580F415" w14:textId="2953C5FE" w:rsidR="00AD7549" w:rsidRDefault="00DC1B47" w:rsidP="00EE52B7">
      <w:pPr>
        <w:pStyle w:val="Heading2"/>
      </w:pPr>
      <w:bookmarkStart w:id="48" w:name="_Toc78374688"/>
      <w:bookmarkStart w:id="49" w:name="_Toc79490198"/>
      <w:r>
        <w:t>7</w:t>
      </w:r>
      <w:r w:rsidR="005C26B0">
        <w:t xml:space="preserve">.5 </w:t>
      </w:r>
      <w:r w:rsidR="00AD7549">
        <w:t>Summary of amendments</w:t>
      </w:r>
      <w:bookmarkEnd w:id="48"/>
      <w:bookmarkEnd w:id="49"/>
    </w:p>
    <w:p w14:paraId="166C5D5A" w14:textId="769F1515" w:rsidR="009F728D" w:rsidRPr="00FE42A8" w:rsidRDefault="009F728D" w:rsidP="0089563A">
      <w:pPr>
        <w:rPr>
          <w:sz w:val="24"/>
          <w:szCs w:val="24"/>
        </w:rPr>
      </w:pPr>
      <w:r w:rsidRPr="00FE42A8">
        <w:rPr>
          <w:sz w:val="24"/>
          <w:szCs w:val="24"/>
        </w:rPr>
        <w:t xml:space="preserve">In summary, the FOGO amendments to the Regulation are as follows: </w:t>
      </w:r>
    </w:p>
    <w:p w14:paraId="16EC348E" w14:textId="3C4DDC22" w:rsidR="009F728D" w:rsidRDefault="009F728D" w:rsidP="00FE42A8">
      <w:pPr>
        <w:pStyle w:val="ReportList1"/>
      </w:pPr>
      <w:r>
        <w:t xml:space="preserve">The waste manager is provided a new capacity to declare </w:t>
      </w:r>
      <w:r w:rsidR="009D7140">
        <w:t>via a</w:t>
      </w:r>
      <w:r>
        <w:t xml:space="preserve"> notifiable instrument that a stated compostable material to be an organic waste, </w:t>
      </w:r>
    </w:p>
    <w:p w14:paraId="6844E34C" w14:textId="14CBB8D7" w:rsidR="009F728D" w:rsidRDefault="009F728D" w:rsidP="00FE42A8">
      <w:pPr>
        <w:pStyle w:val="ReportList1"/>
      </w:pPr>
      <w:r>
        <w:t xml:space="preserve">That the declaration applies to a stated area for a stated period, and </w:t>
      </w:r>
    </w:p>
    <w:p w14:paraId="667EBEDC" w14:textId="7B05C95D" w:rsidR="009F728D" w:rsidRDefault="009F728D" w:rsidP="00FE42A8">
      <w:pPr>
        <w:pStyle w:val="ReportList1"/>
      </w:pPr>
      <w:r>
        <w:t xml:space="preserve">The existing offence for placing waste in a green container if it is not organic waste is extended to apply also to compostable material. </w:t>
      </w:r>
    </w:p>
    <w:p w14:paraId="6835F9E6" w14:textId="77777777" w:rsidR="00035C8F" w:rsidRDefault="0089563A" w:rsidP="0089563A">
      <w:pPr>
        <w:rPr>
          <w:sz w:val="24"/>
          <w:szCs w:val="24"/>
        </w:rPr>
      </w:pPr>
      <w:r w:rsidRPr="00FE42A8">
        <w:rPr>
          <w:sz w:val="24"/>
          <w:szCs w:val="24"/>
        </w:rPr>
        <w:t>Regarding the reference to standards in the Notifiable Instrument, the proposal is to disapply the requirement to notify the Australian Standards on the register.</w:t>
      </w:r>
      <w:r w:rsidR="00FA4129">
        <w:rPr>
          <w:sz w:val="24"/>
          <w:szCs w:val="24"/>
        </w:rPr>
        <w:t xml:space="preserve"> </w:t>
      </w:r>
      <w:r w:rsidR="00035C8F">
        <w:rPr>
          <w:sz w:val="24"/>
          <w:szCs w:val="24"/>
        </w:rPr>
        <w:t xml:space="preserve">The ACT community will not need to have access to the two standards which are listed in the Instrument because: </w:t>
      </w:r>
    </w:p>
    <w:p w14:paraId="37ABD4DD" w14:textId="77777777" w:rsidR="00035C8F" w:rsidRDefault="00035C8F" w:rsidP="00035C8F">
      <w:pPr>
        <w:pStyle w:val="ReportList1"/>
      </w:pPr>
      <w:r>
        <w:lastRenderedPageBreak/>
        <w:t xml:space="preserve">Households will be provided with compliant, compostable plastic bags for at least the first year of the pilot, and </w:t>
      </w:r>
    </w:p>
    <w:p w14:paraId="18967DA0" w14:textId="417A8031" w:rsidR="0089563A" w:rsidRPr="00FE42A8" w:rsidRDefault="00035C8F" w:rsidP="00035C8F">
      <w:pPr>
        <w:pStyle w:val="ReportList1"/>
      </w:pPr>
      <w:r>
        <w:t xml:space="preserve">The second tranche of the Plastic Reduction Act 2021 </w:t>
      </w:r>
      <w:r w:rsidR="00551021">
        <w:t>is intended to</w:t>
      </w:r>
      <w:r>
        <w:t xml:space="preserve"> be in place by the time households need to buy their own caddy bags, meaning that they will be unable to purchase caddy bags that do not meet the standards</w:t>
      </w:r>
      <w:r w:rsidR="0089563A" w:rsidRPr="00FE42A8">
        <w:t xml:space="preserve">. </w:t>
      </w:r>
    </w:p>
    <w:p w14:paraId="44B08EC8" w14:textId="16F7C665" w:rsidR="00AD7549" w:rsidRDefault="00DC1B47" w:rsidP="00EE52B7">
      <w:pPr>
        <w:pStyle w:val="Heading2"/>
      </w:pPr>
      <w:bookmarkStart w:id="50" w:name="_Toc78374689"/>
      <w:bookmarkStart w:id="51" w:name="_Toc79490199"/>
      <w:r>
        <w:t>7</w:t>
      </w:r>
      <w:r w:rsidR="00AD7549">
        <w:t>.</w:t>
      </w:r>
      <w:r w:rsidR="005C26B0">
        <w:t>6</w:t>
      </w:r>
      <w:r w:rsidR="00AD7549">
        <w:t xml:space="preserve"> </w:t>
      </w:r>
      <w:r w:rsidR="009D7140">
        <w:t>Consideration of h</w:t>
      </w:r>
      <w:r w:rsidR="00AD7549">
        <w:t>uman rights</w:t>
      </w:r>
      <w:bookmarkEnd w:id="50"/>
      <w:bookmarkEnd w:id="51"/>
    </w:p>
    <w:p w14:paraId="1E8F99CF" w14:textId="2A134B93" w:rsidR="001A62E0" w:rsidRDefault="002C7F69" w:rsidP="008743EC">
      <w:r w:rsidRPr="00FE42A8">
        <w:rPr>
          <w:sz w:val="24"/>
          <w:szCs w:val="24"/>
        </w:rPr>
        <w:t xml:space="preserve">Although the issue of collection frequency is outside of the regulatory amendment proposal, it is worth mentioning here as it associated with the introduction of a FOGO service and may have some human rights implications. </w:t>
      </w:r>
      <w:r w:rsidR="003B7CCC" w:rsidRPr="00FE42A8">
        <w:rPr>
          <w:sz w:val="24"/>
          <w:szCs w:val="24"/>
        </w:rPr>
        <w:t xml:space="preserve">Some households may face difficulties </w:t>
      </w:r>
      <w:r w:rsidR="009D7140">
        <w:rPr>
          <w:sz w:val="24"/>
          <w:szCs w:val="24"/>
        </w:rPr>
        <w:t>due to</w:t>
      </w:r>
      <w:r w:rsidR="003B7CCC" w:rsidRPr="00FE42A8">
        <w:rPr>
          <w:sz w:val="24"/>
          <w:szCs w:val="24"/>
        </w:rPr>
        <w:t xml:space="preserve"> the shift in red bin domestic waste services f</w:t>
      </w:r>
      <w:r w:rsidR="009D7140">
        <w:rPr>
          <w:sz w:val="24"/>
          <w:szCs w:val="24"/>
        </w:rPr>
        <w:t>ro</w:t>
      </w:r>
      <w:r w:rsidR="003B7CCC" w:rsidRPr="00FE42A8">
        <w:rPr>
          <w:sz w:val="24"/>
          <w:szCs w:val="24"/>
        </w:rPr>
        <w:t xml:space="preserve">m a weekly to a fortnightly collection. </w:t>
      </w:r>
      <w:r w:rsidR="009D7140">
        <w:rPr>
          <w:sz w:val="24"/>
          <w:szCs w:val="24"/>
        </w:rPr>
        <w:t xml:space="preserve">If they have been </w:t>
      </w:r>
      <w:r w:rsidR="008255EC">
        <w:rPr>
          <w:sz w:val="24"/>
          <w:szCs w:val="24"/>
        </w:rPr>
        <w:t>a</w:t>
      </w:r>
      <w:r w:rsidR="009D7140">
        <w:rPr>
          <w:sz w:val="24"/>
          <w:szCs w:val="24"/>
        </w:rPr>
        <w:t>ffected by the changes</w:t>
      </w:r>
      <w:r w:rsidR="001A62E0" w:rsidRPr="00FE42A8">
        <w:rPr>
          <w:sz w:val="24"/>
          <w:szCs w:val="24"/>
        </w:rPr>
        <w:t>, households can apply for an additional garbage bin to supplement the existing allocation of a 140-litre garbage (red lidded) bin</w:t>
      </w:r>
      <w:r w:rsidR="00632131" w:rsidRPr="00FE42A8">
        <w:rPr>
          <w:sz w:val="24"/>
          <w:szCs w:val="24"/>
        </w:rPr>
        <w:t>. Options are shown in the screen shot below from the ACT government website</w:t>
      </w:r>
      <w:r w:rsidR="00632131" w:rsidRPr="00FE42A8">
        <w:rPr>
          <w:sz w:val="24"/>
          <w:szCs w:val="24"/>
          <w:vertAlign w:val="superscript"/>
        </w:rPr>
        <w:footnoteReference w:id="11"/>
      </w:r>
      <w:r w:rsidR="00CC5B44" w:rsidRPr="00FE42A8">
        <w:rPr>
          <w:sz w:val="24"/>
          <w:szCs w:val="24"/>
        </w:rPr>
        <w:t xml:space="preserve"> and fees are lower than quoted here for concession card holders</w:t>
      </w:r>
      <w:r w:rsidR="00632131" w:rsidRPr="00FE42A8">
        <w:rPr>
          <w:sz w:val="24"/>
          <w:szCs w:val="24"/>
        </w:rPr>
        <w:t>.</w:t>
      </w:r>
      <w:r w:rsidR="0028635A" w:rsidRPr="00FE42A8">
        <w:rPr>
          <w:sz w:val="24"/>
          <w:szCs w:val="24"/>
        </w:rPr>
        <w:t xml:space="preserve"> A delivery fee also applies. The additional </w:t>
      </w:r>
      <w:r w:rsidR="008110EF">
        <w:rPr>
          <w:sz w:val="24"/>
          <w:szCs w:val="24"/>
        </w:rPr>
        <w:t xml:space="preserve">bin </w:t>
      </w:r>
      <w:r w:rsidR="0028635A" w:rsidRPr="00FE42A8">
        <w:rPr>
          <w:sz w:val="24"/>
          <w:szCs w:val="24"/>
        </w:rPr>
        <w:t xml:space="preserve">service also attracts </w:t>
      </w:r>
      <w:r w:rsidR="009D1FC9">
        <w:rPr>
          <w:sz w:val="24"/>
          <w:szCs w:val="24"/>
        </w:rPr>
        <w:t xml:space="preserve">a one-off fee of $220 plus </w:t>
      </w:r>
      <w:r w:rsidR="0028635A" w:rsidRPr="00FE42A8">
        <w:rPr>
          <w:sz w:val="24"/>
          <w:szCs w:val="24"/>
        </w:rPr>
        <w:t>an annual payment of $</w:t>
      </w:r>
      <w:r w:rsidR="009D1FC9">
        <w:rPr>
          <w:sz w:val="24"/>
          <w:szCs w:val="24"/>
        </w:rPr>
        <w:t>116.70</w:t>
      </w:r>
      <w:r w:rsidR="0028635A" w:rsidRPr="00FE42A8">
        <w:rPr>
          <w:sz w:val="24"/>
          <w:szCs w:val="24"/>
        </w:rPr>
        <w:t xml:space="preserve"> per year</w:t>
      </w:r>
      <w:r w:rsidR="009D1FC9">
        <w:rPr>
          <w:sz w:val="24"/>
          <w:szCs w:val="24"/>
        </w:rPr>
        <w:t xml:space="preserve">. </w:t>
      </w:r>
      <w:r w:rsidR="00CC5B44" w:rsidRPr="00FE42A8">
        <w:rPr>
          <w:sz w:val="24"/>
          <w:szCs w:val="24"/>
        </w:rPr>
        <w:t xml:space="preserve">These options will </w:t>
      </w:r>
      <w:r w:rsidR="00331ABD">
        <w:rPr>
          <w:sz w:val="24"/>
          <w:szCs w:val="24"/>
        </w:rPr>
        <w:t xml:space="preserve">mitigate </w:t>
      </w:r>
      <w:r w:rsidR="00CC5B44" w:rsidRPr="00FE42A8">
        <w:rPr>
          <w:sz w:val="24"/>
          <w:szCs w:val="24"/>
        </w:rPr>
        <w:t xml:space="preserve">negative impact from changed service frequency for red bin services. </w:t>
      </w:r>
    </w:p>
    <w:p w14:paraId="60C8B80E" w14:textId="28387C4C" w:rsidR="009C1B69" w:rsidRDefault="009C1B69" w:rsidP="00614687">
      <w:pPr>
        <w:pStyle w:val="Caption"/>
        <w:keepNext/>
      </w:pPr>
      <w:bookmarkStart w:id="52" w:name="_Toc78275043"/>
      <w:r>
        <w:lastRenderedPageBreak/>
        <w:t xml:space="preserve">Figure </w:t>
      </w:r>
      <w:r w:rsidR="000150F9">
        <w:fldChar w:fldCharType="begin"/>
      </w:r>
      <w:r w:rsidR="000150F9">
        <w:instrText xml:space="preserve"> SEQ Figure \* ARABIC </w:instrText>
      </w:r>
      <w:r w:rsidR="000150F9">
        <w:fldChar w:fldCharType="separate"/>
      </w:r>
      <w:r w:rsidR="003D6B52">
        <w:rPr>
          <w:noProof/>
        </w:rPr>
        <w:t>1</w:t>
      </w:r>
      <w:r w:rsidR="000150F9">
        <w:rPr>
          <w:noProof/>
        </w:rPr>
        <w:fldChar w:fldCharType="end"/>
      </w:r>
      <w:r>
        <w:t xml:space="preserve"> Options for replacement bins</w:t>
      </w:r>
      <w:bookmarkEnd w:id="52"/>
    </w:p>
    <w:p w14:paraId="52764CB7" w14:textId="72F0D5FC" w:rsidR="00632131" w:rsidRDefault="00632131" w:rsidP="008743EC">
      <w:r w:rsidRPr="00632131">
        <w:rPr>
          <w:noProof/>
        </w:rPr>
        <w:drawing>
          <wp:inline distT="0" distB="0" distL="0" distR="0" wp14:anchorId="1C4E1A43" wp14:editId="0BA8B0E1">
            <wp:extent cx="5676181" cy="5081269"/>
            <wp:effectExtent l="19050" t="19050" r="2032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5359" cy="5089485"/>
                    </a:xfrm>
                    <a:prstGeom prst="rect">
                      <a:avLst/>
                    </a:prstGeom>
                    <a:ln>
                      <a:solidFill>
                        <a:schemeClr val="accent1"/>
                      </a:solidFill>
                    </a:ln>
                  </pic:spPr>
                </pic:pic>
              </a:graphicData>
            </a:graphic>
          </wp:inline>
        </w:drawing>
      </w:r>
    </w:p>
    <w:p w14:paraId="3EFC145B" w14:textId="77777777" w:rsidR="00632131" w:rsidRDefault="00632131" w:rsidP="008743EC"/>
    <w:p w14:paraId="543F8DF6" w14:textId="78DCFF5D" w:rsidR="00AD7549" w:rsidRDefault="00DC1B47" w:rsidP="00EE52B7">
      <w:pPr>
        <w:pStyle w:val="Heading2"/>
      </w:pPr>
      <w:bookmarkStart w:id="53" w:name="_Toc78374690"/>
      <w:bookmarkStart w:id="54" w:name="_Toc79490200"/>
      <w:r>
        <w:t>7</w:t>
      </w:r>
      <w:r w:rsidR="00AD7549">
        <w:t>.</w:t>
      </w:r>
      <w:r w:rsidR="005C26B0">
        <w:t>7</w:t>
      </w:r>
      <w:r w:rsidR="00AD7549">
        <w:t xml:space="preserve"> Impact </w:t>
      </w:r>
      <w:r w:rsidR="00C248FB">
        <w:t xml:space="preserve">and cost-benefit </w:t>
      </w:r>
      <w:r w:rsidR="00967C9C">
        <w:t>a</w:t>
      </w:r>
      <w:r w:rsidR="00AD7549">
        <w:t>nalysis</w:t>
      </w:r>
      <w:bookmarkEnd w:id="53"/>
      <w:bookmarkEnd w:id="54"/>
    </w:p>
    <w:p w14:paraId="4457CC61" w14:textId="578F10B2" w:rsidR="00C248FB" w:rsidRDefault="00C248FB" w:rsidP="00872DCA">
      <w:pPr>
        <w:rPr>
          <w:sz w:val="24"/>
          <w:szCs w:val="24"/>
        </w:rPr>
      </w:pPr>
      <w:r w:rsidRPr="00FE42A8">
        <w:rPr>
          <w:sz w:val="24"/>
          <w:szCs w:val="24"/>
        </w:rPr>
        <w:t>There will be some impacts from the implementation of the amendments</w:t>
      </w:r>
      <w:r w:rsidR="00826898">
        <w:rPr>
          <w:sz w:val="24"/>
          <w:szCs w:val="24"/>
        </w:rPr>
        <w:t>, however t</w:t>
      </w:r>
      <w:r w:rsidRPr="00FE42A8">
        <w:rPr>
          <w:sz w:val="24"/>
          <w:szCs w:val="24"/>
        </w:rPr>
        <w:t xml:space="preserve">he </w:t>
      </w:r>
      <w:r w:rsidR="001F4AFA" w:rsidRPr="00FE42A8">
        <w:rPr>
          <w:sz w:val="24"/>
          <w:szCs w:val="24"/>
        </w:rPr>
        <w:t xml:space="preserve">benefits of the proposed amendments are expected to outweigh both the </w:t>
      </w:r>
      <w:r w:rsidRPr="00FE42A8">
        <w:rPr>
          <w:sz w:val="24"/>
          <w:szCs w:val="24"/>
        </w:rPr>
        <w:t xml:space="preserve">costs </w:t>
      </w:r>
      <w:r w:rsidR="001F4AFA" w:rsidRPr="00FE42A8">
        <w:rPr>
          <w:sz w:val="24"/>
          <w:szCs w:val="24"/>
        </w:rPr>
        <w:t xml:space="preserve">of not making </w:t>
      </w:r>
      <w:r w:rsidR="00826898">
        <w:rPr>
          <w:sz w:val="24"/>
          <w:szCs w:val="24"/>
        </w:rPr>
        <w:t xml:space="preserve">the </w:t>
      </w:r>
      <w:r w:rsidR="001F4AFA" w:rsidRPr="00FE42A8">
        <w:rPr>
          <w:sz w:val="24"/>
          <w:szCs w:val="24"/>
        </w:rPr>
        <w:t xml:space="preserve">amendments, and the costs associated with the amendments. The table below </w:t>
      </w:r>
      <w:r w:rsidR="002E5DE8" w:rsidRPr="00FE42A8">
        <w:rPr>
          <w:sz w:val="24"/>
          <w:szCs w:val="24"/>
        </w:rPr>
        <w:t>summarises this</w:t>
      </w:r>
      <w:r w:rsidR="001F4AFA" w:rsidRPr="00FE42A8">
        <w:rPr>
          <w:sz w:val="24"/>
          <w:szCs w:val="24"/>
        </w:rPr>
        <w:t xml:space="preserve"> assessment</w:t>
      </w:r>
      <w:r w:rsidR="00826898">
        <w:rPr>
          <w:sz w:val="24"/>
          <w:szCs w:val="24"/>
        </w:rPr>
        <w:t xml:space="preserve">. </w:t>
      </w:r>
    </w:p>
    <w:p w14:paraId="79C944F4" w14:textId="77777777" w:rsidR="00826898" w:rsidRPr="00FE42A8" w:rsidRDefault="00826898" w:rsidP="00872DCA">
      <w:pPr>
        <w:rPr>
          <w:sz w:val="24"/>
          <w:szCs w:val="24"/>
        </w:rPr>
      </w:pPr>
    </w:p>
    <w:p w14:paraId="2F41C8BB" w14:textId="636951C1" w:rsidR="00B013EB" w:rsidRPr="00C248FB" w:rsidRDefault="00B013EB" w:rsidP="00B013EB">
      <w:pPr>
        <w:pStyle w:val="Caption"/>
      </w:pPr>
      <w:bookmarkStart w:id="55" w:name="_Toc78275032"/>
      <w:r>
        <w:t xml:space="preserve">Table </w:t>
      </w:r>
      <w:r w:rsidR="000150F9">
        <w:fldChar w:fldCharType="begin"/>
      </w:r>
      <w:r w:rsidR="000150F9">
        <w:instrText xml:space="preserve"> SEQ Table \* ARABIC </w:instrText>
      </w:r>
      <w:r w:rsidR="000150F9">
        <w:fldChar w:fldCharType="separate"/>
      </w:r>
      <w:r w:rsidR="002C4D5A">
        <w:rPr>
          <w:noProof/>
        </w:rPr>
        <w:t>2</w:t>
      </w:r>
      <w:r w:rsidR="000150F9">
        <w:rPr>
          <w:noProof/>
        </w:rPr>
        <w:fldChar w:fldCharType="end"/>
      </w:r>
      <w:r>
        <w:t xml:space="preserve"> FOGO summary of impacts</w:t>
      </w:r>
      <w:bookmarkEnd w:id="55"/>
    </w:p>
    <w:tbl>
      <w:tblPr>
        <w:tblStyle w:val="GridTable5Dark-Accent1"/>
        <w:tblW w:w="0" w:type="auto"/>
        <w:tblLook w:val="04A0" w:firstRow="1" w:lastRow="0" w:firstColumn="1" w:lastColumn="0" w:noHBand="0" w:noVBand="1"/>
      </w:tblPr>
      <w:tblGrid>
        <w:gridCol w:w="1980"/>
        <w:gridCol w:w="7036"/>
      </w:tblGrid>
      <w:tr w:rsidR="00C248FB" w14:paraId="2A755990" w14:textId="77777777" w:rsidTr="00B01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784B4D0" w14:textId="748D0F3C" w:rsidR="00C248FB" w:rsidRPr="001F4AFA" w:rsidRDefault="00C248FB" w:rsidP="00872DCA">
            <w:r w:rsidRPr="001F4AFA">
              <w:t>Type of impact</w:t>
            </w:r>
          </w:p>
        </w:tc>
        <w:tc>
          <w:tcPr>
            <w:tcW w:w="7036" w:type="dxa"/>
          </w:tcPr>
          <w:p w14:paraId="09194B95" w14:textId="07FDEFA4" w:rsidR="00C248FB" w:rsidRPr="001F4AFA" w:rsidRDefault="00C248FB" w:rsidP="00872DCA">
            <w:pPr>
              <w:cnfStyle w:val="100000000000" w:firstRow="1" w:lastRow="0" w:firstColumn="0" w:lastColumn="0" w:oddVBand="0" w:evenVBand="0" w:oddHBand="0" w:evenHBand="0" w:firstRowFirstColumn="0" w:firstRowLastColumn="0" w:lastRowFirstColumn="0" w:lastRowLastColumn="0"/>
            </w:pPr>
            <w:r w:rsidRPr="001F4AFA">
              <w:t>Summary of impact</w:t>
            </w:r>
          </w:p>
        </w:tc>
      </w:tr>
      <w:tr w:rsidR="001F4AFA" w14:paraId="0DCE95BB" w14:textId="77777777" w:rsidTr="00B01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E7A907D" w14:textId="77777777" w:rsidR="001F4AFA" w:rsidRPr="001F4AFA" w:rsidRDefault="001F4AFA" w:rsidP="00872DCA">
            <w:r w:rsidRPr="001F4AFA">
              <w:t>Benefits of amendments</w:t>
            </w:r>
          </w:p>
        </w:tc>
        <w:tc>
          <w:tcPr>
            <w:tcW w:w="7036" w:type="dxa"/>
          </w:tcPr>
          <w:p w14:paraId="41473C82" w14:textId="072DC963" w:rsidR="00130258" w:rsidRDefault="00267933" w:rsidP="00680928">
            <w:pPr>
              <w:pStyle w:val="ListParagraph"/>
              <w:numPr>
                <w:ilvl w:val="0"/>
                <w:numId w:val="36"/>
              </w:numPr>
              <w:ind w:left="178" w:hanging="244"/>
              <w:cnfStyle w:val="000000100000" w:firstRow="0" w:lastRow="0" w:firstColumn="0" w:lastColumn="0" w:oddVBand="0" w:evenVBand="0" w:oddHBand="1" w:evenHBand="0" w:firstRowFirstColumn="0" w:firstRowLastColumn="0" w:lastRowFirstColumn="0" w:lastRowLastColumn="0"/>
            </w:pPr>
            <w:r>
              <w:t xml:space="preserve">The amendments will allow ACT green bins to be used to collect compostable waste for the proposed ACT FOGO service. They will enable flexibility in the proposed pilot initiative to support a staged introduction of the FOGO service. </w:t>
            </w:r>
          </w:p>
          <w:p w14:paraId="2F05D524" w14:textId="34BF0787" w:rsidR="00130258" w:rsidRDefault="006C50DF" w:rsidP="00680928">
            <w:pPr>
              <w:pStyle w:val="ListParagraph"/>
              <w:numPr>
                <w:ilvl w:val="0"/>
                <w:numId w:val="36"/>
              </w:numPr>
              <w:ind w:left="178" w:hanging="244"/>
              <w:cnfStyle w:val="000000100000" w:firstRow="0" w:lastRow="0" w:firstColumn="0" w:lastColumn="0" w:oddVBand="0" w:evenVBand="0" w:oddHBand="1" w:evenHBand="0" w:firstRowFirstColumn="0" w:firstRowLastColumn="0" w:lastRowFirstColumn="0" w:lastRowLastColumn="0"/>
            </w:pPr>
            <w:r>
              <w:t xml:space="preserve">Existing offences related to </w:t>
            </w:r>
            <w:r w:rsidR="00C11146">
              <w:t xml:space="preserve">placing unsupported wastes into the green bins will be carried over into the compostable FOGO waste streams, providing the capacity to take enforcement action if communication and </w:t>
            </w:r>
            <w:r w:rsidR="00C11146">
              <w:lastRenderedPageBreak/>
              <w:t xml:space="preserve">education actions fail to prevent repeated, significant contamination. </w:t>
            </w:r>
            <w:r w:rsidR="00130258">
              <w:t xml:space="preserve">The availability of offence provisions will provide the capacity to prevent contamination . </w:t>
            </w:r>
          </w:p>
        </w:tc>
      </w:tr>
      <w:tr w:rsidR="00C248FB" w14:paraId="01CCF815" w14:textId="77777777" w:rsidTr="00B013EB">
        <w:tc>
          <w:tcPr>
            <w:cnfStyle w:val="001000000000" w:firstRow="0" w:lastRow="0" w:firstColumn="1" w:lastColumn="0" w:oddVBand="0" w:evenVBand="0" w:oddHBand="0" w:evenHBand="0" w:firstRowFirstColumn="0" w:firstRowLastColumn="0" w:lastRowFirstColumn="0" w:lastRowLastColumn="0"/>
            <w:tcW w:w="1980" w:type="dxa"/>
          </w:tcPr>
          <w:p w14:paraId="72F9B942" w14:textId="480DACED" w:rsidR="00C248FB" w:rsidRPr="001F4AFA" w:rsidRDefault="00C248FB" w:rsidP="00872DCA">
            <w:r w:rsidRPr="001F4AFA">
              <w:lastRenderedPageBreak/>
              <w:t>Impact of not making amendments</w:t>
            </w:r>
          </w:p>
        </w:tc>
        <w:tc>
          <w:tcPr>
            <w:tcW w:w="7036" w:type="dxa"/>
          </w:tcPr>
          <w:p w14:paraId="322ED2D0" w14:textId="2D112E66" w:rsidR="00080290" w:rsidRDefault="006C50DF" w:rsidP="00680928">
            <w:pPr>
              <w:pStyle w:val="ListParagraph"/>
              <w:numPr>
                <w:ilvl w:val="0"/>
                <w:numId w:val="36"/>
              </w:numPr>
              <w:ind w:left="178" w:hanging="244"/>
              <w:cnfStyle w:val="000000000000" w:firstRow="0" w:lastRow="0" w:firstColumn="0" w:lastColumn="0" w:oddVBand="0" w:evenVBand="0" w:oddHBand="0" w:evenHBand="0" w:firstRowFirstColumn="0" w:firstRowLastColumn="0" w:lastRowFirstColumn="0" w:lastRowLastColumn="0"/>
            </w:pPr>
            <w:r>
              <w:t xml:space="preserve">Without the amendments, ACT green bins </w:t>
            </w:r>
            <w:r w:rsidR="00080290">
              <w:t xml:space="preserve">cannot be used for the proposed FOGO service. This would significantly impede the Territory’s capacity to deliver on its commitment to deliver the service to all ACT households. </w:t>
            </w:r>
          </w:p>
          <w:p w14:paraId="714511E8" w14:textId="1DFB3FBE" w:rsidR="00080290" w:rsidRDefault="00080290" w:rsidP="00680928">
            <w:pPr>
              <w:pStyle w:val="ListParagraph"/>
              <w:numPr>
                <w:ilvl w:val="0"/>
                <w:numId w:val="36"/>
              </w:numPr>
              <w:ind w:left="178" w:hanging="244"/>
              <w:cnfStyle w:val="000000000000" w:firstRow="0" w:lastRow="0" w:firstColumn="0" w:lastColumn="0" w:oddVBand="0" w:evenVBand="0" w:oddHBand="0" w:evenHBand="0" w:firstRowFirstColumn="0" w:firstRowLastColumn="0" w:lastRowFirstColumn="0" w:lastRowLastColumn="0"/>
            </w:pPr>
            <w:r>
              <w:t xml:space="preserve">Implementing the changes without enforcement options will remove a viable and proportionate </w:t>
            </w:r>
            <w:r w:rsidR="003A287E">
              <w:t>backup</w:t>
            </w:r>
            <w:r>
              <w:t xml:space="preserve"> option for preventing contamination</w:t>
            </w:r>
            <w:r w:rsidR="003A287E">
              <w:t xml:space="preserve"> where education and communication efforts do not work</w:t>
            </w:r>
            <w:r>
              <w:t xml:space="preserve">. </w:t>
            </w:r>
          </w:p>
        </w:tc>
      </w:tr>
      <w:tr w:rsidR="00C248FB" w14:paraId="658CE5C2" w14:textId="77777777" w:rsidTr="00B01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55E86A" w14:textId="692684B0" w:rsidR="00C248FB" w:rsidRPr="001F4AFA" w:rsidRDefault="00C248FB" w:rsidP="00872DCA">
            <w:r w:rsidRPr="001F4AFA">
              <w:t>Amendments which may impose some cost</w:t>
            </w:r>
          </w:p>
        </w:tc>
        <w:tc>
          <w:tcPr>
            <w:tcW w:w="7036" w:type="dxa"/>
          </w:tcPr>
          <w:p w14:paraId="43482BB7" w14:textId="33C5245F" w:rsidR="00CF4155" w:rsidRDefault="00C42F97" w:rsidP="00680928">
            <w:pPr>
              <w:pStyle w:val="ListParagraph"/>
              <w:numPr>
                <w:ilvl w:val="0"/>
                <w:numId w:val="36"/>
              </w:numPr>
              <w:ind w:left="178" w:hanging="244"/>
              <w:cnfStyle w:val="000000100000" w:firstRow="0" w:lastRow="0" w:firstColumn="0" w:lastColumn="0" w:oddVBand="0" w:evenVBand="0" w:oddHBand="1" w:evenHBand="0" w:firstRowFirstColumn="0" w:firstRowLastColumn="0" w:lastRowFirstColumn="0" w:lastRowLastColumn="0"/>
            </w:pPr>
            <w:r>
              <w:t xml:space="preserve">There are no costs associated with the amendments. </w:t>
            </w:r>
          </w:p>
          <w:p w14:paraId="0DC1F97D" w14:textId="41AAA24C" w:rsidR="00CF4155" w:rsidRDefault="00CF4155" w:rsidP="00680928">
            <w:pPr>
              <w:pStyle w:val="ListParagraph"/>
              <w:numPr>
                <w:ilvl w:val="0"/>
                <w:numId w:val="36"/>
              </w:numPr>
              <w:ind w:left="178" w:hanging="244"/>
              <w:cnfStyle w:val="000000100000" w:firstRow="0" w:lastRow="0" w:firstColumn="0" w:lastColumn="0" w:oddVBand="0" w:evenVBand="0" w:oddHBand="1" w:evenHBand="0" w:firstRowFirstColumn="0" w:firstRowLastColumn="0" w:lastRowFirstColumn="0" w:lastRowLastColumn="0"/>
            </w:pPr>
            <w:r>
              <w:t xml:space="preserve">Households which cannot cope with a reduced frequency of red bin collections may purchase larger sized, or additional red bins. </w:t>
            </w:r>
          </w:p>
        </w:tc>
      </w:tr>
      <w:tr w:rsidR="00C248FB" w14:paraId="2E83DC1B" w14:textId="77777777" w:rsidTr="00B013EB">
        <w:tc>
          <w:tcPr>
            <w:cnfStyle w:val="001000000000" w:firstRow="0" w:lastRow="0" w:firstColumn="1" w:lastColumn="0" w:oddVBand="0" w:evenVBand="0" w:oddHBand="0" w:evenHBand="0" w:firstRowFirstColumn="0" w:firstRowLastColumn="0" w:lastRowFirstColumn="0" w:lastRowLastColumn="0"/>
            <w:tcW w:w="1980" w:type="dxa"/>
          </w:tcPr>
          <w:p w14:paraId="695729E7" w14:textId="35D4233B" w:rsidR="00C248FB" w:rsidRPr="001F4AFA" w:rsidRDefault="00C248FB" w:rsidP="00872DCA">
            <w:r w:rsidRPr="001F4AFA">
              <w:t>Amendments which will not impose any appreciable costs</w:t>
            </w:r>
          </w:p>
        </w:tc>
        <w:tc>
          <w:tcPr>
            <w:tcW w:w="7036" w:type="dxa"/>
          </w:tcPr>
          <w:p w14:paraId="47F64CD2" w14:textId="360FD4C9" w:rsidR="00C42F97" w:rsidRDefault="00C42F97" w:rsidP="00680928">
            <w:pPr>
              <w:pStyle w:val="ListParagraph"/>
              <w:numPr>
                <w:ilvl w:val="0"/>
                <w:numId w:val="36"/>
              </w:numPr>
              <w:ind w:left="178" w:hanging="244"/>
              <w:cnfStyle w:val="000000000000" w:firstRow="0" w:lastRow="0" w:firstColumn="0" w:lastColumn="0" w:oddVBand="0" w:evenVBand="0" w:oddHBand="0" w:evenHBand="0" w:firstRowFirstColumn="0" w:firstRowLastColumn="0" w:lastRowFirstColumn="0" w:lastRowLastColumn="0"/>
            </w:pPr>
            <w:r>
              <w:t xml:space="preserve">There is no change proposed to the range of organic material which may be placed into Territory waste containers, or the total set of waste collection servicers. </w:t>
            </w:r>
          </w:p>
          <w:p w14:paraId="4FEF685F" w14:textId="50076D3B" w:rsidR="00C248FB" w:rsidRDefault="00C42F97" w:rsidP="00680928">
            <w:pPr>
              <w:pStyle w:val="ListParagraph"/>
              <w:numPr>
                <w:ilvl w:val="0"/>
                <w:numId w:val="36"/>
              </w:numPr>
              <w:ind w:left="178" w:hanging="244"/>
              <w:cnfStyle w:val="000000000000" w:firstRow="0" w:lastRow="0" w:firstColumn="0" w:lastColumn="0" w:oddVBand="0" w:evenVBand="0" w:oddHBand="0" w:evenHBand="0" w:firstRowFirstColumn="0" w:firstRowLastColumn="0" w:lastRowFirstColumn="0" w:lastRowLastColumn="0"/>
            </w:pPr>
            <w:r>
              <w:t>The proposal to extend the existing infringements over to compostable wastes is consistent with, rather than additional to existing provisions.</w:t>
            </w:r>
          </w:p>
        </w:tc>
      </w:tr>
    </w:tbl>
    <w:p w14:paraId="21BB561A" w14:textId="77777777" w:rsidR="00C248FB" w:rsidRPr="00C248FB" w:rsidRDefault="00C248FB" w:rsidP="00C248FB"/>
    <w:p w14:paraId="38ECA86E" w14:textId="6ED3B9F1" w:rsidR="00127724" w:rsidRDefault="00127724" w:rsidP="005F7ECC">
      <w:pPr>
        <w:pStyle w:val="Heading1"/>
      </w:pPr>
      <w:r>
        <w:t xml:space="preserve"> </w:t>
      </w:r>
      <w:r w:rsidR="004A5365">
        <w:tab/>
      </w:r>
      <w:bookmarkStart w:id="56" w:name="_Toc78374691"/>
      <w:bookmarkStart w:id="57" w:name="_Toc79490201"/>
      <w:r w:rsidR="004A5BA8">
        <w:t>Clarify</w:t>
      </w:r>
      <w:r w:rsidR="004140A3">
        <w:t>ing</w:t>
      </w:r>
      <w:r w:rsidR="004A5BA8">
        <w:t xml:space="preserve"> k</w:t>
      </w:r>
      <w:r>
        <w:t>erbside container management</w:t>
      </w:r>
      <w:bookmarkEnd w:id="56"/>
      <w:bookmarkEnd w:id="57"/>
    </w:p>
    <w:p w14:paraId="12B28427" w14:textId="35814A75" w:rsidR="00127724" w:rsidRDefault="00DC1B47" w:rsidP="005F7ECC">
      <w:pPr>
        <w:pStyle w:val="Heading2"/>
      </w:pPr>
      <w:bookmarkStart w:id="58" w:name="_Toc78374692"/>
      <w:bookmarkStart w:id="59" w:name="_Toc79490202"/>
      <w:r>
        <w:t>8</w:t>
      </w:r>
      <w:r w:rsidR="005C26B0">
        <w:t>.</w:t>
      </w:r>
      <w:r w:rsidR="005F7ECC">
        <w:t>1</w:t>
      </w:r>
      <w:r w:rsidR="005C26B0">
        <w:t xml:space="preserve"> </w:t>
      </w:r>
      <w:r w:rsidR="00127724">
        <w:t>Problem</w:t>
      </w:r>
      <w:bookmarkEnd w:id="58"/>
      <w:bookmarkEnd w:id="59"/>
    </w:p>
    <w:p w14:paraId="4959B879" w14:textId="6B334B24" w:rsidR="00E3320F" w:rsidRDefault="007355D5" w:rsidP="005F7ECC">
      <w:pPr>
        <w:pStyle w:val="CS-Paragraphnumbering"/>
        <w:numPr>
          <w:ilvl w:val="0"/>
          <w:numId w:val="0"/>
        </w:numPr>
      </w:pPr>
      <w:r w:rsidRPr="00FE42A8">
        <w:t>The ACT government receives</w:t>
      </w:r>
      <w:r w:rsidR="00826898">
        <w:t xml:space="preserve"> routine concerns</w:t>
      </w:r>
      <w:r w:rsidRPr="00FE42A8">
        <w:t xml:space="preserve"> from constituents about </w:t>
      </w:r>
      <w:r w:rsidR="001D25CA" w:rsidRPr="00FE42A8">
        <w:t xml:space="preserve">behaviour associated with the management of kerbside territory waste containers. </w:t>
      </w:r>
      <w:r w:rsidR="00826898">
        <w:t xml:space="preserve">Although </w:t>
      </w:r>
      <w:r w:rsidR="00E51925">
        <w:t xml:space="preserve">Workplace </w:t>
      </w:r>
      <w:r w:rsidR="00826898">
        <w:t>H</w:t>
      </w:r>
      <w:r w:rsidR="00E51925">
        <w:t xml:space="preserve">ealth and </w:t>
      </w:r>
      <w:r w:rsidR="00826898">
        <w:t>S</w:t>
      </w:r>
      <w:r w:rsidR="00E51925">
        <w:t xml:space="preserve">afety </w:t>
      </w:r>
      <w:r w:rsidR="00826898">
        <w:t xml:space="preserve">(WHS) </w:t>
      </w:r>
      <w:r w:rsidR="00E51925">
        <w:t xml:space="preserve">incidents associated with kerbside collections are also </w:t>
      </w:r>
      <w:r w:rsidR="00FF5250">
        <w:t>notified regularly</w:t>
      </w:r>
      <w:r w:rsidR="00E51925">
        <w:t xml:space="preserve">. </w:t>
      </w:r>
      <w:r w:rsidR="003D68E3">
        <w:t xml:space="preserve">Part Four of the </w:t>
      </w:r>
      <w:r w:rsidR="001D25CA" w:rsidRPr="00FE42A8">
        <w:t>current Regulation</w:t>
      </w:r>
      <w:r w:rsidR="003D68E3">
        <w:t xml:space="preserve"> deals with waste storage, collection etc and</w:t>
      </w:r>
      <w:r w:rsidR="001D25CA" w:rsidRPr="00FE42A8">
        <w:t xml:space="preserve"> contains a</w:t>
      </w:r>
      <w:r w:rsidR="00FE5B8E">
        <w:t xml:space="preserve"> </w:t>
      </w:r>
      <w:r w:rsidR="001D25CA" w:rsidRPr="00FE42A8">
        <w:t xml:space="preserve">range of offence provisions </w:t>
      </w:r>
      <w:r w:rsidR="00FE5B8E">
        <w:t>which could be used to respond to incidents</w:t>
      </w:r>
      <w:r w:rsidR="003D68E3">
        <w:t xml:space="preserve">. </w:t>
      </w:r>
      <w:r w:rsidR="00826898">
        <w:t xml:space="preserve">        A</w:t>
      </w:r>
      <w:r w:rsidR="00A615E3">
        <w:t xml:space="preserve"> review of existing provisions</w:t>
      </w:r>
      <w:r w:rsidR="00826898">
        <w:t xml:space="preserve"> was</w:t>
      </w:r>
      <w:r w:rsidR="00A615E3">
        <w:t xml:space="preserve"> undertaken to support the FOGO amendments</w:t>
      </w:r>
      <w:r w:rsidR="00826898">
        <w:t xml:space="preserve"> and</w:t>
      </w:r>
      <w:r w:rsidR="00A615E3">
        <w:t xml:space="preserve"> revealed that </w:t>
      </w:r>
      <w:r w:rsidR="003D68E3">
        <w:t xml:space="preserve">these provisions have not been used to achieve compliance outcomes </w:t>
      </w:r>
      <w:r w:rsidR="00FE5B8E">
        <w:t>to date</w:t>
      </w:r>
      <w:r w:rsidR="00826898">
        <w:t>,</w:t>
      </w:r>
      <w:r w:rsidR="00A615E3">
        <w:t xml:space="preserve"> and that a number of issues are generating uncertainty around the Territory’s kerbside container management. These issues include</w:t>
      </w:r>
      <w:r w:rsidR="00E3320F">
        <w:t xml:space="preserve">: </w:t>
      </w:r>
    </w:p>
    <w:p w14:paraId="4E36883C" w14:textId="09A5E0DF" w:rsidR="00A615E3" w:rsidRDefault="0039556A" w:rsidP="005F7ECC">
      <w:pPr>
        <w:pStyle w:val="ReportList1"/>
      </w:pPr>
      <w:r>
        <w:t>t</w:t>
      </w:r>
      <w:r w:rsidR="00B470EB">
        <w:t>he Regulation does not establish responsibilities about kerbside container management</w:t>
      </w:r>
      <w:r w:rsidR="00A615E3">
        <w:t xml:space="preserve"> but only </w:t>
      </w:r>
      <w:r w:rsidR="00E11CB9">
        <w:t>provides offences for</w:t>
      </w:r>
      <w:r w:rsidR="00A615E3">
        <w:t xml:space="preserve"> behaviours which are not allowed</w:t>
      </w:r>
      <w:r w:rsidR="00C208A1">
        <w:t>;</w:t>
      </w:r>
      <w:r w:rsidR="00A615E3">
        <w:t xml:space="preserve"> </w:t>
      </w:r>
    </w:p>
    <w:p w14:paraId="5A9F45DA" w14:textId="5AF128AE" w:rsidR="00AE017E" w:rsidRDefault="0039556A" w:rsidP="005F7ECC">
      <w:pPr>
        <w:pStyle w:val="ReportList1"/>
      </w:pPr>
      <w:r>
        <w:t>t</w:t>
      </w:r>
      <w:r w:rsidR="00A615E3">
        <w:t xml:space="preserve">he rules around </w:t>
      </w:r>
      <w:r w:rsidR="00E11CB9">
        <w:t xml:space="preserve">ownership and access to </w:t>
      </w:r>
      <w:r w:rsidR="00A615E3">
        <w:t xml:space="preserve">waste containers, and </w:t>
      </w:r>
      <w:r w:rsidR="00E11CB9">
        <w:t>the material within them are not clear</w:t>
      </w:r>
      <w:r w:rsidR="009F556F">
        <w:t xml:space="preserve"> and this creates uncertainty around the ACT </w:t>
      </w:r>
      <w:r w:rsidR="00826898">
        <w:t>G</w:t>
      </w:r>
      <w:r w:rsidR="009F556F">
        <w:t>overnment’s right to inspect bins for audit and compliance purposes</w:t>
      </w:r>
      <w:r w:rsidR="00C208A1">
        <w:t>;</w:t>
      </w:r>
    </w:p>
    <w:p w14:paraId="194ED810" w14:textId="7E4483D1" w:rsidR="00B470EB" w:rsidRDefault="0039556A" w:rsidP="005F7ECC">
      <w:pPr>
        <w:pStyle w:val="ReportList1"/>
      </w:pPr>
      <w:r>
        <w:t>t</w:t>
      </w:r>
      <w:r w:rsidR="00AE017E">
        <w:t xml:space="preserve">he regulation does not provide clarity about </w:t>
      </w:r>
      <w:r w:rsidR="00477E06">
        <w:t>whether other people may access bins left on the kerb, for example to remove CDS containers for redemption</w:t>
      </w:r>
      <w:r w:rsidR="00C208A1">
        <w:t>;</w:t>
      </w:r>
      <w:r w:rsidR="00B470EB">
        <w:t xml:space="preserve"> </w:t>
      </w:r>
    </w:p>
    <w:p w14:paraId="2D6859AD" w14:textId="66EACE3B" w:rsidR="00477E06" w:rsidRDefault="0039556A" w:rsidP="005F7ECC">
      <w:pPr>
        <w:pStyle w:val="ReportList1"/>
      </w:pPr>
      <w:r>
        <w:t>r</w:t>
      </w:r>
      <w:r w:rsidR="00477E06">
        <w:t xml:space="preserve">elated legislation, especially the </w:t>
      </w:r>
      <w:r w:rsidR="00477E06" w:rsidRPr="00E3320F">
        <w:rPr>
          <w:i/>
          <w:iCs/>
        </w:rPr>
        <w:t>Litter Act 2004</w:t>
      </w:r>
      <w:r w:rsidR="00477E06">
        <w:t xml:space="preserve"> with established </w:t>
      </w:r>
      <w:r w:rsidR="000E74F9">
        <w:t>infringement notice scheme</w:t>
      </w:r>
      <w:r w:rsidR="00477E06">
        <w:t xml:space="preserve">s have been used to respond to some complaints related to kerbside container management and this has provided a regulatory presence at </w:t>
      </w:r>
      <w:r w:rsidR="00477E06">
        <w:lastRenderedPageBreak/>
        <w:t xml:space="preserve">the kerbside. </w:t>
      </w:r>
      <w:r w:rsidR="00826898">
        <w:t>T</w:t>
      </w:r>
      <w:r w:rsidR="00477E06">
        <w:t xml:space="preserve">he </w:t>
      </w:r>
      <w:r w:rsidR="00477E06" w:rsidRPr="003F20F0">
        <w:rPr>
          <w:i/>
          <w:iCs/>
        </w:rPr>
        <w:t>Litter Act</w:t>
      </w:r>
      <w:r w:rsidR="00477E06">
        <w:t xml:space="preserve"> cannot be used to manage contamination issues, or health and safety issues associated with waste collection services and so is not a substitute for effective waste regulation. </w:t>
      </w:r>
      <w:r w:rsidR="00AE017E">
        <w:t xml:space="preserve">Evidence </w:t>
      </w:r>
      <w:r w:rsidR="003E51A8">
        <w:t>of genuine</w:t>
      </w:r>
      <w:r w:rsidR="00AE017E">
        <w:t xml:space="preserve"> health and safety issues around kerbside container management is below</w:t>
      </w:r>
      <w:r w:rsidR="00C208A1">
        <w:t>;</w:t>
      </w:r>
      <w:r w:rsidR="00AE017E">
        <w:t xml:space="preserve"> </w:t>
      </w:r>
    </w:p>
    <w:p w14:paraId="2712310E" w14:textId="42ACE0B0" w:rsidR="00B470EB" w:rsidRDefault="0039556A" w:rsidP="005F7ECC">
      <w:pPr>
        <w:pStyle w:val="ReportList1"/>
      </w:pPr>
      <w:r>
        <w:t>t</w:t>
      </w:r>
      <w:r w:rsidR="00B470EB">
        <w:t xml:space="preserve">he </w:t>
      </w:r>
      <w:r w:rsidR="00B470EB" w:rsidRPr="003F20F0">
        <w:rPr>
          <w:i/>
          <w:iCs/>
        </w:rPr>
        <w:t>Waste Act</w:t>
      </w:r>
      <w:r w:rsidR="00B470EB">
        <w:t xml:space="preserve"> </w:t>
      </w:r>
      <w:r w:rsidR="00477E06">
        <w:t xml:space="preserve">kerbside offence </w:t>
      </w:r>
      <w:r w:rsidR="00B470EB">
        <w:t>provisions have proven difficult to implement because it is frequently not possible to identify the person or household responsible for an offence</w:t>
      </w:r>
      <w:r w:rsidR="00C208A1">
        <w:t>;</w:t>
      </w:r>
      <w:r>
        <w:t xml:space="preserve"> and</w:t>
      </w:r>
      <w:r w:rsidR="00B470EB">
        <w:t xml:space="preserve"> </w:t>
      </w:r>
    </w:p>
    <w:p w14:paraId="572350F5" w14:textId="0FDCF906" w:rsidR="00953901" w:rsidRPr="00E3320F" w:rsidRDefault="0039556A" w:rsidP="005F7ECC">
      <w:pPr>
        <w:pStyle w:val="ReportList1"/>
      </w:pPr>
      <w:r>
        <w:t>t</w:t>
      </w:r>
      <w:r w:rsidR="003D68E3">
        <w:t xml:space="preserve">he Regulation focuses on waste </w:t>
      </w:r>
      <w:r w:rsidR="00477E06">
        <w:t xml:space="preserve">placed in </w:t>
      </w:r>
      <w:r w:rsidR="003D68E3">
        <w:t xml:space="preserve">containers </w:t>
      </w:r>
      <w:r w:rsidR="00477E06">
        <w:t xml:space="preserve">and does not provide for waste to be left on the kerbside outside of containers for bulky waste collection services. </w:t>
      </w:r>
    </w:p>
    <w:p w14:paraId="1D2A48CA" w14:textId="1DF19788" w:rsidR="00417A24" w:rsidRDefault="00BF22A4" w:rsidP="005F7ECC">
      <w:pPr>
        <w:rPr>
          <w:sz w:val="24"/>
          <w:szCs w:val="24"/>
        </w:rPr>
      </w:pPr>
      <w:r>
        <w:rPr>
          <w:sz w:val="24"/>
          <w:szCs w:val="24"/>
        </w:rPr>
        <w:t>Evidence that these problems are manifesting in the ACT is</w:t>
      </w:r>
      <w:r w:rsidR="00417A24">
        <w:rPr>
          <w:sz w:val="24"/>
          <w:szCs w:val="24"/>
        </w:rPr>
        <w:t xml:space="preserve"> presented below. </w:t>
      </w:r>
    </w:p>
    <w:p w14:paraId="71C6DAB8" w14:textId="65ACA9E1" w:rsidR="00417A24" w:rsidRDefault="00DC1B47" w:rsidP="005F7ECC">
      <w:pPr>
        <w:pStyle w:val="Heading3"/>
      </w:pPr>
      <w:bookmarkStart w:id="60" w:name="_Toc78374693"/>
      <w:bookmarkStart w:id="61" w:name="_Toc79490203"/>
      <w:r>
        <w:t>8</w:t>
      </w:r>
      <w:r w:rsidR="005F7ECC">
        <w:t xml:space="preserve">.1a </w:t>
      </w:r>
      <w:r w:rsidR="00417A24">
        <w:t>Bin</w:t>
      </w:r>
      <w:r w:rsidR="002E1D78">
        <w:t>-</w:t>
      </w:r>
      <w:r w:rsidR="00417A24">
        <w:t>diving</w:t>
      </w:r>
      <w:bookmarkEnd w:id="60"/>
      <w:bookmarkEnd w:id="61"/>
    </w:p>
    <w:p w14:paraId="55C282BB" w14:textId="0BAAAE0C" w:rsidR="003E51A8" w:rsidRPr="00FE42A8" w:rsidRDefault="003E51A8" w:rsidP="005F7ECC">
      <w:pPr>
        <w:rPr>
          <w:sz w:val="24"/>
          <w:szCs w:val="24"/>
        </w:rPr>
      </w:pPr>
      <w:r>
        <w:rPr>
          <w:sz w:val="24"/>
          <w:szCs w:val="24"/>
        </w:rPr>
        <w:t>C</w:t>
      </w:r>
      <w:r w:rsidRPr="00FE42A8">
        <w:rPr>
          <w:sz w:val="24"/>
          <w:szCs w:val="24"/>
        </w:rPr>
        <w:t>omplaints are sometimes received about the behaviour of people ‘bin diving’</w:t>
      </w:r>
      <w:r w:rsidR="00B76C50">
        <w:rPr>
          <w:sz w:val="24"/>
          <w:szCs w:val="24"/>
        </w:rPr>
        <w:t xml:space="preserve"> </w:t>
      </w:r>
      <w:r w:rsidRPr="00FE42A8">
        <w:rPr>
          <w:sz w:val="24"/>
          <w:szCs w:val="24"/>
        </w:rPr>
        <w:t xml:space="preserve">or going through yellow bins left out for kerbside collections, presumably seeking CDS containers for redemption. </w:t>
      </w:r>
    </w:p>
    <w:p w14:paraId="221E150E" w14:textId="130AAC52" w:rsidR="003E51A8" w:rsidRPr="00FE42A8" w:rsidRDefault="003E51A8" w:rsidP="005F7ECC">
      <w:pPr>
        <w:rPr>
          <w:sz w:val="24"/>
          <w:szCs w:val="24"/>
        </w:rPr>
      </w:pPr>
      <w:r w:rsidRPr="00FE42A8">
        <w:rPr>
          <w:sz w:val="24"/>
          <w:szCs w:val="24"/>
        </w:rPr>
        <w:t>A proxy straw poll on issues involved in this, and resident views about the behaviours was obtained through a text analysis of a Canberra Noticeboard post from 19 March 2021. A resident posted “People going through your recycling bins for cans and bottles. What are your thoughts? Invasion of privacy?”</w:t>
      </w:r>
      <w:r w:rsidRPr="00FE42A8">
        <w:rPr>
          <w:sz w:val="24"/>
          <w:szCs w:val="24"/>
          <w:vertAlign w:val="superscript"/>
        </w:rPr>
        <w:footnoteReference w:id="12"/>
      </w:r>
      <w:r w:rsidRPr="00FE42A8">
        <w:rPr>
          <w:sz w:val="24"/>
          <w:szCs w:val="24"/>
        </w:rPr>
        <w:t xml:space="preserve"> Numerous replies were made, and examples are included in Table </w:t>
      </w:r>
      <w:r>
        <w:rPr>
          <w:sz w:val="24"/>
          <w:szCs w:val="24"/>
        </w:rPr>
        <w:t>3</w:t>
      </w:r>
      <w:r w:rsidRPr="00FE42A8">
        <w:rPr>
          <w:sz w:val="24"/>
          <w:szCs w:val="24"/>
        </w:rPr>
        <w:t xml:space="preserve">. </w:t>
      </w:r>
    </w:p>
    <w:p w14:paraId="771A7ABF" w14:textId="76A3F81C" w:rsidR="003E51A8" w:rsidRPr="00FE42A8" w:rsidRDefault="003E51A8" w:rsidP="005F7ECC">
      <w:pPr>
        <w:rPr>
          <w:sz w:val="24"/>
          <w:szCs w:val="24"/>
        </w:rPr>
      </w:pPr>
      <w:r w:rsidRPr="00FE42A8">
        <w:rPr>
          <w:sz w:val="24"/>
          <w:szCs w:val="24"/>
        </w:rPr>
        <w:t xml:space="preserve">Figure </w:t>
      </w:r>
      <w:r>
        <w:rPr>
          <w:sz w:val="24"/>
          <w:szCs w:val="24"/>
        </w:rPr>
        <w:t>2</w:t>
      </w:r>
      <w:r w:rsidRPr="00FE42A8">
        <w:rPr>
          <w:sz w:val="24"/>
          <w:szCs w:val="24"/>
        </w:rPr>
        <w:t xml:space="preserve"> below the table presents a semi-quantitative analysis of the number of comments that were made across five different topics related to the post and whether the comment was identifying the behaviour as problematic, not a problem or were neutral about it. Although these posts are not the result of a formal survey, and have no statistical validity, they do provide a sense of the range of concerns and the relative prevalence of different views. The results suggest </w:t>
      </w:r>
      <w:r w:rsidR="00C42420">
        <w:rPr>
          <w:sz w:val="24"/>
          <w:szCs w:val="24"/>
        </w:rPr>
        <w:t>those who commented on the post</w:t>
      </w:r>
      <w:r w:rsidRPr="00FE42A8">
        <w:rPr>
          <w:sz w:val="24"/>
          <w:szCs w:val="24"/>
        </w:rPr>
        <w:t xml:space="preserve"> do not consider bin diving to be a significant problem. </w:t>
      </w:r>
    </w:p>
    <w:p w14:paraId="4DE3E839" w14:textId="77777777" w:rsidR="003E51A8" w:rsidRDefault="003E51A8" w:rsidP="005F7ECC"/>
    <w:p w14:paraId="3B50AFD8" w14:textId="3421998E" w:rsidR="003E51A8" w:rsidRDefault="003E51A8" w:rsidP="005F7ECC">
      <w:pPr>
        <w:pStyle w:val="Caption"/>
        <w:keepNext/>
      </w:pPr>
      <w:bookmarkStart w:id="62" w:name="_Toc78275033"/>
      <w:r>
        <w:t xml:space="preserve">Table </w:t>
      </w:r>
      <w:r w:rsidR="000150F9">
        <w:fldChar w:fldCharType="begin"/>
      </w:r>
      <w:r w:rsidR="000150F9">
        <w:instrText xml:space="preserve"> SEQ Table \* ARABIC </w:instrText>
      </w:r>
      <w:r w:rsidR="000150F9">
        <w:fldChar w:fldCharType="separate"/>
      </w:r>
      <w:r w:rsidR="002C4D5A">
        <w:rPr>
          <w:noProof/>
        </w:rPr>
        <w:t>3</w:t>
      </w:r>
      <w:r w:rsidR="000150F9">
        <w:rPr>
          <w:noProof/>
        </w:rPr>
        <w:fldChar w:fldCharType="end"/>
      </w:r>
      <w:r>
        <w:t xml:space="preserve"> Commentary on bin diving, from Canberra Noticeboard March 2021</w:t>
      </w:r>
      <w:bookmarkEnd w:id="62"/>
    </w:p>
    <w:tbl>
      <w:tblPr>
        <w:tblStyle w:val="GridTable5Dark-Accent1"/>
        <w:tblW w:w="0" w:type="auto"/>
        <w:tblLook w:val="04A0" w:firstRow="1" w:lastRow="0" w:firstColumn="1" w:lastColumn="0" w:noHBand="0" w:noVBand="1"/>
      </w:tblPr>
      <w:tblGrid>
        <w:gridCol w:w="1154"/>
        <w:gridCol w:w="2966"/>
        <w:gridCol w:w="2648"/>
        <w:gridCol w:w="2248"/>
      </w:tblGrid>
      <w:tr w:rsidR="003E51A8" w14:paraId="4A7E027F" w14:textId="77777777" w:rsidTr="00844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tcPr>
          <w:p w14:paraId="2176C2D8" w14:textId="77777777" w:rsidR="003E51A8" w:rsidRPr="00BD7BA6" w:rsidRDefault="003E51A8" w:rsidP="005F7ECC">
            <w:pPr>
              <w:keepNext/>
              <w:rPr>
                <w:sz w:val="20"/>
                <w:szCs w:val="20"/>
              </w:rPr>
            </w:pPr>
          </w:p>
        </w:tc>
        <w:tc>
          <w:tcPr>
            <w:tcW w:w="2966" w:type="dxa"/>
          </w:tcPr>
          <w:p w14:paraId="641D95FC" w14:textId="77777777" w:rsidR="003E51A8" w:rsidRPr="00BD7BA6" w:rsidRDefault="003E51A8" w:rsidP="005F7ECC">
            <w:pPr>
              <w:keepNext/>
              <w:cnfStyle w:val="100000000000" w:firstRow="1" w:lastRow="0" w:firstColumn="0" w:lastColumn="0" w:oddVBand="0" w:evenVBand="0" w:oddHBand="0" w:evenHBand="0" w:firstRowFirstColumn="0" w:firstRowLastColumn="0" w:lastRowFirstColumn="0" w:lastRowLastColumn="0"/>
              <w:rPr>
                <w:sz w:val="20"/>
                <w:szCs w:val="20"/>
              </w:rPr>
            </w:pPr>
            <w:r w:rsidRPr="00BD7BA6">
              <w:rPr>
                <w:sz w:val="20"/>
                <w:szCs w:val="20"/>
              </w:rPr>
              <w:t>Not a problem</w:t>
            </w:r>
          </w:p>
        </w:tc>
        <w:tc>
          <w:tcPr>
            <w:tcW w:w="2648" w:type="dxa"/>
          </w:tcPr>
          <w:p w14:paraId="5E0FC341" w14:textId="77777777" w:rsidR="003E51A8" w:rsidRPr="00BD7BA6" w:rsidRDefault="003E51A8" w:rsidP="005F7ECC">
            <w:pPr>
              <w:keepNext/>
              <w:cnfStyle w:val="100000000000" w:firstRow="1" w:lastRow="0" w:firstColumn="0" w:lastColumn="0" w:oddVBand="0" w:evenVBand="0" w:oddHBand="0" w:evenHBand="0" w:firstRowFirstColumn="0" w:firstRowLastColumn="0" w:lastRowFirstColumn="0" w:lastRowLastColumn="0"/>
              <w:rPr>
                <w:sz w:val="20"/>
                <w:szCs w:val="20"/>
              </w:rPr>
            </w:pPr>
            <w:r w:rsidRPr="00BD7BA6">
              <w:rPr>
                <w:sz w:val="20"/>
                <w:szCs w:val="20"/>
              </w:rPr>
              <w:t>A problem</w:t>
            </w:r>
          </w:p>
        </w:tc>
        <w:tc>
          <w:tcPr>
            <w:tcW w:w="2248" w:type="dxa"/>
          </w:tcPr>
          <w:p w14:paraId="1DC2853C" w14:textId="77777777" w:rsidR="003E51A8" w:rsidRPr="00BD7BA6" w:rsidRDefault="003E51A8" w:rsidP="005F7ECC">
            <w:pPr>
              <w:keepNext/>
              <w:cnfStyle w:val="100000000000" w:firstRow="1" w:lastRow="0" w:firstColumn="0" w:lastColumn="0" w:oddVBand="0" w:evenVBand="0" w:oddHBand="0" w:evenHBand="0" w:firstRowFirstColumn="0" w:firstRowLastColumn="0" w:lastRowFirstColumn="0" w:lastRowLastColumn="0"/>
              <w:rPr>
                <w:sz w:val="20"/>
                <w:szCs w:val="20"/>
              </w:rPr>
            </w:pPr>
            <w:r w:rsidRPr="00BD7BA6">
              <w:rPr>
                <w:sz w:val="20"/>
                <w:szCs w:val="20"/>
              </w:rPr>
              <w:t>Neutral</w:t>
            </w:r>
          </w:p>
        </w:tc>
      </w:tr>
      <w:tr w:rsidR="003E51A8" w14:paraId="70713C60" w14:textId="77777777" w:rsidTr="00844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tcPr>
          <w:p w14:paraId="5F32A8B6" w14:textId="77777777" w:rsidR="003E51A8" w:rsidRPr="00BD7BA6" w:rsidRDefault="003E51A8" w:rsidP="005F7ECC">
            <w:pPr>
              <w:rPr>
                <w:sz w:val="20"/>
                <w:szCs w:val="20"/>
              </w:rPr>
            </w:pPr>
            <w:r w:rsidRPr="00BD7BA6">
              <w:rPr>
                <w:sz w:val="20"/>
                <w:szCs w:val="20"/>
              </w:rPr>
              <w:t>The act of going through bins</w:t>
            </w:r>
          </w:p>
        </w:tc>
        <w:tc>
          <w:tcPr>
            <w:tcW w:w="2966" w:type="dxa"/>
          </w:tcPr>
          <w:p w14:paraId="357F4182" w14:textId="77777777" w:rsidR="003E51A8"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sidRPr="00BD7BA6">
              <w:rPr>
                <w:sz w:val="20"/>
                <w:szCs w:val="20"/>
              </w:rPr>
              <w:t>Please take and recycle them and thank you for recycling</w:t>
            </w:r>
            <w:r>
              <w:rPr>
                <w:sz w:val="20"/>
                <w:szCs w:val="20"/>
              </w:rPr>
              <w:t xml:space="preserve">. </w:t>
            </w:r>
          </w:p>
          <w:p w14:paraId="6E00E793" w14:textId="77777777" w:rsidR="003E51A8"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 for it. Money for them without a loss for me.</w:t>
            </w:r>
          </w:p>
          <w:p w14:paraId="33C0D9F4" w14:textId="77777777" w:rsidR="003E51A8" w:rsidRPr="003D6B52"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I’d help him and give him an extra $10 to do it, and tell him not to give up on life. </w:t>
            </w:r>
          </w:p>
        </w:tc>
        <w:tc>
          <w:tcPr>
            <w:tcW w:w="2648" w:type="dxa"/>
          </w:tcPr>
          <w:p w14:paraId="087640AF" w14:textId="77777777" w:rsidR="003E51A8"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sidRPr="00BD7BA6">
              <w:rPr>
                <w:sz w:val="20"/>
                <w:szCs w:val="20"/>
              </w:rPr>
              <w:t xml:space="preserve">With all the talk about identity theft I would be concerned if I say this in my bins. But I don’t begrudge people making a dollar. </w:t>
            </w:r>
          </w:p>
          <w:p w14:paraId="3B9C2149" w14:textId="77777777" w:rsidR="003E51A8"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Not OK if it is in the backyard. </w:t>
            </w:r>
          </w:p>
          <w:p w14:paraId="6FB5D1B2" w14:textId="77777777" w:rsidR="003E51A8" w:rsidRPr="00BD7BA6" w:rsidRDefault="003E51A8" w:rsidP="005F7ECC">
            <w:pPr>
              <w:ind w:left="187" w:hanging="252"/>
              <w:cnfStyle w:val="000000100000" w:firstRow="0" w:lastRow="0" w:firstColumn="0" w:lastColumn="0" w:oddVBand="0" w:evenVBand="0" w:oddHBand="1" w:evenHBand="0" w:firstRowFirstColumn="0" w:firstRowLastColumn="0" w:lastRowFirstColumn="0" w:lastRowLastColumn="0"/>
              <w:rPr>
                <w:sz w:val="20"/>
                <w:szCs w:val="20"/>
              </w:rPr>
            </w:pPr>
          </w:p>
        </w:tc>
        <w:tc>
          <w:tcPr>
            <w:tcW w:w="2248" w:type="dxa"/>
          </w:tcPr>
          <w:p w14:paraId="2D3A9440" w14:textId="77777777" w:rsidR="003E51A8"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sidRPr="004A444F">
              <w:rPr>
                <w:sz w:val="20"/>
                <w:szCs w:val="20"/>
              </w:rPr>
              <w:t>Perhaps put a sign on top of your bin whether or not there are collectable bottles/can inside</w:t>
            </w:r>
            <w:r>
              <w:rPr>
                <w:sz w:val="20"/>
                <w:szCs w:val="20"/>
              </w:rPr>
              <w:t>.</w:t>
            </w:r>
          </w:p>
          <w:p w14:paraId="3B561505" w14:textId="70A48B61" w:rsidR="003E51A8" w:rsidRPr="004A444F"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If it’s your recycling they can come into the house and clean up. That’s fair. </w:t>
            </w:r>
          </w:p>
        </w:tc>
      </w:tr>
      <w:tr w:rsidR="003E51A8" w14:paraId="4A97F97E" w14:textId="77777777" w:rsidTr="00844CFC">
        <w:tc>
          <w:tcPr>
            <w:cnfStyle w:val="001000000000" w:firstRow="0" w:lastRow="0" w:firstColumn="1" w:lastColumn="0" w:oddVBand="0" w:evenVBand="0" w:oddHBand="0" w:evenHBand="0" w:firstRowFirstColumn="0" w:firstRowLastColumn="0" w:lastRowFirstColumn="0" w:lastRowLastColumn="0"/>
            <w:tcW w:w="1154" w:type="dxa"/>
          </w:tcPr>
          <w:p w14:paraId="43262DBB" w14:textId="77777777" w:rsidR="003E51A8" w:rsidRPr="00BD7BA6" w:rsidRDefault="003E51A8" w:rsidP="005F7ECC">
            <w:pPr>
              <w:rPr>
                <w:sz w:val="20"/>
                <w:szCs w:val="20"/>
              </w:rPr>
            </w:pPr>
            <w:r w:rsidRPr="00BD7BA6">
              <w:rPr>
                <w:sz w:val="20"/>
                <w:szCs w:val="20"/>
              </w:rPr>
              <w:lastRenderedPageBreak/>
              <w:t>Privacy concerns</w:t>
            </w:r>
          </w:p>
        </w:tc>
        <w:tc>
          <w:tcPr>
            <w:tcW w:w="2966" w:type="dxa"/>
          </w:tcPr>
          <w:p w14:paraId="2AB52658" w14:textId="77777777" w:rsidR="003E51A8"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Putting private documents in your yellow bin is not smart. </w:t>
            </w:r>
          </w:p>
          <w:p w14:paraId="028CB56B" w14:textId="77777777" w:rsidR="003E51A8" w:rsidRPr="004A444F"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If it’s your recycling is it really an invasion of privacy? Really it should just be bottles, cans and cardboard. If you’re concerned about privacy get a shredder. </w:t>
            </w:r>
          </w:p>
        </w:tc>
        <w:tc>
          <w:tcPr>
            <w:tcW w:w="2648" w:type="dxa"/>
          </w:tcPr>
          <w:p w14:paraId="6B188D3B" w14:textId="77777777" w:rsidR="003E51A8"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am concerned about privacy concerns from confidential documents in the bin.</w:t>
            </w:r>
          </w:p>
          <w:p w14:paraId="27EEF597" w14:textId="77777777" w:rsidR="003E51A8" w:rsidRPr="004A444F"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Its actually a crime to go through private garbage bins because of the amount of identity theft.  </w:t>
            </w:r>
          </w:p>
        </w:tc>
        <w:tc>
          <w:tcPr>
            <w:tcW w:w="2248" w:type="dxa"/>
          </w:tcPr>
          <w:p w14:paraId="2BD41E3C" w14:textId="77777777" w:rsidR="003E51A8"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sidRPr="004A444F">
              <w:rPr>
                <w:sz w:val="20"/>
                <w:szCs w:val="20"/>
              </w:rPr>
              <w:t>I didn’t realise that bins had privacy concerns</w:t>
            </w:r>
            <w:r>
              <w:rPr>
                <w:sz w:val="20"/>
                <w:szCs w:val="20"/>
              </w:rPr>
              <w:t xml:space="preserve">. </w:t>
            </w:r>
          </w:p>
          <w:p w14:paraId="155074A7" w14:textId="1E775C1C" w:rsidR="003E51A8" w:rsidRPr="00982049" w:rsidRDefault="003E51A8" w:rsidP="005F7ECC">
            <w:pPr>
              <w:cnfStyle w:val="000000000000" w:firstRow="0" w:lastRow="0" w:firstColumn="0" w:lastColumn="0" w:oddVBand="0" w:evenVBand="0" w:oddHBand="0" w:evenHBand="0" w:firstRowFirstColumn="0" w:firstRowLastColumn="0" w:lastRowFirstColumn="0" w:lastRowLastColumn="0"/>
              <w:rPr>
                <w:sz w:val="20"/>
                <w:szCs w:val="20"/>
              </w:rPr>
            </w:pPr>
          </w:p>
        </w:tc>
      </w:tr>
      <w:tr w:rsidR="003E51A8" w14:paraId="0F0B2E1D" w14:textId="77777777" w:rsidTr="00844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tcPr>
          <w:p w14:paraId="434B33E9" w14:textId="77777777" w:rsidR="003E51A8" w:rsidRPr="00BD7BA6" w:rsidRDefault="003E51A8" w:rsidP="005F7ECC">
            <w:pPr>
              <w:rPr>
                <w:sz w:val="20"/>
                <w:szCs w:val="20"/>
              </w:rPr>
            </w:pPr>
            <w:r>
              <w:rPr>
                <w:sz w:val="20"/>
                <w:szCs w:val="20"/>
              </w:rPr>
              <w:t>Potential to cause a mess</w:t>
            </w:r>
          </w:p>
        </w:tc>
        <w:tc>
          <w:tcPr>
            <w:tcW w:w="2966" w:type="dxa"/>
          </w:tcPr>
          <w:p w14:paraId="37134304" w14:textId="77777777" w:rsidR="003E51A8" w:rsidRPr="004A444F"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Perfectly fine so long as they don’t cause a mess. </w:t>
            </w:r>
          </w:p>
        </w:tc>
        <w:tc>
          <w:tcPr>
            <w:tcW w:w="2648" w:type="dxa"/>
          </w:tcPr>
          <w:p w14:paraId="78FED454" w14:textId="77777777" w:rsidR="003E51A8" w:rsidRPr="004A444F"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Dirty grubs. I’ve seen them in action leaving a mess. </w:t>
            </w:r>
          </w:p>
        </w:tc>
        <w:tc>
          <w:tcPr>
            <w:tcW w:w="2248" w:type="dxa"/>
          </w:tcPr>
          <w:p w14:paraId="63249F96" w14:textId="77777777" w:rsidR="003E51A8" w:rsidRPr="004A444F"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comments</w:t>
            </w:r>
          </w:p>
        </w:tc>
      </w:tr>
      <w:tr w:rsidR="003E51A8" w14:paraId="59F86E54" w14:textId="77777777" w:rsidTr="00844CFC">
        <w:tc>
          <w:tcPr>
            <w:cnfStyle w:val="001000000000" w:firstRow="0" w:lastRow="0" w:firstColumn="1" w:lastColumn="0" w:oddVBand="0" w:evenVBand="0" w:oddHBand="0" w:evenHBand="0" w:firstRowFirstColumn="0" w:firstRowLastColumn="0" w:lastRowFirstColumn="0" w:lastRowLastColumn="0"/>
            <w:tcW w:w="1154" w:type="dxa"/>
          </w:tcPr>
          <w:p w14:paraId="3AF4C23C" w14:textId="77777777" w:rsidR="003E51A8" w:rsidRPr="00BD7BA6" w:rsidRDefault="003E51A8" w:rsidP="005F7ECC">
            <w:pPr>
              <w:rPr>
                <w:sz w:val="20"/>
                <w:szCs w:val="20"/>
              </w:rPr>
            </w:pPr>
            <w:r>
              <w:rPr>
                <w:sz w:val="20"/>
                <w:szCs w:val="20"/>
              </w:rPr>
              <w:t>Concerns about trespassing</w:t>
            </w:r>
          </w:p>
        </w:tc>
        <w:tc>
          <w:tcPr>
            <w:tcW w:w="2966" w:type="dxa"/>
          </w:tcPr>
          <w:p w14:paraId="5ACC5E5F" w14:textId="77777777" w:rsidR="003E51A8" w:rsidRPr="004A444F"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 is on council land and they don’t make a mess</w:t>
            </w:r>
          </w:p>
        </w:tc>
        <w:tc>
          <w:tcPr>
            <w:tcW w:w="2648" w:type="dxa"/>
          </w:tcPr>
          <w:p w14:paraId="6D4D55E6" w14:textId="77777777" w:rsidR="003E51A8" w:rsidRPr="004A444F" w:rsidRDefault="003E51A8" w:rsidP="005F7ECC">
            <w:pPr>
              <w:pStyle w:val="ListParagraph"/>
              <w:numPr>
                <w:ilvl w:val="0"/>
                <w:numId w:val="21"/>
              </w:numPr>
              <w:ind w:left="187" w:hanging="25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Disgusting grubs and they are trespassing if bin is on your property</w:t>
            </w:r>
          </w:p>
        </w:tc>
        <w:tc>
          <w:tcPr>
            <w:tcW w:w="2248" w:type="dxa"/>
          </w:tcPr>
          <w:p w14:paraId="4AE54E44" w14:textId="606C159E" w:rsidR="003E51A8" w:rsidRPr="007A4253" w:rsidRDefault="007A4253" w:rsidP="005F7ECC">
            <w:pPr>
              <w:pStyle w:val="ListParagraph"/>
              <w:numPr>
                <w:ilvl w:val="0"/>
                <w:numId w:val="21"/>
              </w:numPr>
              <w:ind w:left="201" w:hanging="21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comments</w:t>
            </w:r>
          </w:p>
        </w:tc>
      </w:tr>
      <w:tr w:rsidR="003E51A8" w14:paraId="26A6823E" w14:textId="77777777" w:rsidTr="00844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tcPr>
          <w:p w14:paraId="2AAD6E60" w14:textId="77777777" w:rsidR="003E51A8" w:rsidRPr="00BD7BA6" w:rsidRDefault="003E51A8" w:rsidP="005F7ECC">
            <w:pPr>
              <w:rPr>
                <w:sz w:val="20"/>
                <w:szCs w:val="20"/>
              </w:rPr>
            </w:pPr>
            <w:r>
              <w:rPr>
                <w:sz w:val="20"/>
                <w:szCs w:val="20"/>
              </w:rPr>
              <w:t>Safety concerns</w:t>
            </w:r>
          </w:p>
        </w:tc>
        <w:tc>
          <w:tcPr>
            <w:tcW w:w="2966" w:type="dxa"/>
          </w:tcPr>
          <w:p w14:paraId="5A7014E4" w14:textId="77777777" w:rsidR="003E51A8" w:rsidRPr="004A444F"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Absolutely fine but go one step further and make a box for them.</w:t>
            </w:r>
          </w:p>
        </w:tc>
        <w:tc>
          <w:tcPr>
            <w:tcW w:w="2648" w:type="dxa"/>
          </w:tcPr>
          <w:p w14:paraId="5F8832B6" w14:textId="77777777" w:rsidR="003E51A8" w:rsidRDefault="003E51A8"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bit worried they might find yucky nappies. </w:t>
            </w:r>
          </w:p>
          <w:p w14:paraId="256DD913" w14:textId="070E580C" w:rsidR="007A4253" w:rsidRPr="007A4253" w:rsidRDefault="007A4253"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sidRPr="004A444F">
              <w:rPr>
                <w:sz w:val="20"/>
                <w:szCs w:val="20"/>
              </w:rPr>
              <w:t>The only iffy thing is what happens if they cut themselves while in your bin</w:t>
            </w:r>
          </w:p>
        </w:tc>
        <w:tc>
          <w:tcPr>
            <w:tcW w:w="2248" w:type="dxa"/>
          </w:tcPr>
          <w:p w14:paraId="022D807A" w14:textId="3E2CD9D9" w:rsidR="003E51A8" w:rsidRPr="004A444F" w:rsidRDefault="00982049" w:rsidP="005F7ECC">
            <w:pPr>
              <w:pStyle w:val="ListParagraph"/>
              <w:numPr>
                <w:ilvl w:val="0"/>
                <w:numId w:val="21"/>
              </w:numPr>
              <w:ind w:left="187" w:hanging="25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comments</w:t>
            </w:r>
          </w:p>
        </w:tc>
      </w:tr>
    </w:tbl>
    <w:p w14:paraId="5CDF47A9" w14:textId="77777777" w:rsidR="003E51A8" w:rsidRDefault="003E51A8" w:rsidP="005F7ECC"/>
    <w:p w14:paraId="7CCD05A4" w14:textId="77777777" w:rsidR="003E51A8" w:rsidRDefault="003E51A8" w:rsidP="005F7ECC"/>
    <w:p w14:paraId="605E7051" w14:textId="692E7C84" w:rsidR="003E51A8" w:rsidRDefault="003E51A8" w:rsidP="005F7ECC">
      <w:pPr>
        <w:pStyle w:val="Caption"/>
        <w:keepNext/>
      </w:pPr>
      <w:bookmarkStart w:id="63" w:name="_Toc78275044"/>
      <w:r>
        <w:t xml:space="preserve">Figure </w:t>
      </w:r>
      <w:r w:rsidR="000150F9">
        <w:fldChar w:fldCharType="begin"/>
      </w:r>
      <w:r w:rsidR="000150F9">
        <w:instrText xml:space="preserve"> SEQ Figure \* ARABIC </w:instrText>
      </w:r>
      <w:r w:rsidR="000150F9">
        <w:fldChar w:fldCharType="separate"/>
      </w:r>
      <w:r>
        <w:rPr>
          <w:noProof/>
        </w:rPr>
        <w:t>2</w:t>
      </w:r>
      <w:r w:rsidR="000150F9">
        <w:rPr>
          <w:noProof/>
        </w:rPr>
        <w:fldChar w:fldCharType="end"/>
      </w:r>
      <w:r>
        <w:t xml:space="preserve"> Analysis of comments made in Canberra Noticeboard bin diving debate, March 2021</w:t>
      </w:r>
      <w:bookmarkEnd w:id="63"/>
    </w:p>
    <w:p w14:paraId="2207CA7D" w14:textId="3256A1D8" w:rsidR="003E51A8" w:rsidRDefault="007707DF" w:rsidP="005F7ECC">
      <w:pPr>
        <w:keepNext/>
      </w:pPr>
      <w:r>
        <w:rPr>
          <w:noProof/>
        </w:rPr>
        <w:drawing>
          <wp:inline distT="0" distB="0" distL="0" distR="0" wp14:anchorId="0818082B" wp14:editId="263A0597">
            <wp:extent cx="5279666" cy="317365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0077" cy="3185919"/>
                    </a:xfrm>
                    <a:prstGeom prst="rect">
                      <a:avLst/>
                    </a:prstGeom>
                    <a:noFill/>
                  </pic:spPr>
                </pic:pic>
              </a:graphicData>
            </a:graphic>
          </wp:inline>
        </w:drawing>
      </w:r>
    </w:p>
    <w:p w14:paraId="40C5EC69" w14:textId="4A9E49C8" w:rsidR="00417A24" w:rsidRDefault="00DC1B47" w:rsidP="005F7ECC">
      <w:pPr>
        <w:pStyle w:val="Heading3"/>
      </w:pPr>
      <w:bookmarkStart w:id="64" w:name="_Toc78374694"/>
      <w:bookmarkStart w:id="65" w:name="_Toc79490204"/>
      <w:r>
        <w:t>8</w:t>
      </w:r>
      <w:r w:rsidR="005F7ECC">
        <w:t xml:space="preserve">.1b </w:t>
      </w:r>
      <w:r w:rsidR="00F35590">
        <w:t>H</w:t>
      </w:r>
      <w:r w:rsidR="00417A24">
        <w:t>ealth and safety incidents related to kerbside container management</w:t>
      </w:r>
      <w:bookmarkEnd w:id="64"/>
      <w:bookmarkEnd w:id="65"/>
    </w:p>
    <w:p w14:paraId="15074A45" w14:textId="2E0E2282" w:rsidR="006066D3" w:rsidRDefault="00982049" w:rsidP="005F7ECC">
      <w:pPr>
        <w:rPr>
          <w:sz w:val="24"/>
          <w:szCs w:val="24"/>
        </w:rPr>
      </w:pPr>
      <w:r>
        <w:rPr>
          <w:sz w:val="24"/>
          <w:szCs w:val="24"/>
        </w:rPr>
        <w:t xml:space="preserve">ACT NoWaste records of </w:t>
      </w:r>
      <w:r w:rsidR="008901BA">
        <w:rPr>
          <w:sz w:val="24"/>
          <w:szCs w:val="24"/>
        </w:rPr>
        <w:t>W</w:t>
      </w:r>
      <w:r>
        <w:rPr>
          <w:sz w:val="24"/>
          <w:szCs w:val="24"/>
        </w:rPr>
        <w:t xml:space="preserve">orkplace </w:t>
      </w:r>
      <w:r w:rsidR="008901BA">
        <w:rPr>
          <w:sz w:val="24"/>
          <w:szCs w:val="24"/>
        </w:rPr>
        <w:t>H</w:t>
      </w:r>
      <w:r>
        <w:rPr>
          <w:sz w:val="24"/>
          <w:szCs w:val="24"/>
        </w:rPr>
        <w:t xml:space="preserve">ealth and </w:t>
      </w:r>
      <w:r w:rsidR="008901BA">
        <w:rPr>
          <w:sz w:val="24"/>
          <w:szCs w:val="24"/>
        </w:rPr>
        <w:t>S</w:t>
      </w:r>
      <w:r>
        <w:rPr>
          <w:sz w:val="24"/>
          <w:szCs w:val="24"/>
        </w:rPr>
        <w:t xml:space="preserve">afety (WHS) reports were analysed to establish whether these issues feature as policy problems for kerbside recycling. </w:t>
      </w:r>
      <w:r w:rsidR="006066D3" w:rsidRPr="00FE42A8">
        <w:rPr>
          <w:sz w:val="24"/>
          <w:szCs w:val="24"/>
        </w:rPr>
        <w:t xml:space="preserve">Table </w:t>
      </w:r>
      <w:r w:rsidR="003E51A8">
        <w:rPr>
          <w:sz w:val="24"/>
          <w:szCs w:val="24"/>
        </w:rPr>
        <w:t>4</w:t>
      </w:r>
      <w:r w:rsidR="006066D3" w:rsidRPr="00FE42A8">
        <w:rPr>
          <w:sz w:val="24"/>
          <w:szCs w:val="24"/>
        </w:rPr>
        <w:t xml:space="preserve"> below</w:t>
      </w:r>
      <w:r w:rsidR="001D25CA" w:rsidRPr="00FE42A8">
        <w:rPr>
          <w:sz w:val="24"/>
          <w:szCs w:val="24"/>
        </w:rPr>
        <w:t xml:space="preserve"> presents specific examples of </w:t>
      </w:r>
      <w:r>
        <w:rPr>
          <w:sz w:val="24"/>
          <w:szCs w:val="24"/>
        </w:rPr>
        <w:t>WHS incidents</w:t>
      </w:r>
      <w:r w:rsidR="001D25CA" w:rsidRPr="00FE42A8">
        <w:rPr>
          <w:sz w:val="24"/>
          <w:szCs w:val="24"/>
        </w:rPr>
        <w:t xml:space="preserve"> which </w:t>
      </w:r>
      <w:r>
        <w:rPr>
          <w:sz w:val="24"/>
          <w:szCs w:val="24"/>
        </w:rPr>
        <w:t>may have</w:t>
      </w:r>
      <w:r w:rsidR="001D25CA" w:rsidRPr="00FE42A8">
        <w:rPr>
          <w:sz w:val="24"/>
          <w:szCs w:val="24"/>
        </w:rPr>
        <w:t xml:space="preserve"> been caused by offences related to kerbside container management. </w:t>
      </w:r>
      <w:r w:rsidR="006066D3" w:rsidRPr="00FE42A8">
        <w:rPr>
          <w:sz w:val="24"/>
          <w:szCs w:val="24"/>
        </w:rPr>
        <w:t xml:space="preserve">It includes </w:t>
      </w:r>
      <w:r>
        <w:rPr>
          <w:sz w:val="24"/>
          <w:szCs w:val="24"/>
        </w:rPr>
        <w:t>comments drawn from the records</w:t>
      </w:r>
      <w:r w:rsidR="006066D3" w:rsidRPr="00FE42A8">
        <w:rPr>
          <w:sz w:val="24"/>
          <w:szCs w:val="24"/>
        </w:rPr>
        <w:t xml:space="preserve"> to show the types of problems being </w:t>
      </w:r>
      <w:r>
        <w:rPr>
          <w:sz w:val="24"/>
          <w:szCs w:val="24"/>
        </w:rPr>
        <w:t>reported</w:t>
      </w:r>
      <w:r w:rsidR="006066D3" w:rsidRPr="00FE42A8">
        <w:rPr>
          <w:sz w:val="24"/>
          <w:szCs w:val="24"/>
        </w:rPr>
        <w:t xml:space="preserve"> and the nature of the impacts involved. </w:t>
      </w:r>
    </w:p>
    <w:p w14:paraId="49FDA838" w14:textId="77694CE9" w:rsidR="00982049" w:rsidRDefault="00982049" w:rsidP="005F7ECC">
      <w:pPr>
        <w:rPr>
          <w:sz w:val="24"/>
          <w:szCs w:val="24"/>
        </w:rPr>
      </w:pPr>
      <w:r>
        <w:rPr>
          <w:sz w:val="24"/>
          <w:szCs w:val="24"/>
        </w:rPr>
        <w:lastRenderedPageBreak/>
        <w:t xml:space="preserve">The results suggest that </w:t>
      </w:r>
      <w:r w:rsidR="0036798C">
        <w:rPr>
          <w:sz w:val="24"/>
          <w:szCs w:val="24"/>
        </w:rPr>
        <w:t xml:space="preserve">multiple WHS incidents have likely resulted from the following three existing offences, as shown in Figure 3: </w:t>
      </w:r>
    </w:p>
    <w:p w14:paraId="3F5E54D3" w14:textId="3B4B6EA9" w:rsidR="00982049" w:rsidRDefault="0036798C" w:rsidP="005F7ECC">
      <w:pPr>
        <w:pStyle w:val="ReportList1"/>
      </w:pPr>
      <w:r>
        <w:t>Failure to ensure that a waste container is placed where a waste collection service has unobstructed access to the container on waste collection day (S2I(c)(ii))</w:t>
      </w:r>
      <w:r w:rsidR="00C42420">
        <w:t>,</w:t>
      </w:r>
    </w:p>
    <w:p w14:paraId="1606D444" w14:textId="6FD2CBD7" w:rsidR="00982049" w:rsidRDefault="0036798C" w:rsidP="005F7ECC">
      <w:pPr>
        <w:pStyle w:val="ReportList1"/>
      </w:pPr>
      <w:r>
        <w:t>Placing waste in a domestic waste container that is not domestic waste (S18(1))</w:t>
      </w:r>
      <w:r w:rsidR="00C42420">
        <w:t>,</w:t>
      </w:r>
      <w:r>
        <w:t xml:space="preserve"> and</w:t>
      </w:r>
    </w:p>
    <w:p w14:paraId="2FB779DF" w14:textId="67250A50" w:rsidR="0036798C" w:rsidRPr="00FE42A8" w:rsidRDefault="0036798C" w:rsidP="005F7ECC">
      <w:pPr>
        <w:pStyle w:val="ReportList1"/>
      </w:pPr>
      <w:r w:rsidRPr="0036798C">
        <w:t>Placing waste that is not recyclable into a domestic recyclable waste container</w:t>
      </w:r>
      <w:r>
        <w:t xml:space="preserve"> (S18(2)). </w:t>
      </w:r>
    </w:p>
    <w:p w14:paraId="0BDCF221" w14:textId="389EF0D9" w:rsidR="00844CFC" w:rsidRDefault="00844CFC" w:rsidP="005F7ECC">
      <w:pPr>
        <w:rPr>
          <w:sz w:val="24"/>
          <w:szCs w:val="24"/>
        </w:rPr>
      </w:pPr>
      <w:r>
        <w:rPr>
          <w:sz w:val="24"/>
          <w:szCs w:val="24"/>
        </w:rPr>
        <w:t>The data include</w:t>
      </w:r>
      <w:r w:rsidR="008901BA">
        <w:rPr>
          <w:sz w:val="24"/>
          <w:szCs w:val="24"/>
        </w:rPr>
        <w:t>s</w:t>
      </w:r>
      <w:r>
        <w:rPr>
          <w:sz w:val="24"/>
          <w:szCs w:val="24"/>
        </w:rPr>
        <w:t xml:space="preserve"> records of 40 apparent kerbside container offences having been reported over a five</w:t>
      </w:r>
      <w:r w:rsidR="00875232">
        <w:rPr>
          <w:sz w:val="24"/>
          <w:szCs w:val="24"/>
        </w:rPr>
        <w:t>-</w:t>
      </w:r>
      <w:r>
        <w:rPr>
          <w:sz w:val="24"/>
          <w:szCs w:val="24"/>
        </w:rPr>
        <w:t xml:space="preserve">year period, which is an average of about eight per year. </w:t>
      </w:r>
      <w:r w:rsidR="008901BA">
        <w:rPr>
          <w:sz w:val="24"/>
          <w:szCs w:val="24"/>
        </w:rPr>
        <w:t>T</w:t>
      </w:r>
      <w:r>
        <w:rPr>
          <w:sz w:val="24"/>
          <w:szCs w:val="24"/>
        </w:rPr>
        <w:t xml:space="preserve">he total number of offences is likely to have been higher </w:t>
      </w:r>
      <w:r w:rsidR="00875232">
        <w:rPr>
          <w:sz w:val="24"/>
          <w:szCs w:val="24"/>
        </w:rPr>
        <w:t xml:space="preserve">as reporting is skewed towards more serious incidents involving actual harm. </w:t>
      </w:r>
      <w:r>
        <w:rPr>
          <w:sz w:val="24"/>
          <w:szCs w:val="24"/>
        </w:rPr>
        <w:t xml:space="preserve"> </w:t>
      </w:r>
    </w:p>
    <w:p w14:paraId="031B55E7" w14:textId="0A175A88" w:rsidR="00AB19DF" w:rsidRDefault="00CD4992" w:rsidP="005F7ECC">
      <w:r>
        <w:rPr>
          <w:sz w:val="24"/>
          <w:szCs w:val="24"/>
        </w:rPr>
        <w:t>The</w:t>
      </w:r>
      <w:r w:rsidR="00DB2D3A">
        <w:rPr>
          <w:sz w:val="24"/>
          <w:szCs w:val="24"/>
        </w:rPr>
        <w:t xml:space="preserve"> reasons for lack of enforcement action on these </w:t>
      </w:r>
      <w:r w:rsidR="00844CFC">
        <w:rPr>
          <w:sz w:val="24"/>
          <w:szCs w:val="24"/>
        </w:rPr>
        <w:t xml:space="preserve">types of </w:t>
      </w:r>
      <w:r w:rsidR="00DB2D3A">
        <w:rPr>
          <w:sz w:val="24"/>
          <w:szCs w:val="24"/>
        </w:rPr>
        <w:t>incidents differ</w:t>
      </w:r>
      <w:r>
        <w:rPr>
          <w:sz w:val="24"/>
          <w:szCs w:val="24"/>
        </w:rPr>
        <w:t>. For incidents relating to placement of containers, a key issue is that ACT contractors cann</w:t>
      </w:r>
      <w:r w:rsidR="00095D87">
        <w:rPr>
          <w:sz w:val="24"/>
          <w:szCs w:val="24"/>
        </w:rPr>
        <w:t xml:space="preserve">ot be authorised officers with capacity to issue infringements. They have also not been trained in gathering evidence for issuing infringements, and there are no systems in place to support them to initiate regulatory action. For offences </w:t>
      </w:r>
      <w:r w:rsidR="008901BA">
        <w:rPr>
          <w:sz w:val="24"/>
          <w:szCs w:val="24"/>
        </w:rPr>
        <w:t>relating to</w:t>
      </w:r>
      <w:r w:rsidR="003F20F0">
        <w:rPr>
          <w:sz w:val="24"/>
          <w:szCs w:val="24"/>
        </w:rPr>
        <w:t xml:space="preserve"> </w:t>
      </w:r>
      <w:r w:rsidR="00095D87">
        <w:rPr>
          <w:sz w:val="24"/>
          <w:szCs w:val="24"/>
        </w:rPr>
        <w:t xml:space="preserve">placing incorrect waste in containers, enforcement action is difficult </w:t>
      </w:r>
      <w:r w:rsidR="008901BA">
        <w:rPr>
          <w:sz w:val="24"/>
          <w:szCs w:val="24"/>
        </w:rPr>
        <w:t xml:space="preserve">as it is hard to identify </w:t>
      </w:r>
      <w:r w:rsidR="00AB19DF" w:rsidRPr="00FE42A8">
        <w:rPr>
          <w:sz w:val="24"/>
          <w:szCs w:val="24"/>
        </w:rPr>
        <w:t>which household</w:t>
      </w:r>
      <w:r w:rsidR="00095D87">
        <w:rPr>
          <w:sz w:val="24"/>
          <w:szCs w:val="24"/>
        </w:rPr>
        <w:t xml:space="preserve">s are responsible for placing the wrong waste in the collections. </w:t>
      </w:r>
      <w:r w:rsidR="00095D87" w:rsidRPr="00192EB6">
        <w:rPr>
          <w:sz w:val="24"/>
          <w:szCs w:val="24"/>
        </w:rPr>
        <w:t xml:space="preserve">This </w:t>
      </w:r>
      <w:r w:rsidR="00C51828">
        <w:rPr>
          <w:sz w:val="24"/>
          <w:szCs w:val="24"/>
        </w:rPr>
        <w:t>may</w:t>
      </w:r>
      <w:r w:rsidR="00095D87" w:rsidRPr="00192EB6">
        <w:rPr>
          <w:sz w:val="24"/>
          <w:szCs w:val="24"/>
        </w:rPr>
        <w:t xml:space="preserve"> </w:t>
      </w:r>
      <w:r w:rsidR="0007433B">
        <w:rPr>
          <w:sz w:val="24"/>
          <w:szCs w:val="24"/>
        </w:rPr>
        <w:t>be reduced in the case of</w:t>
      </w:r>
      <w:r w:rsidR="00095D87" w:rsidRPr="00192EB6">
        <w:rPr>
          <w:sz w:val="24"/>
          <w:szCs w:val="24"/>
        </w:rPr>
        <w:t xml:space="preserve"> future FOGO collections, </w:t>
      </w:r>
      <w:r w:rsidR="00C51828">
        <w:rPr>
          <w:sz w:val="24"/>
          <w:szCs w:val="24"/>
        </w:rPr>
        <w:t xml:space="preserve">as </w:t>
      </w:r>
      <w:r w:rsidR="00095D87" w:rsidRPr="00192EB6">
        <w:rPr>
          <w:sz w:val="24"/>
          <w:szCs w:val="24"/>
        </w:rPr>
        <w:t xml:space="preserve">camera technology on collection vehicles </w:t>
      </w:r>
      <w:r w:rsidR="00C51828">
        <w:rPr>
          <w:sz w:val="24"/>
          <w:szCs w:val="24"/>
        </w:rPr>
        <w:t xml:space="preserve">could </w:t>
      </w:r>
      <w:r w:rsidR="0007433B">
        <w:rPr>
          <w:sz w:val="24"/>
          <w:szCs w:val="24"/>
        </w:rPr>
        <w:t>provide evidence of individual waste container composition</w:t>
      </w:r>
      <w:r w:rsidR="00095D87" w:rsidRPr="00192EB6">
        <w:rPr>
          <w:sz w:val="24"/>
          <w:szCs w:val="24"/>
        </w:rPr>
        <w:t>.</w:t>
      </w:r>
    </w:p>
    <w:p w14:paraId="3AB6CFF2" w14:textId="4D178B9A" w:rsidR="006D43F8" w:rsidRDefault="00F03BC8" w:rsidP="005F7ECC">
      <w:pPr>
        <w:pStyle w:val="Caption"/>
      </w:pPr>
      <w:bookmarkStart w:id="66" w:name="_Toc78275034"/>
      <w:r>
        <w:t xml:space="preserve">Table </w:t>
      </w:r>
      <w:r w:rsidR="000150F9">
        <w:fldChar w:fldCharType="begin"/>
      </w:r>
      <w:r w:rsidR="000150F9">
        <w:instrText xml:space="preserve"> SEQ Table \* ARABIC </w:instrText>
      </w:r>
      <w:r w:rsidR="000150F9">
        <w:fldChar w:fldCharType="separate"/>
      </w:r>
      <w:r w:rsidR="002C4D5A">
        <w:rPr>
          <w:noProof/>
        </w:rPr>
        <w:t>4</w:t>
      </w:r>
      <w:r w:rsidR="000150F9">
        <w:rPr>
          <w:noProof/>
        </w:rPr>
        <w:fldChar w:fldCharType="end"/>
      </w:r>
      <w:r>
        <w:t xml:space="preserve"> Excerpts from workplace health and safety incidents from </w:t>
      </w:r>
      <w:r w:rsidR="005B5087">
        <w:t>likely kerbside container offences</w:t>
      </w:r>
      <w:bookmarkEnd w:id="66"/>
    </w:p>
    <w:tbl>
      <w:tblPr>
        <w:tblStyle w:val="GridTable4-Accent1"/>
        <w:tblW w:w="0" w:type="auto"/>
        <w:tblLook w:val="04A0" w:firstRow="1" w:lastRow="0" w:firstColumn="1" w:lastColumn="0" w:noHBand="0" w:noVBand="1"/>
      </w:tblPr>
      <w:tblGrid>
        <w:gridCol w:w="1838"/>
        <w:gridCol w:w="7178"/>
      </w:tblGrid>
      <w:tr w:rsidR="006D43F8" w14:paraId="5F4AB9DB" w14:textId="77777777" w:rsidTr="006D4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412850" w14:textId="5B14894E" w:rsidR="006D43F8" w:rsidRDefault="006D43F8" w:rsidP="005F7ECC">
            <w:r>
              <w:t>Offence</w:t>
            </w:r>
          </w:p>
        </w:tc>
        <w:tc>
          <w:tcPr>
            <w:tcW w:w="7178" w:type="dxa"/>
          </w:tcPr>
          <w:p w14:paraId="61B45C6D" w14:textId="3DE44C7A" w:rsidR="006D43F8" w:rsidRDefault="006D43F8" w:rsidP="005F7ECC">
            <w:pPr>
              <w:cnfStyle w:val="100000000000" w:firstRow="1" w:lastRow="0" w:firstColumn="0" w:lastColumn="0" w:oddVBand="0" w:evenVBand="0" w:oddHBand="0" w:evenHBand="0" w:firstRowFirstColumn="0" w:firstRowLastColumn="0" w:lastRowFirstColumn="0" w:lastRowLastColumn="0"/>
            </w:pPr>
            <w:r>
              <w:t xml:space="preserve">Excerpt of reported incident </w:t>
            </w:r>
          </w:p>
        </w:tc>
      </w:tr>
      <w:tr w:rsidR="0036798C" w14:paraId="7E3CC0E0" w14:textId="77777777" w:rsidTr="00844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7BE0AD" w14:textId="77777777" w:rsidR="0036798C" w:rsidRDefault="0036798C" w:rsidP="005F7ECC">
            <w:pPr>
              <w:rPr>
                <w:rFonts w:ascii="Calibri" w:hAnsi="Calibri" w:cs="Calibri"/>
                <w:color w:val="000000"/>
              </w:rPr>
            </w:pPr>
            <w:r>
              <w:rPr>
                <w:rFonts w:ascii="Calibri" w:hAnsi="Calibri" w:cs="Calibri"/>
                <w:color w:val="000000"/>
              </w:rPr>
              <w:t>Obstructed location of a waste container</w:t>
            </w:r>
          </w:p>
        </w:tc>
        <w:tc>
          <w:tcPr>
            <w:tcW w:w="7178" w:type="dxa"/>
          </w:tcPr>
          <w:p w14:paraId="6F671201" w14:textId="7C064426" w:rsidR="0036798C"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rsidRPr="00332FD5">
              <w:t>Driver was reversing in a narrow area and</w:t>
            </w:r>
            <w:r w:rsidR="008901BA">
              <w:t xml:space="preserve"> collided with </w:t>
            </w:r>
            <w:r w:rsidRPr="00332FD5">
              <w:t>a brick wall.  Damage to the brick wall was sustained.</w:t>
            </w:r>
          </w:p>
          <w:p w14:paraId="602AA34D" w14:textId="17716BB4" w:rsidR="0036798C"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t>A driver</w:t>
            </w:r>
            <w:r w:rsidRPr="00332FD5">
              <w:t xml:space="preserve"> collided with the </w:t>
            </w:r>
            <w:r w:rsidR="008901BA" w:rsidRPr="00332FD5">
              <w:t>resident’s</w:t>
            </w:r>
            <w:r w:rsidRPr="00332FD5">
              <w:t xml:space="preserve"> bin and in the process of cleaning up, the resident approached the driver and started abusing him.</w:t>
            </w:r>
          </w:p>
          <w:p w14:paraId="5EC7B363" w14:textId="77777777" w:rsidR="0036798C"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rsidRPr="00332FD5">
              <w:t>Driver has tried reversing into the complex to service the RC bins onsite. Driver has not seen a low hanging awning and has damaged the sound insulation on the building.</w:t>
            </w:r>
          </w:p>
          <w:p w14:paraId="2E39C4D1" w14:textId="77777777" w:rsidR="0036798C"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rsidRPr="00332FD5">
              <w:t>Collection Vehicle 726 Reversed into car on roadway during normal kerbside collections.</w:t>
            </w:r>
          </w:p>
          <w:p w14:paraId="79405652" w14:textId="77AA0316" w:rsidR="0036798C"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rsidRPr="00332FD5">
              <w:t xml:space="preserve">Side Lift Collection Driver has attempted to service a </w:t>
            </w:r>
            <w:r w:rsidR="008901BA" w:rsidRPr="00332FD5">
              <w:t>non-presented</w:t>
            </w:r>
            <w:r w:rsidRPr="00332FD5">
              <w:t xml:space="preserve"> bin. When attempting to close grab and pick bin up grab has damaged a tap</w:t>
            </w:r>
            <w:r>
              <w:t>.</w:t>
            </w:r>
          </w:p>
          <w:p w14:paraId="343C842C" w14:textId="77777777" w:rsidR="0036798C"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t>As driver picked up bin the bin collided with wall. Residents have previously been asked to place bins in specified areas.</w:t>
            </w:r>
          </w:p>
          <w:p w14:paraId="10A7538B" w14:textId="77777777" w:rsidR="0036798C" w:rsidRPr="008C3D56" w:rsidRDefault="0036798C"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rsidRPr="0071439E">
              <w:t xml:space="preserve">The kerbside recycling driver was collecting </w:t>
            </w:r>
            <w:r>
              <w:t xml:space="preserve">a waste container </w:t>
            </w:r>
            <w:r w:rsidRPr="0071439E">
              <w:t>when two pedestrians that he had previously passed walked alongside the truck and underneath the lifter as the driver was lowering the bin.</w:t>
            </w:r>
            <w:r>
              <w:t xml:space="preserve"> Both the pedestrian and driver required medical reviews. </w:t>
            </w:r>
          </w:p>
        </w:tc>
      </w:tr>
      <w:tr w:rsidR="006D43F8" w14:paraId="49B78444" w14:textId="77777777" w:rsidTr="006D43F8">
        <w:tc>
          <w:tcPr>
            <w:cnfStyle w:val="001000000000" w:firstRow="0" w:lastRow="0" w:firstColumn="1" w:lastColumn="0" w:oddVBand="0" w:evenVBand="0" w:oddHBand="0" w:evenHBand="0" w:firstRowFirstColumn="0" w:firstRowLastColumn="0" w:lastRowFirstColumn="0" w:lastRowLastColumn="0"/>
            <w:tcW w:w="1838" w:type="dxa"/>
          </w:tcPr>
          <w:p w14:paraId="50C8F4DA" w14:textId="77777777" w:rsidR="006D43F8" w:rsidRDefault="006D43F8" w:rsidP="005F7ECC">
            <w:r>
              <w:t xml:space="preserve">Placing waste in a domestic waste </w:t>
            </w:r>
            <w:r>
              <w:lastRenderedPageBreak/>
              <w:t>container that is not domestic waste</w:t>
            </w:r>
          </w:p>
        </w:tc>
        <w:tc>
          <w:tcPr>
            <w:tcW w:w="7178" w:type="dxa"/>
          </w:tcPr>
          <w:p w14:paraId="4866376C" w14:textId="4319A207" w:rsidR="006D43F8" w:rsidRPr="0058266C" w:rsidRDefault="006D43F8" w:rsidP="005F7ECC">
            <w:pPr>
              <w:pStyle w:val="ListParagraph"/>
              <w:numPr>
                <w:ilvl w:val="0"/>
                <w:numId w:val="16"/>
              </w:numPr>
              <w:ind w:left="311"/>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266C">
              <w:rPr>
                <w:rFonts w:ascii="Calibri" w:hAnsi="Calibri" w:cs="Calibri"/>
              </w:rPr>
              <w:lastRenderedPageBreak/>
              <w:t xml:space="preserve">A small fire or 'hot-load' in a waste compartment of the domestic waste collection truck was discovered upon delivery to the landfill weighbridge. </w:t>
            </w:r>
            <w:r w:rsidRPr="0058266C">
              <w:rPr>
                <w:rFonts w:ascii="Calibri" w:hAnsi="Calibri" w:cs="Calibri"/>
              </w:rPr>
              <w:lastRenderedPageBreak/>
              <w:t>The fire was extinguished just off of the weighbridge. The load was then deposited under the spray of a water-cart in a clear and separate area of the working landfill. Plant machinery was used to rotate the waste load ensuring complete water coverage, before being covered with soil and left for 24 hours of observation. There were no further reports of re-ignition.</w:t>
            </w:r>
          </w:p>
          <w:p w14:paraId="19DCD4F3" w14:textId="0EE773B8" w:rsidR="006D43F8" w:rsidRPr="0058266C" w:rsidRDefault="006D43F8" w:rsidP="005F7ECC">
            <w:pPr>
              <w:pStyle w:val="ListParagraph"/>
              <w:numPr>
                <w:ilvl w:val="0"/>
                <w:numId w:val="16"/>
              </w:numPr>
              <w:ind w:left="311"/>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8266C">
              <w:rPr>
                <w:rFonts w:ascii="Calibri" w:hAnsi="Calibri" w:cs="Calibri"/>
                <w:color w:val="000000"/>
              </w:rPr>
              <w:t xml:space="preserve">Collection driver noticed smoke in his truck and found a hot load in rubbish.  </w:t>
            </w:r>
          </w:p>
          <w:p w14:paraId="4C7FF4E4" w14:textId="50456451" w:rsidR="006D43F8" w:rsidRPr="0058266C" w:rsidRDefault="006D43F8" w:rsidP="005F7ECC">
            <w:pPr>
              <w:pStyle w:val="ListParagraph"/>
              <w:numPr>
                <w:ilvl w:val="0"/>
                <w:numId w:val="16"/>
              </w:numPr>
              <w:ind w:left="311"/>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266C">
              <w:rPr>
                <w:rFonts w:ascii="Calibri" w:hAnsi="Calibri" w:cs="Calibri"/>
              </w:rPr>
              <w:t xml:space="preserve">Whilst servicing residential kerbside bins, a bin was collected (address unknown) which contained Li-ion batteries. The batteries combusted inside the hopper resulting in a "hot load". Driver followed "hot load " procedure and emptied load in a suitable area. </w:t>
            </w:r>
          </w:p>
          <w:p w14:paraId="123D0362" w14:textId="4D993CB1" w:rsidR="006D43F8" w:rsidRDefault="006D43F8" w:rsidP="005F7ECC">
            <w:pPr>
              <w:pStyle w:val="ListParagraph"/>
              <w:numPr>
                <w:ilvl w:val="0"/>
                <w:numId w:val="16"/>
              </w:numPr>
              <w:ind w:left="311"/>
              <w:cnfStyle w:val="000000000000" w:firstRow="0" w:lastRow="0" w:firstColumn="0" w:lastColumn="0" w:oddVBand="0" w:evenVBand="0" w:oddHBand="0" w:evenHBand="0" w:firstRowFirstColumn="0" w:firstRowLastColumn="0" w:lastRowFirstColumn="0" w:lastRowLastColumn="0"/>
            </w:pPr>
            <w:r w:rsidRPr="0058266C">
              <w:rPr>
                <w:rFonts w:ascii="Calibri" w:hAnsi="Calibri" w:cs="Calibri"/>
              </w:rPr>
              <w:t>Something self-combusted in a 32m</w:t>
            </w:r>
            <w:r w:rsidRPr="00192EB6">
              <w:rPr>
                <w:rFonts w:ascii="Calibri" w:hAnsi="Calibri" w:cs="Calibri"/>
                <w:vertAlign w:val="superscript"/>
              </w:rPr>
              <w:t>3</w:t>
            </w:r>
            <w:r w:rsidRPr="0058266C">
              <w:rPr>
                <w:rFonts w:ascii="Calibri" w:hAnsi="Calibri" w:cs="Calibri"/>
              </w:rPr>
              <w:t xml:space="preserve"> general waste bin which caused a fire to start.</w:t>
            </w:r>
          </w:p>
        </w:tc>
      </w:tr>
      <w:tr w:rsidR="006D43F8" w14:paraId="31C78E4D" w14:textId="77777777" w:rsidTr="006D4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05A115A" w14:textId="77777777" w:rsidR="006D43F8" w:rsidRDefault="006D43F8" w:rsidP="005F7ECC">
            <w:pPr>
              <w:rPr>
                <w:rFonts w:ascii="Calibri" w:hAnsi="Calibri" w:cs="Calibri"/>
                <w:color w:val="000000"/>
              </w:rPr>
            </w:pPr>
            <w:r>
              <w:rPr>
                <w:rFonts w:ascii="Calibri" w:hAnsi="Calibri" w:cs="Calibri"/>
                <w:color w:val="000000"/>
              </w:rPr>
              <w:lastRenderedPageBreak/>
              <w:t>Placing waste that is not recyclable into a domestic recyclable waste container</w:t>
            </w:r>
          </w:p>
          <w:p w14:paraId="3A586BB5" w14:textId="77777777" w:rsidR="006D43F8" w:rsidRDefault="006D43F8" w:rsidP="005F7ECC"/>
        </w:tc>
        <w:tc>
          <w:tcPr>
            <w:tcW w:w="7178" w:type="dxa"/>
          </w:tcPr>
          <w:p w14:paraId="6D28D991" w14:textId="77777777" w:rsidR="006D43F8" w:rsidRDefault="006D43F8"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pPr>
            <w:r w:rsidRPr="008C3D56">
              <w:t>Resident reported that someone had placed asbestos or some kind of contaminated material in her Territory provided recycling bin and when she opened it a lot of dust came out, which she breathed in and had to go to hospital due to respiratory shut down which she was quite distressed and upset about as she is pregnant.</w:t>
            </w:r>
          </w:p>
          <w:p w14:paraId="5DCA34DF" w14:textId="25AED68F" w:rsidR="006D43F8" w:rsidRPr="0058266C" w:rsidRDefault="006D43F8"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 xml:space="preserve">Syringes found in the recycling hopper that was collected. </w:t>
            </w:r>
          </w:p>
          <w:p w14:paraId="1143A47B" w14:textId="77777777" w:rsidR="006D43F8" w:rsidRPr="0058266C" w:rsidRDefault="006D43F8"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Driver noticed smoke coming from hopper of the recycling collection vehicle and closed blade to smoulder fire.</w:t>
            </w:r>
          </w:p>
          <w:p w14:paraId="72724877" w14:textId="4DA4AD8F" w:rsidR="006D43F8" w:rsidRPr="0058266C" w:rsidRDefault="006D43F8"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Waste collection vehicle entered the Mugga Lane RMC with its load on fire contained in the back of the truck. The driver proceeded onto the main roundabout at the site entrance and unloaded the smouldering waste onto the ground. When the load was on the ground the load flared into a fire.</w:t>
            </w:r>
          </w:p>
          <w:p w14:paraId="7822877D" w14:textId="41A31E8A" w:rsidR="006D43F8" w:rsidRPr="0058266C" w:rsidRDefault="006D43F8" w:rsidP="005F7ECC">
            <w:pPr>
              <w:pStyle w:val="ListParagraph"/>
              <w:numPr>
                <w:ilvl w:val="0"/>
                <w:numId w:val="17"/>
              </w:numPr>
              <w:ind w:left="311"/>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Staff member was punctured by an unidentified syringe in the upper left forearm whilst moving a mattress onto the cutting table.</w:t>
            </w:r>
          </w:p>
          <w:p w14:paraId="5FB4AFC2" w14:textId="77777777" w:rsidR="006D43F8" w:rsidRDefault="006D43F8" w:rsidP="005F7ECC">
            <w:pPr>
              <w:cnfStyle w:val="000000100000" w:firstRow="0" w:lastRow="0" w:firstColumn="0" w:lastColumn="0" w:oddVBand="0" w:evenVBand="0" w:oddHBand="1" w:evenHBand="0" w:firstRowFirstColumn="0" w:firstRowLastColumn="0" w:lastRowFirstColumn="0" w:lastRowLastColumn="0"/>
            </w:pPr>
          </w:p>
        </w:tc>
      </w:tr>
    </w:tbl>
    <w:p w14:paraId="4793CED2" w14:textId="4E743A22" w:rsidR="006D43F8" w:rsidRDefault="006D43F8" w:rsidP="005F7ECC"/>
    <w:p w14:paraId="5BE715A6" w14:textId="0CA6C234" w:rsidR="0071439E" w:rsidRPr="00EA1600" w:rsidRDefault="0071439E" w:rsidP="005F7ECC">
      <w:pPr>
        <w:pStyle w:val="Caption"/>
        <w:keepNext/>
      </w:pPr>
      <w:bookmarkStart w:id="67" w:name="_Toc78275045"/>
      <w:r>
        <w:lastRenderedPageBreak/>
        <w:t xml:space="preserve">Figure </w:t>
      </w:r>
      <w:r w:rsidR="000150F9">
        <w:fldChar w:fldCharType="begin"/>
      </w:r>
      <w:r w:rsidR="000150F9">
        <w:instrText xml:space="preserve"> SEQ Figure \* ARABIC </w:instrText>
      </w:r>
      <w:r w:rsidR="000150F9">
        <w:fldChar w:fldCharType="separate"/>
      </w:r>
      <w:r w:rsidR="003E51A8">
        <w:rPr>
          <w:noProof/>
        </w:rPr>
        <w:t>3</w:t>
      </w:r>
      <w:r w:rsidR="000150F9">
        <w:rPr>
          <w:noProof/>
        </w:rPr>
        <w:fldChar w:fldCharType="end"/>
      </w:r>
      <w:r>
        <w:t xml:space="preserve"> </w:t>
      </w:r>
      <w:r w:rsidR="00D10AC8">
        <w:t>Analysis</w:t>
      </w:r>
      <w:r w:rsidR="005F68F0">
        <w:t xml:space="preserve"> of w</w:t>
      </w:r>
      <w:r>
        <w:t xml:space="preserve">orkplace health and safety incidents caused by </w:t>
      </w:r>
      <w:r w:rsidR="005B5087">
        <w:t xml:space="preserve">likely kerbside container </w:t>
      </w:r>
      <w:r>
        <w:t>offences</w:t>
      </w:r>
      <w:r w:rsidR="005F68F0">
        <w:t>, 2017-2021</w:t>
      </w:r>
      <w:bookmarkEnd w:id="67"/>
    </w:p>
    <w:p w14:paraId="5AFCEF86" w14:textId="0031FBE3" w:rsidR="00985A08" w:rsidRDefault="00982049" w:rsidP="005F7ECC">
      <w:r>
        <w:rPr>
          <w:noProof/>
        </w:rPr>
        <w:drawing>
          <wp:inline distT="0" distB="0" distL="0" distR="0" wp14:anchorId="036E2F85" wp14:editId="2BD75DB0">
            <wp:extent cx="5974715" cy="4474845"/>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715" cy="4474845"/>
                    </a:xfrm>
                    <a:prstGeom prst="rect">
                      <a:avLst/>
                    </a:prstGeom>
                    <a:noFill/>
                  </pic:spPr>
                </pic:pic>
              </a:graphicData>
            </a:graphic>
          </wp:inline>
        </w:drawing>
      </w:r>
    </w:p>
    <w:p w14:paraId="21953A13" w14:textId="7338C29F" w:rsidR="00127724" w:rsidRPr="006E649F" w:rsidRDefault="00DC1B47" w:rsidP="005F7ECC">
      <w:pPr>
        <w:pStyle w:val="Heading2"/>
      </w:pPr>
      <w:bookmarkStart w:id="68" w:name="_Toc78374695"/>
      <w:bookmarkStart w:id="69" w:name="_Toc79490205"/>
      <w:r>
        <w:t>8</w:t>
      </w:r>
      <w:r w:rsidR="00250373" w:rsidRPr="006E649F">
        <w:t>.</w:t>
      </w:r>
      <w:r w:rsidR="005F7ECC">
        <w:t>2</w:t>
      </w:r>
      <w:r w:rsidR="005C26B0" w:rsidRPr="006E649F">
        <w:t xml:space="preserve"> </w:t>
      </w:r>
      <w:r w:rsidR="00127724" w:rsidRPr="006E649F">
        <w:t>Objectives</w:t>
      </w:r>
      <w:bookmarkEnd w:id="68"/>
      <w:bookmarkEnd w:id="69"/>
    </w:p>
    <w:p w14:paraId="7079ABCD" w14:textId="1126650D" w:rsidR="00652D7D" w:rsidRPr="00875232" w:rsidRDefault="00875232" w:rsidP="005F7ECC">
      <w:pPr>
        <w:rPr>
          <w:sz w:val="24"/>
          <w:szCs w:val="24"/>
        </w:rPr>
      </w:pPr>
      <w:r w:rsidRPr="00875232">
        <w:rPr>
          <w:sz w:val="24"/>
          <w:szCs w:val="24"/>
        </w:rPr>
        <w:t xml:space="preserve">Taking account of the above, the </w:t>
      </w:r>
      <w:r w:rsidR="00652D7D" w:rsidRPr="00875232">
        <w:rPr>
          <w:sz w:val="24"/>
          <w:szCs w:val="24"/>
        </w:rPr>
        <w:t xml:space="preserve">objectives of the amendments to Part 4 of the Regulation </w:t>
      </w:r>
      <w:r w:rsidRPr="00875232">
        <w:rPr>
          <w:sz w:val="24"/>
          <w:szCs w:val="24"/>
        </w:rPr>
        <w:t xml:space="preserve">dealing with kerbside container management </w:t>
      </w:r>
      <w:r w:rsidR="00652D7D" w:rsidRPr="00875232">
        <w:rPr>
          <w:sz w:val="24"/>
          <w:szCs w:val="24"/>
        </w:rPr>
        <w:t xml:space="preserve">are </w:t>
      </w:r>
      <w:r w:rsidR="008901BA">
        <w:rPr>
          <w:sz w:val="24"/>
          <w:szCs w:val="24"/>
        </w:rPr>
        <w:t>required</w:t>
      </w:r>
      <w:r w:rsidR="00652D7D" w:rsidRPr="00875232">
        <w:rPr>
          <w:sz w:val="24"/>
          <w:szCs w:val="24"/>
        </w:rPr>
        <w:t xml:space="preserve"> to: </w:t>
      </w:r>
    </w:p>
    <w:p w14:paraId="5A3A34C1" w14:textId="1267412D" w:rsidR="00652D7D" w:rsidRPr="00875232" w:rsidRDefault="00652D7D" w:rsidP="005F7ECC">
      <w:pPr>
        <w:pStyle w:val="ReportList1"/>
      </w:pPr>
      <w:r w:rsidRPr="00875232">
        <w:t xml:space="preserve">Clarify the responsibilities of </w:t>
      </w:r>
      <w:r w:rsidR="00B172AD">
        <w:t xml:space="preserve">both the </w:t>
      </w:r>
      <w:r w:rsidR="008901BA">
        <w:t>T</w:t>
      </w:r>
      <w:r w:rsidR="00B172AD">
        <w:t xml:space="preserve">erritory and </w:t>
      </w:r>
      <w:r w:rsidRPr="00875232">
        <w:t>occupiers</w:t>
      </w:r>
      <w:r w:rsidR="00B172AD">
        <w:t>, or persons living at premises</w:t>
      </w:r>
      <w:r w:rsidRPr="00875232">
        <w:t xml:space="preserve"> so that the Regulation identifies appropriate behaviour before establishing offences</w:t>
      </w:r>
      <w:r w:rsidR="00C42420">
        <w:t>,</w:t>
      </w:r>
    </w:p>
    <w:p w14:paraId="4CC6813A" w14:textId="02001B98" w:rsidR="00652D7D" w:rsidRPr="00875232" w:rsidRDefault="00652D7D" w:rsidP="005F7ECC">
      <w:pPr>
        <w:pStyle w:val="ReportList1"/>
      </w:pPr>
      <w:r w:rsidRPr="00875232">
        <w:t xml:space="preserve">Support effective </w:t>
      </w:r>
      <w:r w:rsidR="00875232" w:rsidRPr="00875232">
        <w:t>enforcement options to</w:t>
      </w:r>
      <w:r w:rsidRPr="00875232">
        <w:t xml:space="preserve"> improve workplace, property and personal safety around waste collections</w:t>
      </w:r>
      <w:r w:rsidR="00C42420">
        <w:t>,</w:t>
      </w:r>
      <w:r w:rsidRPr="00875232">
        <w:t xml:space="preserve"> and</w:t>
      </w:r>
    </w:p>
    <w:p w14:paraId="4D197CBE" w14:textId="1586D7E0" w:rsidR="00652D7D" w:rsidRPr="00875232" w:rsidRDefault="00652D7D" w:rsidP="005F7ECC">
      <w:pPr>
        <w:pStyle w:val="ReportList1"/>
      </w:pPr>
      <w:r w:rsidRPr="00875232">
        <w:t xml:space="preserve">Establish the legality of waste left on the kerb for a bulky waste collection service. </w:t>
      </w:r>
    </w:p>
    <w:p w14:paraId="3822EFEE" w14:textId="08CC0FCB" w:rsidR="00127724" w:rsidRDefault="00DC1B47" w:rsidP="005F7ECC">
      <w:pPr>
        <w:pStyle w:val="Heading2"/>
      </w:pPr>
      <w:bookmarkStart w:id="70" w:name="_Toc78374696"/>
      <w:bookmarkStart w:id="71" w:name="_Toc79490206"/>
      <w:r>
        <w:t>8</w:t>
      </w:r>
      <w:r w:rsidR="005C26B0">
        <w:t>.</w:t>
      </w:r>
      <w:r w:rsidR="005F7ECC">
        <w:t>3</w:t>
      </w:r>
      <w:r w:rsidR="005C26B0">
        <w:t xml:space="preserve"> </w:t>
      </w:r>
      <w:r w:rsidR="00127724">
        <w:t>Approaches from other jurisdictions</w:t>
      </w:r>
      <w:bookmarkEnd w:id="70"/>
      <w:bookmarkEnd w:id="71"/>
    </w:p>
    <w:p w14:paraId="5D19923B" w14:textId="2D28A776" w:rsidR="00716104" w:rsidRPr="00FE42A8" w:rsidRDefault="00CE6680" w:rsidP="005F7ECC">
      <w:pPr>
        <w:rPr>
          <w:sz w:val="24"/>
          <w:szCs w:val="24"/>
        </w:rPr>
      </w:pPr>
      <w:r w:rsidRPr="00FE42A8">
        <w:rPr>
          <w:sz w:val="24"/>
          <w:szCs w:val="24"/>
        </w:rPr>
        <w:t xml:space="preserve">Other jurisdictions </w:t>
      </w:r>
      <w:r w:rsidR="008901BA">
        <w:rPr>
          <w:sz w:val="24"/>
          <w:szCs w:val="24"/>
        </w:rPr>
        <w:t xml:space="preserve">have </w:t>
      </w:r>
      <w:r w:rsidRPr="00FE42A8">
        <w:rPr>
          <w:sz w:val="24"/>
          <w:szCs w:val="24"/>
        </w:rPr>
        <w:t>report</w:t>
      </w:r>
      <w:r w:rsidR="008901BA">
        <w:rPr>
          <w:sz w:val="24"/>
          <w:szCs w:val="24"/>
        </w:rPr>
        <w:t>ed</w:t>
      </w:r>
      <w:r w:rsidRPr="00FE42A8">
        <w:rPr>
          <w:sz w:val="24"/>
          <w:szCs w:val="24"/>
        </w:rPr>
        <w:t xml:space="preserve"> complaints about bin diving and</w:t>
      </w:r>
      <w:r w:rsidR="008901BA">
        <w:rPr>
          <w:sz w:val="24"/>
          <w:szCs w:val="24"/>
        </w:rPr>
        <w:t xml:space="preserve"> the</w:t>
      </w:r>
      <w:r w:rsidRPr="00FE42A8">
        <w:rPr>
          <w:sz w:val="24"/>
          <w:szCs w:val="24"/>
        </w:rPr>
        <w:t xml:space="preserve"> disturbance of containers left out for pickup. </w:t>
      </w:r>
      <w:r w:rsidR="000374C5" w:rsidRPr="00FE42A8">
        <w:rPr>
          <w:sz w:val="24"/>
          <w:szCs w:val="24"/>
        </w:rPr>
        <w:t>It is not uncommon for local governments to have</w:t>
      </w:r>
      <w:r w:rsidR="008901BA">
        <w:rPr>
          <w:sz w:val="24"/>
          <w:szCs w:val="24"/>
        </w:rPr>
        <w:t>,</w:t>
      </w:r>
      <w:r w:rsidR="000374C5" w:rsidRPr="00FE42A8">
        <w:rPr>
          <w:sz w:val="24"/>
          <w:szCs w:val="24"/>
        </w:rPr>
        <w:t xml:space="preserve"> and</w:t>
      </w:r>
      <w:r w:rsidR="008901BA">
        <w:rPr>
          <w:sz w:val="24"/>
          <w:szCs w:val="24"/>
        </w:rPr>
        <w:t xml:space="preserve"> to</w:t>
      </w:r>
      <w:r w:rsidR="000374C5" w:rsidRPr="00FE42A8">
        <w:rPr>
          <w:sz w:val="24"/>
          <w:szCs w:val="24"/>
        </w:rPr>
        <w:t xml:space="preserve"> apply fines for messy bins and other </w:t>
      </w:r>
      <w:r w:rsidR="008901BA">
        <w:rPr>
          <w:sz w:val="24"/>
          <w:szCs w:val="24"/>
        </w:rPr>
        <w:t>issues</w:t>
      </w:r>
      <w:r w:rsidR="000374C5" w:rsidRPr="00FE42A8">
        <w:rPr>
          <w:sz w:val="24"/>
          <w:szCs w:val="24"/>
        </w:rPr>
        <w:t xml:space="preserve"> around kerbside container management. Some examples</w:t>
      </w:r>
      <w:r w:rsidR="008901BA">
        <w:rPr>
          <w:sz w:val="24"/>
          <w:szCs w:val="24"/>
        </w:rPr>
        <w:t xml:space="preserve"> of these</w:t>
      </w:r>
      <w:r w:rsidR="000374C5" w:rsidRPr="00FE42A8">
        <w:rPr>
          <w:sz w:val="24"/>
          <w:szCs w:val="24"/>
        </w:rPr>
        <w:t xml:space="preserve"> include: </w:t>
      </w:r>
    </w:p>
    <w:p w14:paraId="2D561CB1" w14:textId="06955E8F" w:rsidR="000374C5" w:rsidRDefault="000374C5" w:rsidP="005F7ECC">
      <w:pPr>
        <w:pStyle w:val="ReportList1"/>
      </w:pPr>
      <w:r>
        <w:lastRenderedPageBreak/>
        <w:t xml:space="preserve">In 2018, Queensland councils altered laws to introduce a potential $2,500 fine for leaving wheelie bins out on the kerb beyond 24 hours </w:t>
      </w:r>
      <w:r w:rsidR="008901BA">
        <w:t>following</w:t>
      </w:r>
      <w:r>
        <w:t xml:space="preserve"> a waste collection</w:t>
      </w:r>
      <w:r>
        <w:rPr>
          <w:rStyle w:val="FootnoteReference"/>
        </w:rPr>
        <w:footnoteReference w:id="13"/>
      </w:r>
      <w:r w:rsidR="00C42420">
        <w:t>,</w:t>
      </w:r>
    </w:p>
    <w:p w14:paraId="498CDE87" w14:textId="49756170" w:rsidR="000374C5" w:rsidRDefault="000374C5" w:rsidP="005F7ECC">
      <w:pPr>
        <w:pStyle w:val="ReportList1"/>
      </w:pPr>
      <w:r>
        <w:t>The City of Gosnells in Western Australia passed laws in 2016 allowing on-the-spot fines for messy bin</w:t>
      </w:r>
      <w:r w:rsidR="008901BA">
        <w:t>s</w:t>
      </w:r>
      <w:r>
        <w:t xml:space="preserve"> and other problems with kerbside container management</w:t>
      </w:r>
      <w:r>
        <w:rPr>
          <w:rStyle w:val="FootnoteReference"/>
        </w:rPr>
        <w:footnoteReference w:id="14"/>
      </w:r>
      <w:r w:rsidR="00C42420">
        <w:t>, and</w:t>
      </w:r>
    </w:p>
    <w:p w14:paraId="794655F1" w14:textId="2140921A" w:rsidR="000374C5" w:rsidRDefault="000374C5" w:rsidP="005F7ECC">
      <w:pPr>
        <w:pStyle w:val="ReportList1"/>
      </w:pPr>
      <w:r>
        <w:t>Playford Council in South Australia has on-the-spot fines for illegal dumping</w:t>
      </w:r>
      <w:r>
        <w:rPr>
          <w:rStyle w:val="FootnoteReference"/>
        </w:rPr>
        <w:footnoteReference w:id="15"/>
      </w:r>
      <w:r w:rsidR="005F30B9">
        <w:t>.</w:t>
      </w:r>
      <w:r>
        <w:t xml:space="preserve">  </w:t>
      </w:r>
    </w:p>
    <w:p w14:paraId="4531B9B3" w14:textId="505260AA" w:rsidR="00F44FA1" w:rsidRDefault="00F44FA1" w:rsidP="005F7ECC">
      <w:r w:rsidRPr="00FE42A8">
        <w:rPr>
          <w:sz w:val="24"/>
          <w:szCs w:val="24"/>
        </w:rPr>
        <w:t xml:space="preserve">There are also several posts on the internet </w:t>
      </w:r>
      <w:r w:rsidR="008901BA">
        <w:rPr>
          <w:sz w:val="24"/>
          <w:szCs w:val="24"/>
        </w:rPr>
        <w:t>stating and supporting</w:t>
      </w:r>
      <w:r w:rsidRPr="00FE42A8">
        <w:rPr>
          <w:sz w:val="24"/>
          <w:szCs w:val="24"/>
        </w:rPr>
        <w:t xml:space="preserve"> that it is not illegal within Australia to place rubbish in other peoples’ bins, or to go through bins to pull out containers</w:t>
      </w:r>
      <w:r>
        <w:rPr>
          <w:rStyle w:val="FootnoteReference"/>
        </w:rPr>
        <w:footnoteReference w:id="16"/>
      </w:r>
      <w:r>
        <w:t xml:space="preserve">. </w:t>
      </w:r>
    </w:p>
    <w:p w14:paraId="5C2A1CD0" w14:textId="20680919" w:rsidR="00127724" w:rsidRDefault="00DC1B47" w:rsidP="005F7ECC">
      <w:pPr>
        <w:pStyle w:val="Heading2"/>
      </w:pPr>
      <w:bookmarkStart w:id="72" w:name="_Toc78374697"/>
      <w:bookmarkStart w:id="73" w:name="_Toc79490207"/>
      <w:r>
        <w:t>8</w:t>
      </w:r>
      <w:r w:rsidR="005C26B0">
        <w:t>.</w:t>
      </w:r>
      <w:r w:rsidR="005F7ECC">
        <w:t>4</w:t>
      </w:r>
      <w:r w:rsidR="005C26B0">
        <w:t xml:space="preserve"> </w:t>
      </w:r>
      <w:r w:rsidR="00127724">
        <w:t>Options</w:t>
      </w:r>
      <w:bookmarkEnd w:id="72"/>
      <w:bookmarkEnd w:id="73"/>
    </w:p>
    <w:p w14:paraId="4CC3E35A" w14:textId="3C36E711" w:rsidR="00B172AD" w:rsidRDefault="00B172AD" w:rsidP="005F7ECC">
      <w:pPr>
        <w:rPr>
          <w:sz w:val="24"/>
          <w:szCs w:val="24"/>
        </w:rPr>
      </w:pPr>
      <w:r>
        <w:rPr>
          <w:sz w:val="24"/>
          <w:szCs w:val="24"/>
        </w:rPr>
        <w:t xml:space="preserve">The option to not make changes was considered in relation to the following proposed amendments, but rejected because of the reasons stated: </w:t>
      </w:r>
    </w:p>
    <w:p w14:paraId="214B5211" w14:textId="357FEC02" w:rsidR="00B172AD" w:rsidRDefault="0039556A" w:rsidP="005F7ECC">
      <w:pPr>
        <w:pStyle w:val="ReportList1"/>
      </w:pPr>
      <w:r>
        <w:t>t</w:t>
      </w:r>
      <w:r w:rsidR="00B172AD">
        <w:t>he regulation could have remained silent on ACT government responsibilities for kerbside container management</w:t>
      </w:r>
      <w:r w:rsidR="008901BA">
        <w:t>.</w:t>
      </w:r>
      <w:r w:rsidR="00B172AD">
        <w:t xml:space="preserve"> </w:t>
      </w:r>
      <w:r w:rsidR="008901BA">
        <w:t xml:space="preserve">Taking this option </w:t>
      </w:r>
      <w:r w:rsidR="00B172AD">
        <w:t xml:space="preserve">would have missed the opportunity to clarify that waste placed in a </w:t>
      </w:r>
      <w:r w:rsidR="007D3981">
        <w:t>T</w:t>
      </w:r>
      <w:r w:rsidR="00B172AD">
        <w:t>erritory waste container becomes the property of the Territory when placed out for a collection, and therefore that waste audits, compliance activities and other checks are authorised</w:t>
      </w:r>
      <w:r w:rsidR="00C42420">
        <w:t>,</w:t>
      </w:r>
    </w:p>
    <w:p w14:paraId="5A4DFBBA" w14:textId="650F3653" w:rsidR="00B172AD" w:rsidRDefault="0039556A" w:rsidP="005F7ECC">
      <w:pPr>
        <w:pStyle w:val="ReportList1"/>
      </w:pPr>
      <w:r>
        <w:t>t</w:t>
      </w:r>
      <w:r w:rsidR="00B172AD">
        <w:t xml:space="preserve">he regulation could have remained silent on occupier responsibilities for kerbside container </w:t>
      </w:r>
      <w:r w:rsidR="007D3981">
        <w:t>management</w:t>
      </w:r>
      <w:r>
        <w:t>. H</w:t>
      </w:r>
      <w:r w:rsidR="00B172AD">
        <w:t xml:space="preserve">owever this </w:t>
      </w:r>
      <w:r w:rsidR="007D3981">
        <w:t xml:space="preserve">option </w:t>
      </w:r>
      <w:r w:rsidR="00B172AD">
        <w:t xml:space="preserve">would have limited the </w:t>
      </w:r>
      <w:r w:rsidR="007D3981">
        <w:t>G</w:t>
      </w:r>
      <w:r w:rsidR="00B172AD">
        <w:t>overnment’s ability to emphasise the need for effective</w:t>
      </w:r>
      <w:r w:rsidR="007D3981">
        <w:t xml:space="preserve"> and</w:t>
      </w:r>
      <w:r w:rsidR="00B172AD">
        <w:t xml:space="preserve"> safe operation of waste services </w:t>
      </w:r>
      <w:r w:rsidR="007D3981">
        <w:t xml:space="preserve">in order </w:t>
      </w:r>
      <w:r w:rsidR="00B172AD">
        <w:t>to maximise waste reuse and recycling</w:t>
      </w:r>
      <w:r w:rsidR="00C42420">
        <w:t>,</w:t>
      </w:r>
      <w:r>
        <w:t xml:space="preserve"> and</w:t>
      </w:r>
      <w:r w:rsidR="00B172AD">
        <w:t xml:space="preserve"> </w:t>
      </w:r>
    </w:p>
    <w:p w14:paraId="4F21AF46" w14:textId="58ECDF87" w:rsidR="00B172AD" w:rsidRDefault="0039556A" w:rsidP="005F7ECC">
      <w:pPr>
        <w:pStyle w:val="ReportList1"/>
      </w:pPr>
      <w:r>
        <w:t>t</w:t>
      </w:r>
      <w:r w:rsidR="00B172AD">
        <w:t>he regulation could have remained silent on waste placed on the kerbside outside of containers, for authorised waste collection services such as bulky waste pickups</w:t>
      </w:r>
      <w:r>
        <w:t>. H</w:t>
      </w:r>
      <w:r w:rsidR="007D3981">
        <w:t>owever</w:t>
      </w:r>
      <w:r w:rsidR="00B172AD">
        <w:t xml:space="preserve"> this</w:t>
      </w:r>
      <w:r w:rsidR="007D3981">
        <w:t xml:space="preserve"> option</w:t>
      </w:r>
      <w:r w:rsidR="00B172AD">
        <w:t xml:space="preserve"> would have left occupiers at risk of complaints or litter offences resulting from authorised service arrangements. </w:t>
      </w:r>
    </w:p>
    <w:p w14:paraId="283CE6DE" w14:textId="508FA52F" w:rsidR="00A31892" w:rsidRPr="00B339B9" w:rsidRDefault="00F44FA1" w:rsidP="005F7ECC">
      <w:pPr>
        <w:rPr>
          <w:sz w:val="24"/>
          <w:szCs w:val="24"/>
        </w:rPr>
      </w:pPr>
      <w:r w:rsidRPr="00F81BFE">
        <w:rPr>
          <w:sz w:val="24"/>
          <w:szCs w:val="24"/>
        </w:rPr>
        <w:t xml:space="preserve">Options were considered to make it illegal to go through other peoples’ bins, or to stop people from putting waste in bins left out on the kerbside. </w:t>
      </w:r>
      <w:r w:rsidR="007D3981">
        <w:rPr>
          <w:sz w:val="24"/>
          <w:szCs w:val="24"/>
        </w:rPr>
        <w:t>T</w:t>
      </w:r>
      <w:r w:rsidRPr="00F81BFE">
        <w:rPr>
          <w:sz w:val="24"/>
          <w:szCs w:val="24"/>
        </w:rPr>
        <w:t xml:space="preserve">his appears to </w:t>
      </w:r>
      <w:r w:rsidR="00652D7D" w:rsidRPr="00F81BFE">
        <w:rPr>
          <w:sz w:val="24"/>
          <w:szCs w:val="24"/>
        </w:rPr>
        <w:t>be inconsistent with the approach in other jurisdictions</w:t>
      </w:r>
      <w:r w:rsidR="00C33574">
        <w:rPr>
          <w:sz w:val="24"/>
          <w:szCs w:val="24"/>
        </w:rPr>
        <w:t>.</w:t>
      </w:r>
      <w:r w:rsidR="001A6CBE">
        <w:rPr>
          <w:sz w:val="24"/>
          <w:szCs w:val="24"/>
        </w:rPr>
        <w:t xml:space="preserve"> </w:t>
      </w:r>
    </w:p>
    <w:p w14:paraId="4EB9A48B" w14:textId="59C30A74" w:rsidR="00127724" w:rsidRDefault="00DC1B47" w:rsidP="005F7ECC">
      <w:pPr>
        <w:pStyle w:val="Heading2"/>
      </w:pPr>
      <w:bookmarkStart w:id="74" w:name="_Toc78374698"/>
      <w:bookmarkStart w:id="75" w:name="_Toc79490208"/>
      <w:r>
        <w:lastRenderedPageBreak/>
        <w:t>8</w:t>
      </w:r>
      <w:r w:rsidR="005C26B0">
        <w:t>.</w:t>
      </w:r>
      <w:r w:rsidR="005F7ECC">
        <w:t>5</w:t>
      </w:r>
      <w:r w:rsidR="005C26B0">
        <w:t xml:space="preserve"> </w:t>
      </w:r>
      <w:r w:rsidR="00127724">
        <w:t>Summary of amendments</w:t>
      </w:r>
      <w:bookmarkEnd w:id="74"/>
      <w:bookmarkEnd w:id="75"/>
    </w:p>
    <w:p w14:paraId="5E74E792" w14:textId="77777777" w:rsidR="00B339B9" w:rsidRDefault="00B339B9" w:rsidP="005F7ECC">
      <w:r w:rsidRPr="00B339B9">
        <w:rPr>
          <w:sz w:val="24"/>
          <w:szCs w:val="24"/>
        </w:rPr>
        <w:t>In summary, the amendments are as follows</w:t>
      </w:r>
      <w:r>
        <w:t xml:space="preserve">: </w:t>
      </w:r>
    </w:p>
    <w:p w14:paraId="48B6CB8F" w14:textId="06B46192" w:rsidR="00B339B9" w:rsidRDefault="0039556A" w:rsidP="005F7ECC">
      <w:pPr>
        <w:pStyle w:val="ReportList1"/>
      </w:pPr>
      <w:r>
        <w:t>t</w:t>
      </w:r>
      <w:r w:rsidR="00B339B9">
        <w:t>he definitions of domestic and domestic recyclable waste are shifted to the Schedule, as detailed in S9.4</w:t>
      </w:r>
      <w:r>
        <w:t>,</w:t>
      </w:r>
    </w:p>
    <w:p w14:paraId="1D90D798" w14:textId="40296CA4" w:rsidR="00B339B9" w:rsidRDefault="0039556A" w:rsidP="005F7ECC">
      <w:pPr>
        <w:pStyle w:val="ReportList1"/>
      </w:pPr>
      <w:r>
        <w:t>a</w:t>
      </w:r>
      <w:r w:rsidR="00B339B9">
        <w:t xml:space="preserve"> new section has been inserted defining the </w:t>
      </w:r>
      <w:r w:rsidR="00062F2D">
        <w:t>T</w:t>
      </w:r>
      <w:r w:rsidR="00B339B9">
        <w:t>erritory’s responsibilities in dealing with waste</w:t>
      </w:r>
      <w:r w:rsidR="00062F2D">
        <w:t xml:space="preserve"> </w:t>
      </w:r>
      <w:r w:rsidR="00B339B9">
        <w:t>(Section 17A)</w:t>
      </w:r>
      <w:r w:rsidR="00062F2D">
        <w:t>. This section clarifies that the waste container remains the property of the Territory and that waste placed in it for collection becomes the property of the Territory</w:t>
      </w:r>
      <w:r w:rsidR="00C42420">
        <w:t>,</w:t>
      </w:r>
    </w:p>
    <w:p w14:paraId="78151523" w14:textId="13067F2E" w:rsidR="00B339B9" w:rsidRDefault="0039556A" w:rsidP="005F7ECC">
      <w:pPr>
        <w:pStyle w:val="ReportList1"/>
      </w:pPr>
      <w:r>
        <w:t>a</w:t>
      </w:r>
      <w:r w:rsidR="00B339B9">
        <w:t xml:space="preserve"> new section has been inserted </w:t>
      </w:r>
      <w:r w:rsidR="00062F2D">
        <w:t>defining</w:t>
      </w:r>
      <w:r w:rsidR="007D3981">
        <w:t xml:space="preserve"> the</w:t>
      </w:r>
      <w:r w:rsidR="00062F2D">
        <w:t xml:space="preserve"> occupier’s responsibilities in dealing with waste (S17B). This clarifies that waste must be kept and stored safely and appropriately</w:t>
      </w:r>
      <w:r w:rsidR="007D3981">
        <w:t xml:space="preserve"> </w:t>
      </w:r>
      <w:r w:rsidR="00062F2D">
        <w:t>and disposed in a way that permits the effective and safe operation of waste re-use or collection services, and that territory waste containers must be used appropriately</w:t>
      </w:r>
      <w:r w:rsidR="00C42420">
        <w:t>,</w:t>
      </w:r>
    </w:p>
    <w:p w14:paraId="708394EC" w14:textId="5881DC62" w:rsidR="00062F2D" w:rsidRDefault="0039556A" w:rsidP="005F7ECC">
      <w:pPr>
        <w:pStyle w:val="ReportList1"/>
      </w:pPr>
      <w:r>
        <w:t>n</w:t>
      </w:r>
      <w:r w:rsidR="00062F2D">
        <w:t xml:space="preserve">ew sections have been added clarifying that waste left out for authorised waste collection arrangements may be outside of </w:t>
      </w:r>
      <w:r w:rsidR="007D3981">
        <w:t>T</w:t>
      </w:r>
      <w:r w:rsidR="00062F2D">
        <w:t>erritory waste containers. This section allows for bulky waste collections</w:t>
      </w:r>
      <w:r w:rsidR="00C42420">
        <w:t>,</w:t>
      </w:r>
      <w:r>
        <w:t xml:space="preserve"> and</w:t>
      </w:r>
      <w:r w:rsidR="00062F2D">
        <w:t xml:space="preserve"> </w:t>
      </w:r>
    </w:p>
    <w:p w14:paraId="590FAFAE" w14:textId="569D770B" w:rsidR="00062F2D" w:rsidRDefault="0039556A" w:rsidP="005F7ECC">
      <w:pPr>
        <w:pStyle w:val="ReportList1"/>
      </w:pPr>
      <w:r>
        <w:t>t</w:t>
      </w:r>
      <w:r w:rsidR="00062F2D">
        <w:t xml:space="preserve">here are multiple, minor amendments around </w:t>
      </w:r>
      <w:r w:rsidR="007D3981">
        <w:t>T</w:t>
      </w:r>
      <w:r w:rsidR="00062F2D">
        <w:t>erritory waste containers</w:t>
      </w:r>
      <w:r w:rsidR="005950C7">
        <w:t xml:space="preserve"> (supplied by the ACT </w:t>
      </w:r>
      <w:r w:rsidR="007D3981">
        <w:t>G</w:t>
      </w:r>
      <w:r w:rsidR="005950C7">
        <w:t>overnment)</w:t>
      </w:r>
      <w:r w:rsidR="00062F2D">
        <w:t xml:space="preserve">, waste containers </w:t>
      </w:r>
      <w:r w:rsidR="005950C7">
        <w:t xml:space="preserve">(provided by occupiers) </w:t>
      </w:r>
      <w:r w:rsidR="00062F2D">
        <w:t xml:space="preserve">and </w:t>
      </w:r>
      <w:r w:rsidR="005F7734">
        <w:t xml:space="preserve">their lids. </w:t>
      </w:r>
      <w:r w:rsidR="007D3981">
        <w:t>T</w:t>
      </w:r>
      <w:r w:rsidR="005F7734">
        <w:t xml:space="preserve">hese allow occupiers to </w:t>
      </w:r>
      <w:r w:rsidR="005950C7">
        <w:t xml:space="preserve">provide their own containers, but to manage odour and pests, </w:t>
      </w:r>
      <w:r w:rsidR="007D3981">
        <w:t>it</w:t>
      </w:r>
      <w:r w:rsidR="005950C7">
        <w:t xml:space="preserve"> require</w:t>
      </w:r>
      <w:r w:rsidR="007D3981">
        <w:t>s</w:t>
      </w:r>
      <w:r w:rsidR="005950C7">
        <w:t xml:space="preserve"> that such containers have lids and that the lids be kept closed. The amendments also clarify that if </w:t>
      </w:r>
      <w:r w:rsidR="007D3981">
        <w:t>T</w:t>
      </w:r>
      <w:r w:rsidR="005950C7">
        <w:t xml:space="preserve">erritory waste containers are missing their lids, then it is not an offence for the container not be closed. </w:t>
      </w:r>
    </w:p>
    <w:p w14:paraId="52254257" w14:textId="7647242C" w:rsidR="004D2753" w:rsidRDefault="002D7AFC" w:rsidP="005F7ECC">
      <w:r>
        <w:rPr>
          <w:sz w:val="24"/>
          <w:szCs w:val="24"/>
        </w:rPr>
        <w:t>Table 5 provides a summary of the Regulation</w:t>
      </w:r>
      <w:r w:rsidR="007D3981">
        <w:rPr>
          <w:sz w:val="24"/>
          <w:szCs w:val="24"/>
        </w:rPr>
        <w:t>’</w:t>
      </w:r>
      <w:r>
        <w:rPr>
          <w:sz w:val="24"/>
          <w:szCs w:val="24"/>
        </w:rPr>
        <w:t>s existing and proposed offence provisions</w:t>
      </w:r>
      <w:r w:rsidRPr="002D7AFC">
        <w:rPr>
          <w:sz w:val="24"/>
          <w:szCs w:val="24"/>
        </w:rPr>
        <w:t xml:space="preserve"> around kerbside containers. This includes offences related to FOGO collections, as these are incorporated within the other kerbside offences</w:t>
      </w:r>
      <w:r>
        <w:rPr>
          <w:sz w:val="24"/>
          <w:szCs w:val="24"/>
        </w:rPr>
        <w:t xml:space="preserve">. </w:t>
      </w:r>
      <w:r w:rsidR="007D3981">
        <w:rPr>
          <w:sz w:val="24"/>
          <w:szCs w:val="24"/>
        </w:rPr>
        <w:t xml:space="preserve">There </w:t>
      </w:r>
      <w:r>
        <w:rPr>
          <w:sz w:val="24"/>
          <w:szCs w:val="24"/>
        </w:rPr>
        <w:t>are no new offences related to kerbside collection services</w:t>
      </w:r>
      <w:r w:rsidR="007D3981">
        <w:rPr>
          <w:sz w:val="24"/>
          <w:szCs w:val="24"/>
        </w:rPr>
        <w:t xml:space="preserve">, although </w:t>
      </w:r>
      <w:r>
        <w:rPr>
          <w:sz w:val="24"/>
          <w:szCs w:val="24"/>
        </w:rPr>
        <w:t xml:space="preserve">there are two new exemptions, allowing for compostable waste to be placed in green bins to support FOGO collections, and for bulky waste to be left out for authorised waste collections. </w:t>
      </w:r>
      <w:r w:rsidR="004D2753">
        <w:br w:type="page"/>
      </w:r>
    </w:p>
    <w:p w14:paraId="4CC559DF" w14:textId="77777777" w:rsidR="004D2753" w:rsidRDefault="004D2753" w:rsidP="005F7ECC">
      <w:pPr>
        <w:pStyle w:val="Caption"/>
        <w:sectPr w:rsidR="004D27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3FEFA0B" w14:textId="1AC6C75A" w:rsidR="00DA773B" w:rsidRPr="004D2753" w:rsidRDefault="004D2753" w:rsidP="005F7ECC">
      <w:pPr>
        <w:pStyle w:val="Caption"/>
      </w:pPr>
      <w:bookmarkStart w:id="76" w:name="_Toc78275035"/>
      <w:r w:rsidRPr="004D2753">
        <w:lastRenderedPageBreak/>
        <w:t xml:space="preserve">Table </w:t>
      </w:r>
      <w:r w:rsidR="000150F9">
        <w:fldChar w:fldCharType="begin"/>
      </w:r>
      <w:r w:rsidR="000150F9">
        <w:instrText xml:space="preserve"> SEQ Table \* ARABIC </w:instrText>
      </w:r>
      <w:r w:rsidR="000150F9">
        <w:fldChar w:fldCharType="separate"/>
      </w:r>
      <w:r w:rsidR="002C4D5A">
        <w:rPr>
          <w:noProof/>
        </w:rPr>
        <w:t>5</w:t>
      </w:r>
      <w:r w:rsidR="000150F9">
        <w:rPr>
          <w:noProof/>
        </w:rPr>
        <w:fldChar w:fldCharType="end"/>
      </w:r>
      <w:r w:rsidRPr="004D2753">
        <w:t xml:space="preserve"> Offences </w:t>
      </w:r>
      <w:r w:rsidR="00840C92">
        <w:t>related to</w:t>
      </w:r>
      <w:r w:rsidRPr="004D2753">
        <w:t xml:space="preserve"> kerbside w</w:t>
      </w:r>
      <w:r w:rsidR="00DA773B" w:rsidRPr="004D2753">
        <w:t xml:space="preserve">aste </w:t>
      </w:r>
      <w:r w:rsidRPr="004D2753">
        <w:t xml:space="preserve">container </w:t>
      </w:r>
      <w:r w:rsidR="00DA773B" w:rsidRPr="004D2753">
        <w:t>storage and collection</w:t>
      </w:r>
      <w:bookmarkEnd w:id="76"/>
      <w:r w:rsidR="00DA773B" w:rsidRPr="004D2753">
        <w:t xml:space="preserve"> </w:t>
      </w:r>
    </w:p>
    <w:tbl>
      <w:tblPr>
        <w:tblStyle w:val="GridTable4-Accent1"/>
        <w:tblW w:w="13422" w:type="dxa"/>
        <w:tblLook w:val="04A0" w:firstRow="1" w:lastRow="0" w:firstColumn="1" w:lastColumn="0" w:noHBand="0" w:noVBand="1"/>
      </w:tblPr>
      <w:tblGrid>
        <w:gridCol w:w="2366"/>
        <w:gridCol w:w="850"/>
        <w:gridCol w:w="851"/>
        <w:gridCol w:w="3299"/>
        <w:gridCol w:w="1262"/>
        <w:gridCol w:w="804"/>
        <w:gridCol w:w="3990"/>
      </w:tblGrid>
      <w:tr w:rsidR="00840C92" w14:paraId="6523E263" w14:textId="77777777" w:rsidTr="005B5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70DDF028" w14:textId="77777777" w:rsidR="00840C92" w:rsidRPr="00F6438F" w:rsidRDefault="00840C92" w:rsidP="005F7ECC">
            <w:pPr>
              <w:rPr>
                <w:sz w:val="20"/>
                <w:szCs w:val="20"/>
                <w:lang w:val="en-GB"/>
              </w:rPr>
            </w:pPr>
            <w:r w:rsidRPr="00F6438F">
              <w:rPr>
                <w:b w:val="0"/>
                <w:bCs w:val="0"/>
                <w:sz w:val="20"/>
                <w:szCs w:val="20"/>
                <w:lang w:val="en-GB"/>
              </w:rPr>
              <w:t>Existing offence</w:t>
            </w:r>
          </w:p>
        </w:tc>
        <w:tc>
          <w:tcPr>
            <w:tcW w:w="850" w:type="dxa"/>
            <w:hideMark/>
          </w:tcPr>
          <w:p w14:paraId="0D531470" w14:textId="77777777" w:rsidR="00840C92" w:rsidRPr="00F6438F" w:rsidRDefault="00840C92" w:rsidP="005F7ECC">
            <w:pPr>
              <w:cnfStyle w:val="100000000000" w:firstRow="1" w:lastRow="0" w:firstColumn="0" w:lastColumn="0" w:oddVBand="0" w:evenVBand="0" w:oddHBand="0" w:evenHBand="0" w:firstRowFirstColumn="0" w:firstRowLastColumn="0" w:lastRowFirstColumn="0" w:lastRowLastColumn="0"/>
              <w:rPr>
                <w:sz w:val="20"/>
                <w:szCs w:val="20"/>
                <w:lang w:val="en-GB"/>
              </w:rPr>
            </w:pPr>
            <w:r w:rsidRPr="00F6438F">
              <w:rPr>
                <w:b w:val="0"/>
                <w:bCs w:val="0"/>
                <w:sz w:val="20"/>
                <w:szCs w:val="20"/>
                <w:lang w:val="en-GB"/>
              </w:rPr>
              <w:t>Max penalty units</w:t>
            </w:r>
          </w:p>
        </w:tc>
        <w:tc>
          <w:tcPr>
            <w:tcW w:w="851" w:type="dxa"/>
            <w:hideMark/>
          </w:tcPr>
          <w:p w14:paraId="4743C15D" w14:textId="77777777" w:rsidR="00840C92" w:rsidRPr="00F6438F" w:rsidRDefault="00840C92" w:rsidP="005F7ECC">
            <w:pPr>
              <w:cnfStyle w:val="100000000000" w:firstRow="1" w:lastRow="0" w:firstColumn="0" w:lastColumn="0" w:oddVBand="0" w:evenVBand="0" w:oddHBand="0" w:evenHBand="0" w:firstRowFirstColumn="0" w:firstRowLastColumn="0" w:lastRowFirstColumn="0" w:lastRowLastColumn="0"/>
              <w:rPr>
                <w:sz w:val="20"/>
                <w:szCs w:val="20"/>
                <w:lang w:val="en-GB"/>
              </w:rPr>
            </w:pPr>
            <w:r w:rsidRPr="00F6438F">
              <w:rPr>
                <w:b w:val="0"/>
                <w:bCs w:val="0"/>
                <w:sz w:val="20"/>
                <w:szCs w:val="20"/>
                <w:lang w:val="en-GB"/>
              </w:rPr>
              <w:t>Strict liability</w:t>
            </w:r>
          </w:p>
        </w:tc>
        <w:tc>
          <w:tcPr>
            <w:tcW w:w="3299" w:type="dxa"/>
            <w:hideMark/>
          </w:tcPr>
          <w:p w14:paraId="0D5DDADD" w14:textId="77777777" w:rsidR="00840C92" w:rsidRPr="00F6438F" w:rsidRDefault="00840C92" w:rsidP="005F7ECC">
            <w:pPr>
              <w:cnfStyle w:val="100000000000" w:firstRow="1" w:lastRow="0" w:firstColumn="0" w:lastColumn="0" w:oddVBand="0" w:evenVBand="0" w:oddHBand="0" w:evenHBand="0" w:firstRowFirstColumn="0" w:firstRowLastColumn="0" w:lastRowFirstColumn="0" w:lastRowLastColumn="0"/>
              <w:rPr>
                <w:sz w:val="20"/>
                <w:szCs w:val="20"/>
                <w:lang w:val="en-GB"/>
              </w:rPr>
            </w:pPr>
            <w:r w:rsidRPr="00F6438F">
              <w:rPr>
                <w:b w:val="0"/>
                <w:bCs w:val="0"/>
                <w:sz w:val="20"/>
                <w:szCs w:val="20"/>
                <w:lang w:val="en-GB"/>
              </w:rPr>
              <w:t>Proposed offence</w:t>
            </w:r>
          </w:p>
        </w:tc>
        <w:tc>
          <w:tcPr>
            <w:tcW w:w="1262" w:type="dxa"/>
            <w:hideMark/>
          </w:tcPr>
          <w:p w14:paraId="64A20E19" w14:textId="264F2538" w:rsidR="00840C92" w:rsidRPr="00F6438F" w:rsidRDefault="00840C92" w:rsidP="005F7ECC">
            <w:pPr>
              <w:cnfStyle w:val="100000000000" w:firstRow="1" w:lastRow="0" w:firstColumn="0" w:lastColumn="0" w:oddVBand="0" w:evenVBand="0" w:oddHBand="0" w:evenHBand="0" w:firstRowFirstColumn="0" w:firstRowLastColumn="0" w:lastRowFirstColumn="0" w:lastRowLastColumn="0"/>
              <w:rPr>
                <w:sz w:val="20"/>
                <w:szCs w:val="20"/>
                <w:lang w:val="en-GB"/>
              </w:rPr>
            </w:pPr>
            <w:r w:rsidRPr="00F6438F">
              <w:rPr>
                <w:b w:val="0"/>
                <w:bCs w:val="0"/>
                <w:sz w:val="20"/>
                <w:szCs w:val="20"/>
                <w:lang w:val="en-GB"/>
              </w:rPr>
              <w:t>Max penalty</w:t>
            </w:r>
            <w:r>
              <w:rPr>
                <w:b w:val="0"/>
                <w:bCs w:val="0"/>
                <w:sz w:val="20"/>
                <w:szCs w:val="20"/>
                <w:lang w:val="en-GB"/>
              </w:rPr>
              <w:t xml:space="preserve"> (penalty units</w:t>
            </w:r>
            <w:r w:rsidR="005B5B5C">
              <w:rPr>
                <w:b w:val="0"/>
                <w:bCs w:val="0"/>
                <w:sz w:val="20"/>
                <w:szCs w:val="20"/>
                <w:lang w:val="en-GB"/>
              </w:rPr>
              <w:t xml:space="preserve"> and $ amount</w:t>
            </w:r>
            <w:r>
              <w:rPr>
                <w:b w:val="0"/>
                <w:bCs w:val="0"/>
                <w:sz w:val="20"/>
                <w:szCs w:val="20"/>
                <w:lang w:val="en-GB"/>
              </w:rPr>
              <w:t>)</w:t>
            </w:r>
          </w:p>
        </w:tc>
        <w:tc>
          <w:tcPr>
            <w:tcW w:w="804" w:type="dxa"/>
            <w:hideMark/>
          </w:tcPr>
          <w:p w14:paraId="3803CFAA" w14:textId="77777777" w:rsidR="00840C92" w:rsidRPr="00F6438F" w:rsidRDefault="00840C92" w:rsidP="005F7ECC">
            <w:pPr>
              <w:cnfStyle w:val="100000000000" w:firstRow="1" w:lastRow="0" w:firstColumn="0" w:lastColumn="0" w:oddVBand="0" w:evenVBand="0" w:oddHBand="0" w:evenHBand="0" w:firstRowFirstColumn="0" w:firstRowLastColumn="0" w:lastRowFirstColumn="0" w:lastRowLastColumn="0"/>
              <w:rPr>
                <w:sz w:val="20"/>
                <w:szCs w:val="20"/>
                <w:lang w:val="en-GB"/>
              </w:rPr>
            </w:pPr>
            <w:r w:rsidRPr="00F6438F">
              <w:rPr>
                <w:b w:val="0"/>
                <w:bCs w:val="0"/>
                <w:sz w:val="20"/>
                <w:szCs w:val="20"/>
                <w:lang w:val="en-GB"/>
              </w:rPr>
              <w:t>Strict liability</w:t>
            </w:r>
          </w:p>
        </w:tc>
        <w:tc>
          <w:tcPr>
            <w:tcW w:w="3990" w:type="dxa"/>
            <w:hideMark/>
          </w:tcPr>
          <w:p w14:paraId="05428CE5" w14:textId="77777777" w:rsidR="00840C92" w:rsidRPr="00F6438F" w:rsidRDefault="00840C92" w:rsidP="005F7ECC">
            <w:pPr>
              <w:cnfStyle w:val="100000000000" w:firstRow="1" w:lastRow="0" w:firstColumn="0" w:lastColumn="0" w:oddVBand="0" w:evenVBand="0" w:oddHBand="0" w:evenHBand="0" w:firstRowFirstColumn="0" w:firstRowLastColumn="0" w:lastRowFirstColumn="0" w:lastRowLastColumn="0"/>
              <w:rPr>
                <w:sz w:val="20"/>
                <w:szCs w:val="20"/>
                <w:lang w:val="en-GB"/>
              </w:rPr>
            </w:pPr>
            <w:r w:rsidRPr="00F6438F">
              <w:rPr>
                <w:b w:val="0"/>
                <w:bCs w:val="0"/>
                <w:sz w:val="20"/>
                <w:szCs w:val="20"/>
                <w:lang w:val="en-GB"/>
              </w:rPr>
              <w:t>Comment</w:t>
            </w:r>
          </w:p>
        </w:tc>
      </w:tr>
      <w:tr w:rsidR="00840C92" w14:paraId="5160EF1B" w14:textId="77777777" w:rsidTr="005B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1AC6B5A0" w14:textId="224390EA" w:rsidR="00840C92" w:rsidRPr="00F6438F" w:rsidRDefault="00840C92" w:rsidP="005F7ECC">
            <w:pPr>
              <w:rPr>
                <w:sz w:val="20"/>
                <w:szCs w:val="20"/>
                <w:lang w:val="en-GB"/>
              </w:rPr>
            </w:pPr>
            <w:r w:rsidRPr="00F6438F">
              <w:rPr>
                <w:sz w:val="20"/>
                <w:szCs w:val="20"/>
                <w:lang w:val="en-GB"/>
              </w:rPr>
              <w:t>18</w:t>
            </w:r>
            <w:r w:rsidR="00067153">
              <w:rPr>
                <w:sz w:val="20"/>
                <w:szCs w:val="20"/>
                <w:lang w:val="en-GB"/>
              </w:rPr>
              <w:t>(</w:t>
            </w:r>
            <w:r w:rsidRPr="00F6438F">
              <w:rPr>
                <w:sz w:val="20"/>
                <w:szCs w:val="20"/>
                <w:lang w:val="en-GB"/>
              </w:rPr>
              <w:t>1</w:t>
            </w:r>
            <w:r w:rsidR="00067153">
              <w:rPr>
                <w:sz w:val="20"/>
                <w:szCs w:val="20"/>
                <w:lang w:val="en-GB"/>
              </w:rPr>
              <w:t>)</w:t>
            </w:r>
            <w:r w:rsidRPr="00F6438F">
              <w:rPr>
                <w:sz w:val="20"/>
                <w:szCs w:val="20"/>
                <w:lang w:val="en-GB"/>
              </w:rPr>
              <w:t xml:space="preserve"> places </w:t>
            </w:r>
            <w:r w:rsidR="007D3981" w:rsidRPr="00F6438F">
              <w:rPr>
                <w:sz w:val="20"/>
                <w:szCs w:val="20"/>
                <w:lang w:val="en-GB"/>
              </w:rPr>
              <w:t>non</w:t>
            </w:r>
            <w:r w:rsidR="007D3981">
              <w:rPr>
                <w:sz w:val="20"/>
                <w:szCs w:val="20"/>
                <w:lang w:val="en-GB"/>
              </w:rPr>
              <w:t>-</w:t>
            </w:r>
            <w:r w:rsidR="007D3981" w:rsidRPr="00F6438F">
              <w:rPr>
                <w:sz w:val="20"/>
                <w:szCs w:val="20"/>
                <w:lang w:val="en-GB"/>
              </w:rPr>
              <w:t>domestic</w:t>
            </w:r>
            <w:r w:rsidRPr="00F6438F">
              <w:rPr>
                <w:sz w:val="20"/>
                <w:szCs w:val="20"/>
                <w:lang w:val="en-GB"/>
              </w:rPr>
              <w:t xml:space="preserve"> waste in a domestic waste container</w:t>
            </w:r>
          </w:p>
        </w:tc>
        <w:tc>
          <w:tcPr>
            <w:tcW w:w="850" w:type="dxa"/>
            <w:hideMark/>
          </w:tcPr>
          <w:p w14:paraId="54326B9A"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5</w:t>
            </w:r>
          </w:p>
        </w:tc>
        <w:tc>
          <w:tcPr>
            <w:tcW w:w="851" w:type="dxa"/>
            <w:hideMark/>
          </w:tcPr>
          <w:p w14:paraId="2D56E0CB"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78FA8A29" w14:textId="34938631"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14</w:t>
            </w:r>
            <w:r w:rsidR="00067153">
              <w:rPr>
                <w:sz w:val="20"/>
                <w:szCs w:val="20"/>
                <w:lang w:val="en-GB"/>
              </w:rPr>
              <w:t>(</w:t>
            </w:r>
            <w:r w:rsidRPr="00F6438F">
              <w:rPr>
                <w:sz w:val="20"/>
                <w:szCs w:val="20"/>
                <w:lang w:val="en-GB"/>
              </w:rPr>
              <w:t>1</w:t>
            </w:r>
            <w:r w:rsidR="00067153">
              <w:rPr>
                <w:sz w:val="20"/>
                <w:szCs w:val="20"/>
                <w:lang w:val="en-GB"/>
              </w:rPr>
              <w:t>)</w:t>
            </w:r>
            <w:r w:rsidRPr="00F6438F">
              <w:rPr>
                <w:sz w:val="20"/>
                <w:szCs w:val="20"/>
                <w:lang w:val="en-GB"/>
              </w:rPr>
              <w:t xml:space="preserve"> places non</w:t>
            </w:r>
            <w:r w:rsidR="00067153">
              <w:rPr>
                <w:sz w:val="20"/>
                <w:szCs w:val="20"/>
                <w:lang w:val="en-GB"/>
              </w:rPr>
              <w:t>-</w:t>
            </w:r>
            <w:r w:rsidRPr="00F6438F">
              <w:rPr>
                <w:sz w:val="20"/>
                <w:szCs w:val="20"/>
                <w:lang w:val="en-GB"/>
              </w:rPr>
              <w:t xml:space="preserve">domestic waste in a domestic waste container </w:t>
            </w:r>
          </w:p>
        </w:tc>
        <w:tc>
          <w:tcPr>
            <w:tcW w:w="1262" w:type="dxa"/>
            <w:hideMark/>
          </w:tcPr>
          <w:p w14:paraId="3E932C7F" w14:textId="59602B05"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5</w:t>
            </w:r>
            <w:r w:rsidR="005B5B5C">
              <w:rPr>
                <w:sz w:val="20"/>
                <w:szCs w:val="20"/>
                <w:lang w:val="en-GB"/>
              </w:rPr>
              <w:t xml:space="preserve"> ($150)</w:t>
            </w:r>
          </w:p>
        </w:tc>
        <w:tc>
          <w:tcPr>
            <w:tcW w:w="804" w:type="dxa"/>
            <w:hideMark/>
          </w:tcPr>
          <w:p w14:paraId="2F1EE9AA"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990" w:type="dxa"/>
          </w:tcPr>
          <w:p w14:paraId="4FF6FD51"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840C92" w14:paraId="39D5DC46" w14:textId="77777777" w:rsidTr="005B5B5C">
        <w:tc>
          <w:tcPr>
            <w:cnfStyle w:val="001000000000" w:firstRow="0" w:lastRow="0" w:firstColumn="1" w:lastColumn="0" w:oddVBand="0" w:evenVBand="0" w:oddHBand="0" w:evenHBand="0" w:firstRowFirstColumn="0" w:firstRowLastColumn="0" w:lastRowFirstColumn="0" w:lastRowLastColumn="0"/>
            <w:tcW w:w="2366" w:type="dxa"/>
            <w:hideMark/>
          </w:tcPr>
          <w:p w14:paraId="3A1A5B5D" w14:textId="151B2E43" w:rsidR="00840C92" w:rsidRPr="00F6438F" w:rsidRDefault="00840C92" w:rsidP="005F7ECC">
            <w:pPr>
              <w:rPr>
                <w:sz w:val="20"/>
                <w:szCs w:val="20"/>
                <w:lang w:val="en-GB"/>
              </w:rPr>
            </w:pPr>
            <w:r w:rsidRPr="00F6438F">
              <w:rPr>
                <w:sz w:val="20"/>
                <w:szCs w:val="20"/>
                <w:lang w:val="en-GB"/>
              </w:rPr>
              <w:t>18</w:t>
            </w:r>
            <w:r w:rsidR="00067153">
              <w:rPr>
                <w:sz w:val="20"/>
                <w:szCs w:val="20"/>
                <w:lang w:val="en-GB"/>
              </w:rPr>
              <w:t>(</w:t>
            </w:r>
            <w:r w:rsidRPr="00F6438F">
              <w:rPr>
                <w:sz w:val="20"/>
                <w:szCs w:val="20"/>
                <w:lang w:val="en-GB"/>
              </w:rPr>
              <w:t>2</w:t>
            </w:r>
            <w:r w:rsidR="00067153">
              <w:rPr>
                <w:sz w:val="20"/>
                <w:szCs w:val="20"/>
                <w:lang w:val="en-GB"/>
              </w:rPr>
              <w:t>)</w:t>
            </w:r>
            <w:r w:rsidRPr="00F6438F">
              <w:rPr>
                <w:sz w:val="20"/>
                <w:szCs w:val="20"/>
                <w:lang w:val="en-GB"/>
              </w:rPr>
              <w:t xml:space="preserve"> places non</w:t>
            </w:r>
            <w:r w:rsidR="007D3981">
              <w:rPr>
                <w:sz w:val="20"/>
                <w:szCs w:val="20"/>
                <w:lang w:val="en-GB"/>
              </w:rPr>
              <w:t>-</w:t>
            </w:r>
            <w:r w:rsidRPr="00F6438F">
              <w:rPr>
                <w:sz w:val="20"/>
                <w:szCs w:val="20"/>
                <w:lang w:val="en-GB"/>
              </w:rPr>
              <w:t xml:space="preserve">domestic recyclable waste in a domestic recyclable waste container </w:t>
            </w:r>
          </w:p>
        </w:tc>
        <w:tc>
          <w:tcPr>
            <w:tcW w:w="850" w:type="dxa"/>
            <w:hideMark/>
          </w:tcPr>
          <w:p w14:paraId="202FD2DB"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5</w:t>
            </w:r>
          </w:p>
        </w:tc>
        <w:tc>
          <w:tcPr>
            <w:tcW w:w="851" w:type="dxa"/>
            <w:hideMark/>
          </w:tcPr>
          <w:p w14:paraId="65B8EDC1"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0285E8EC" w14:textId="50ECB9FE"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14</w:t>
            </w:r>
            <w:r w:rsidR="00067153">
              <w:rPr>
                <w:sz w:val="20"/>
                <w:szCs w:val="20"/>
                <w:lang w:val="en-GB"/>
              </w:rPr>
              <w:t>(</w:t>
            </w:r>
            <w:r w:rsidRPr="00F6438F">
              <w:rPr>
                <w:sz w:val="20"/>
                <w:szCs w:val="20"/>
                <w:lang w:val="en-GB"/>
              </w:rPr>
              <w:t>2</w:t>
            </w:r>
            <w:r w:rsidR="00067153">
              <w:rPr>
                <w:sz w:val="20"/>
                <w:szCs w:val="20"/>
                <w:lang w:val="en-GB"/>
              </w:rPr>
              <w:t>)</w:t>
            </w:r>
            <w:r w:rsidRPr="00F6438F">
              <w:rPr>
                <w:sz w:val="20"/>
                <w:szCs w:val="20"/>
                <w:lang w:val="en-GB"/>
              </w:rPr>
              <w:t xml:space="preserve"> places non</w:t>
            </w:r>
            <w:r w:rsidR="008A2651">
              <w:rPr>
                <w:sz w:val="20"/>
                <w:szCs w:val="20"/>
                <w:lang w:val="en-GB"/>
              </w:rPr>
              <w:t>-</w:t>
            </w:r>
            <w:r w:rsidRPr="00F6438F">
              <w:rPr>
                <w:sz w:val="20"/>
                <w:szCs w:val="20"/>
                <w:lang w:val="en-GB"/>
              </w:rPr>
              <w:t xml:space="preserve">domestic recyclable waste in a domestic recyclable waste container </w:t>
            </w:r>
          </w:p>
        </w:tc>
        <w:tc>
          <w:tcPr>
            <w:tcW w:w="1262" w:type="dxa"/>
            <w:hideMark/>
          </w:tcPr>
          <w:p w14:paraId="6645571C" w14:textId="0DA60498"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5</w:t>
            </w:r>
            <w:r w:rsidR="005B5B5C">
              <w:rPr>
                <w:sz w:val="20"/>
                <w:szCs w:val="20"/>
                <w:lang w:val="en-GB"/>
              </w:rPr>
              <w:t xml:space="preserve"> ($150)</w:t>
            </w:r>
          </w:p>
        </w:tc>
        <w:tc>
          <w:tcPr>
            <w:tcW w:w="804" w:type="dxa"/>
            <w:hideMark/>
          </w:tcPr>
          <w:p w14:paraId="0D2BC1EA"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990" w:type="dxa"/>
          </w:tcPr>
          <w:p w14:paraId="62BAF856" w14:textId="2C5CF4FE" w:rsidR="00840C92" w:rsidRPr="00F6438F" w:rsidRDefault="008A2651"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Additional organic wastes are allowed to support FOGO collections, and the existing strict liability offence applies. The existing strict liability offence would support infringements for FOGO contamination. </w:t>
            </w:r>
          </w:p>
        </w:tc>
      </w:tr>
      <w:tr w:rsidR="00840C92" w14:paraId="37908201" w14:textId="77777777" w:rsidTr="005B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5B1C10DD" w14:textId="58DD9EF0" w:rsidR="00840C92" w:rsidRPr="00F6438F" w:rsidRDefault="00840C92" w:rsidP="005F7ECC">
            <w:pPr>
              <w:rPr>
                <w:sz w:val="20"/>
                <w:szCs w:val="20"/>
                <w:lang w:val="en-GB"/>
              </w:rPr>
            </w:pPr>
            <w:r w:rsidRPr="00F6438F">
              <w:rPr>
                <w:sz w:val="20"/>
                <w:szCs w:val="20"/>
                <w:lang w:val="en-GB"/>
              </w:rPr>
              <w:t>18</w:t>
            </w:r>
            <w:r w:rsidR="00067153">
              <w:rPr>
                <w:sz w:val="20"/>
                <w:szCs w:val="20"/>
                <w:lang w:val="en-GB"/>
              </w:rPr>
              <w:t>(</w:t>
            </w:r>
            <w:r w:rsidRPr="00F6438F">
              <w:rPr>
                <w:sz w:val="20"/>
                <w:szCs w:val="20"/>
                <w:lang w:val="en-GB"/>
              </w:rPr>
              <w:t>3</w:t>
            </w:r>
            <w:r w:rsidR="00067153">
              <w:rPr>
                <w:sz w:val="20"/>
                <w:szCs w:val="20"/>
                <w:lang w:val="en-GB"/>
              </w:rPr>
              <w:t>)</w:t>
            </w:r>
            <w:r w:rsidRPr="00F6438F">
              <w:rPr>
                <w:sz w:val="20"/>
                <w:szCs w:val="20"/>
                <w:lang w:val="en-GB"/>
              </w:rPr>
              <w:t xml:space="preserve"> places non garden waste in a green waste container </w:t>
            </w:r>
          </w:p>
        </w:tc>
        <w:tc>
          <w:tcPr>
            <w:tcW w:w="850" w:type="dxa"/>
            <w:hideMark/>
          </w:tcPr>
          <w:p w14:paraId="5EBFE079"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5</w:t>
            </w:r>
          </w:p>
        </w:tc>
        <w:tc>
          <w:tcPr>
            <w:tcW w:w="851" w:type="dxa"/>
            <w:hideMark/>
          </w:tcPr>
          <w:p w14:paraId="02137B45"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406CBC77" w14:textId="1C4CCAB6"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14</w:t>
            </w:r>
            <w:r w:rsidR="00067153">
              <w:rPr>
                <w:sz w:val="20"/>
                <w:szCs w:val="20"/>
                <w:lang w:val="en-GB"/>
              </w:rPr>
              <w:t>(</w:t>
            </w:r>
            <w:r w:rsidRPr="00F6438F">
              <w:rPr>
                <w:sz w:val="20"/>
                <w:szCs w:val="20"/>
                <w:lang w:val="en-GB"/>
              </w:rPr>
              <w:t>3</w:t>
            </w:r>
            <w:r w:rsidR="00067153">
              <w:rPr>
                <w:sz w:val="20"/>
                <w:szCs w:val="20"/>
                <w:lang w:val="en-GB"/>
              </w:rPr>
              <w:t>)</w:t>
            </w:r>
            <w:r w:rsidRPr="00F6438F">
              <w:rPr>
                <w:sz w:val="20"/>
                <w:szCs w:val="20"/>
                <w:lang w:val="en-GB"/>
              </w:rPr>
              <w:t xml:space="preserve"> places non</w:t>
            </w:r>
            <w:r w:rsidR="00067153">
              <w:rPr>
                <w:sz w:val="20"/>
                <w:szCs w:val="20"/>
                <w:lang w:val="en-GB"/>
              </w:rPr>
              <w:t>-</w:t>
            </w:r>
            <w:r w:rsidRPr="00F6438F">
              <w:rPr>
                <w:sz w:val="20"/>
                <w:szCs w:val="20"/>
                <w:lang w:val="en-GB"/>
              </w:rPr>
              <w:t xml:space="preserve">organic waste in a green waste container </w:t>
            </w:r>
          </w:p>
        </w:tc>
        <w:tc>
          <w:tcPr>
            <w:tcW w:w="1262" w:type="dxa"/>
            <w:hideMark/>
          </w:tcPr>
          <w:p w14:paraId="2686F621" w14:textId="350AE2EF"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5</w:t>
            </w:r>
            <w:r w:rsidR="005B5B5C">
              <w:rPr>
                <w:sz w:val="20"/>
                <w:szCs w:val="20"/>
                <w:lang w:val="en-GB"/>
              </w:rPr>
              <w:t xml:space="preserve"> ($150)</w:t>
            </w:r>
          </w:p>
        </w:tc>
        <w:tc>
          <w:tcPr>
            <w:tcW w:w="804" w:type="dxa"/>
            <w:hideMark/>
          </w:tcPr>
          <w:p w14:paraId="229D12C0"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990" w:type="dxa"/>
            <w:hideMark/>
          </w:tcPr>
          <w:p w14:paraId="7EE52384" w14:textId="29923E94"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 xml:space="preserve">The change allows organic non garden waste to be put into a green waste container </w:t>
            </w:r>
            <w:r w:rsidR="008A2651">
              <w:rPr>
                <w:sz w:val="20"/>
                <w:szCs w:val="20"/>
                <w:lang w:val="en-GB"/>
              </w:rPr>
              <w:t xml:space="preserve">to support the FOGO initiative. </w:t>
            </w:r>
          </w:p>
        </w:tc>
      </w:tr>
      <w:tr w:rsidR="00840C92" w14:paraId="42E44AF1" w14:textId="77777777" w:rsidTr="005B5B5C">
        <w:tc>
          <w:tcPr>
            <w:cnfStyle w:val="001000000000" w:firstRow="0" w:lastRow="0" w:firstColumn="1" w:lastColumn="0" w:oddVBand="0" w:evenVBand="0" w:oddHBand="0" w:evenHBand="0" w:firstRowFirstColumn="0" w:firstRowLastColumn="0" w:lastRowFirstColumn="0" w:lastRowLastColumn="0"/>
            <w:tcW w:w="2366" w:type="dxa"/>
            <w:hideMark/>
          </w:tcPr>
          <w:p w14:paraId="297782FF" w14:textId="77777777" w:rsidR="00840C92" w:rsidRPr="00F6438F" w:rsidRDefault="00840C92" w:rsidP="005F7ECC">
            <w:pPr>
              <w:rPr>
                <w:sz w:val="20"/>
                <w:szCs w:val="20"/>
                <w:lang w:val="en-GB"/>
              </w:rPr>
            </w:pPr>
            <w:r w:rsidRPr="00F6438F">
              <w:rPr>
                <w:sz w:val="20"/>
                <w:szCs w:val="20"/>
                <w:lang w:val="en-GB"/>
              </w:rPr>
              <w:t xml:space="preserve">19 Failure to keep waste in a container </w:t>
            </w:r>
          </w:p>
        </w:tc>
        <w:tc>
          <w:tcPr>
            <w:tcW w:w="850" w:type="dxa"/>
            <w:hideMark/>
          </w:tcPr>
          <w:p w14:paraId="68E948FA"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10</w:t>
            </w:r>
          </w:p>
        </w:tc>
        <w:tc>
          <w:tcPr>
            <w:tcW w:w="851" w:type="dxa"/>
            <w:hideMark/>
          </w:tcPr>
          <w:p w14:paraId="58A17E94"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Yes </w:t>
            </w:r>
          </w:p>
        </w:tc>
        <w:tc>
          <w:tcPr>
            <w:tcW w:w="3299" w:type="dxa"/>
            <w:hideMark/>
          </w:tcPr>
          <w:p w14:paraId="4681D2D9"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15 Failure to keep waste in a container </w:t>
            </w:r>
          </w:p>
        </w:tc>
        <w:tc>
          <w:tcPr>
            <w:tcW w:w="1262" w:type="dxa"/>
            <w:hideMark/>
          </w:tcPr>
          <w:p w14:paraId="7D82BBED" w14:textId="7DB0A8A3"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10</w:t>
            </w:r>
            <w:r w:rsidR="005B5B5C">
              <w:rPr>
                <w:sz w:val="20"/>
                <w:szCs w:val="20"/>
                <w:lang w:val="en-GB"/>
              </w:rPr>
              <w:t xml:space="preserve"> ($150)</w:t>
            </w:r>
          </w:p>
        </w:tc>
        <w:tc>
          <w:tcPr>
            <w:tcW w:w="804" w:type="dxa"/>
            <w:hideMark/>
          </w:tcPr>
          <w:p w14:paraId="1B705EEC"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990" w:type="dxa"/>
            <w:hideMark/>
          </w:tcPr>
          <w:p w14:paraId="40F645E5" w14:textId="21A1DE4F"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The proposed offence also includes an exception if the waste is left out in accordance with an authorised waste collection arrangement </w:t>
            </w:r>
            <w:r w:rsidR="008A2651">
              <w:rPr>
                <w:sz w:val="20"/>
                <w:szCs w:val="20"/>
                <w:lang w:val="en-GB"/>
              </w:rPr>
              <w:t>to enable bulky waste collections.</w:t>
            </w:r>
          </w:p>
        </w:tc>
      </w:tr>
      <w:tr w:rsidR="00840C92" w14:paraId="20B4A765" w14:textId="77777777" w:rsidTr="005B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060DE767" w14:textId="77777777" w:rsidR="00840C92" w:rsidRPr="00F6438F" w:rsidRDefault="00840C92" w:rsidP="005F7ECC">
            <w:pPr>
              <w:rPr>
                <w:sz w:val="20"/>
                <w:szCs w:val="20"/>
                <w:lang w:val="en-GB"/>
              </w:rPr>
            </w:pPr>
            <w:r w:rsidRPr="00F6438F">
              <w:rPr>
                <w:sz w:val="20"/>
                <w:szCs w:val="20"/>
                <w:lang w:val="en-GB"/>
              </w:rPr>
              <w:t>20 Unhygienic waste container</w:t>
            </w:r>
          </w:p>
        </w:tc>
        <w:tc>
          <w:tcPr>
            <w:tcW w:w="850" w:type="dxa"/>
            <w:hideMark/>
          </w:tcPr>
          <w:p w14:paraId="5E73001B"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10</w:t>
            </w:r>
          </w:p>
        </w:tc>
        <w:tc>
          <w:tcPr>
            <w:tcW w:w="851" w:type="dxa"/>
            <w:hideMark/>
          </w:tcPr>
          <w:p w14:paraId="7CD7F3A8"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03AB6ACC"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 xml:space="preserve">16 Unhygienic waste container </w:t>
            </w:r>
          </w:p>
        </w:tc>
        <w:tc>
          <w:tcPr>
            <w:tcW w:w="1262" w:type="dxa"/>
            <w:hideMark/>
          </w:tcPr>
          <w:p w14:paraId="622CC3D6" w14:textId="444EC149"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10</w:t>
            </w:r>
            <w:r w:rsidR="005B5B5C">
              <w:rPr>
                <w:sz w:val="20"/>
                <w:szCs w:val="20"/>
                <w:lang w:val="en-GB"/>
              </w:rPr>
              <w:t xml:space="preserve"> ($300)</w:t>
            </w:r>
          </w:p>
        </w:tc>
        <w:tc>
          <w:tcPr>
            <w:tcW w:w="804" w:type="dxa"/>
            <w:hideMark/>
          </w:tcPr>
          <w:p w14:paraId="6A61DDA1"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990" w:type="dxa"/>
          </w:tcPr>
          <w:p w14:paraId="4780511D"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840C92" w14:paraId="22EF9D6C" w14:textId="77777777" w:rsidTr="005B5B5C">
        <w:tc>
          <w:tcPr>
            <w:cnfStyle w:val="001000000000" w:firstRow="0" w:lastRow="0" w:firstColumn="1" w:lastColumn="0" w:oddVBand="0" w:evenVBand="0" w:oddHBand="0" w:evenHBand="0" w:firstRowFirstColumn="0" w:firstRowLastColumn="0" w:lastRowFirstColumn="0" w:lastRowLastColumn="0"/>
            <w:tcW w:w="2366" w:type="dxa"/>
            <w:hideMark/>
          </w:tcPr>
          <w:p w14:paraId="3D5DD18D" w14:textId="77777777" w:rsidR="00840C92" w:rsidRPr="00F6438F" w:rsidRDefault="00840C92" w:rsidP="005F7ECC">
            <w:pPr>
              <w:rPr>
                <w:sz w:val="20"/>
                <w:szCs w:val="20"/>
                <w:lang w:val="en-GB"/>
              </w:rPr>
            </w:pPr>
            <w:r w:rsidRPr="00F6438F">
              <w:rPr>
                <w:sz w:val="20"/>
                <w:szCs w:val="20"/>
                <w:lang w:val="en-GB"/>
              </w:rPr>
              <w:t xml:space="preserve">21 Unsightly waste </w:t>
            </w:r>
          </w:p>
        </w:tc>
        <w:tc>
          <w:tcPr>
            <w:tcW w:w="850" w:type="dxa"/>
            <w:hideMark/>
          </w:tcPr>
          <w:p w14:paraId="533CDE2C"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10</w:t>
            </w:r>
          </w:p>
        </w:tc>
        <w:tc>
          <w:tcPr>
            <w:tcW w:w="851" w:type="dxa"/>
            <w:hideMark/>
          </w:tcPr>
          <w:p w14:paraId="6124108E"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3F9BF7DF"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17 Unsightly waste </w:t>
            </w:r>
          </w:p>
        </w:tc>
        <w:tc>
          <w:tcPr>
            <w:tcW w:w="1262" w:type="dxa"/>
            <w:hideMark/>
          </w:tcPr>
          <w:p w14:paraId="5D80E925" w14:textId="137B5486"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10</w:t>
            </w:r>
            <w:r w:rsidR="005B5B5C">
              <w:rPr>
                <w:sz w:val="20"/>
                <w:szCs w:val="20"/>
                <w:lang w:val="en-GB"/>
              </w:rPr>
              <w:t xml:space="preserve"> ($300)</w:t>
            </w:r>
          </w:p>
        </w:tc>
        <w:tc>
          <w:tcPr>
            <w:tcW w:w="804" w:type="dxa"/>
            <w:hideMark/>
          </w:tcPr>
          <w:p w14:paraId="357D270E"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990" w:type="dxa"/>
          </w:tcPr>
          <w:p w14:paraId="1D500C2B"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840C92" w14:paraId="54162197" w14:textId="77777777" w:rsidTr="005B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38CFB92D" w14:textId="77777777" w:rsidR="00840C92" w:rsidRPr="00F6438F" w:rsidRDefault="00840C92" w:rsidP="005F7ECC">
            <w:pPr>
              <w:rPr>
                <w:sz w:val="20"/>
                <w:szCs w:val="20"/>
                <w:lang w:val="en-GB"/>
              </w:rPr>
            </w:pPr>
            <w:r w:rsidRPr="00F6438F">
              <w:rPr>
                <w:sz w:val="20"/>
                <w:szCs w:val="20"/>
                <w:lang w:val="en-GB"/>
              </w:rPr>
              <w:t xml:space="preserve">22 Waste container not closed </w:t>
            </w:r>
          </w:p>
        </w:tc>
        <w:tc>
          <w:tcPr>
            <w:tcW w:w="850" w:type="dxa"/>
            <w:hideMark/>
          </w:tcPr>
          <w:p w14:paraId="13FFB5BD"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10</w:t>
            </w:r>
          </w:p>
        </w:tc>
        <w:tc>
          <w:tcPr>
            <w:tcW w:w="851" w:type="dxa"/>
            <w:hideMark/>
          </w:tcPr>
          <w:p w14:paraId="53EBC496"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16E19FC9"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18 Waste container not closed</w:t>
            </w:r>
          </w:p>
        </w:tc>
        <w:tc>
          <w:tcPr>
            <w:tcW w:w="1262" w:type="dxa"/>
            <w:hideMark/>
          </w:tcPr>
          <w:p w14:paraId="68BBAE12" w14:textId="7D6666D4"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10</w:t>
            </w:r>
            <w:r w:rsidR="005B5B5C">
              <w:rPr>
                <w:sz w:val="20"/>
                <w:szCs w:val="20"/>
                <w:lang w:val="en-GB"/>
              </w:rPr>
              <w:t xml:space="preserve"> ($300)</w:t>
            </w:r>
          </w:p>
        </w:tc>
        <w:tc>
          <w:tcPr>
            <w:tcW w:w="804" w:type="dxa"/>
            <w:hideMark/>
          </w:tcPr>
          <w:p w14:paraId="0311D065"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Yes</w:t>
            </w:r>
          </w:p>
        </w:tc>
        <w:tc>
          <w:tcPr>
            <w:tcW w:w="3990" w:type="dxa"/>
            <w:hideMark/>
          </w:tcPr>
          <w:p w14:paraId="5D745CBA" w14:textId="77777777" w:rsidR="00840C92" w:rsidRPr="00F6438F" w:rsidRDefault="00840C92" w:rsidP="005F7ECC">
            <w:pPr>
              <w:cnfStyle w:val="000000100000" w:firstRow="0" w:lastRow="0" w:firstColumn="0" w:lastColumn="0" w:oddVBand="0" w:evenVBand="0" w:oddHBand="1" w:evenHBand="0" w:firstRowFirstColumn="0" w:firstRowLastColumn="0" w:lastRowFirstColumn="0" w:lastRowLastColumn="0"/>
              <w:rPr>
                <w:sz w:val="20"/>
                <w:szCs w:val="20"/>
                <w:lang w:val="en-GB"/>
              </w:rPr>
            </w:pPr>
            <w:r w:rsidRPr="00F6438F">
              <w:rPr>
                <w:sz w:val="20"/>
                <w:szCs w:val="20"/>
                <w:lang w:val="en-GB"/>
              </w:rPr>
              <w:t xml:space="preserve">The proposed offence contains a consequential amendment because of a change to the definition of ‘waste container’ </w:t>
            </w:r>
          </w:p>
        </w:tc>
      </w:tr>
      <w:tr w:rsidR="00840C92" w14:paraId="7C1A88C9" w14:textId="77777777" w:rsidTr="005B5B5C">
        <w:trPr>
          <w:trHeight w:val="68"/>
        </w:trPr>
        <w:tc>
          <w:tcPr>
            <w:cnfStyle w:val="001000000000" w:firstRow="0" w:lastRow="0" w:firstColumn="1" w:lastColumn="0" w:oddVBand="0" w:evenVBand="0" w:oddHBand="0" w:evenHBand="0" w:firstRowFirstColumn="0" w:firstRowLastColumn="0" w:lastRowFirstColumn="0" w:lastRowLastColumn="0"/>
            <w:tcW w:w="2366" w:type="dxa"/>
            <w:hideMark/>
          </w:tcPr>
          <w:p w14:paraId="3698D130" w14:textId="77777777" w:rsidR="00840C92" w:rsidRPr="00F6438F" w:rsidRDefault="00840C92" w:rsidP="005F7ECC">
            <w:pPr>
              <w:rPr>
                <w:sz w:val="20"/>
                <w:szCs w:val="20"/>
                <w:lang w:val="en-GB"/>
              </w:rPr>
            </w:pPr>
            <w:r w:rsidRPr="00F6438F">
              <w:rPr>
                <w:sz w:val="20"/>
                <w:szCs w:val="20"/>
                <w:lang w:val="en-GB"/>
              </w:rPr>
              <w:t>23 Location of waste container</w:t>
            </w:r>
          </w:p>
        </w:tc>
        <w:tc>
          <w:tcPr>
            <w:tcW w:w="850" w:type="dxa"/>
            <w:hideMark/>
          </w:tcPr>
          <w:p w14:paraId="1F9E00D2"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10</w:t>
            </w:r>
          </w:p>
        </w:tc>
        <w:tc>
          <w:tcPr>
            <w:tcW w:w="851" w:type="dxa"/>
            <w:hideMark/>
          </w:tcPr>
          <w:p w14:paraId="0B923EBA"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299" w:type="dxa"/>
            <w:hideMark/>
          </w:tcPr>
          <w:p w14:paraId="047D0F29"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19 Location of waste container </w:t>
            </w:r>
          </w:p>
        </w:tc>
        <w:tc>
          <w:tcPr>
            <w:tcW w:w="1262" w:type="dxa"/>
            <w:hideMark/>
          </w:tcPr>
          <w:p w14:paraId="4CBB441A" w14:textId="4ECA7E3B"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10 </w:t>
            </w:r>
            <w:r w:rsidR="005B5B5C">
              <w:rPr>
                <w:sz w:val="20"/>
                <w:szCs w:val="20"/>
                <w:lang w:val="en-GB"/>
              </w:rPr>
              <w:t>($300)</w:t>
            </w:r>
          </w:p>
        </w:tc>
        <w:tc>
          <w:tcPr>
            <w:tcW w:w="804" w:type="dxa"/>
            <w:hideMark/>
          </w:tcPr>
          <w:p w14:paraId="473079BA"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Yes</w:t>
            </w:r>
          </w:p>
        </w:tc>
        <w:tc>
          <w:tcPr>
            <w:tcW w:w="3990" w:type="dxa"/>
            <w:hideMark/>
          </w:tcPr>
          <w:p w14:paraId="29BABE12" w14:textId="77777777" w:rsidR="00840C92" w:rsidRPr="00F6438F" w:rsidRDefault="00840C92" w:rsidP="005F7ECC">
            <w:pPr>
              <w:cnfStyle w:val="000000000000" w:firstRow="0" w:lastRow="0" w:firstColumn="0" w:lastColumn="0" w:oddVBand="0" w:evenVBand="0" w:oddHBand="0" w:evenHBand="0" w:firstRowFirstColumn="0" w:firstRowLastColumn="0" w:lastRowFirstColumn="0" w:lastRowLastColumn="0"/>
              <w:rPr>
                <w:sz w:val="20"/>
                <w:szCs w:val="20"/>
                <w:lang w:val="en-GB"/>
              </w:rPr>
            </w:pPr>
            <w:r w:rsidRPr="00F6438F">
              <w:rPr>
                <w:sz w:val="20"/>
                <w:szCs w:val="20"/>
                <w:lang w:val="en-GB"/>
              </w:rPr>
              <w:t xml:space="preserve">(Slight change because of definitions) </w:t>
            </w:r>
          </w:p>
        </w:tc>
      </w:tr>
    </w:tbl>
    <w:p w14:paraId="20FE7577" w14:textId="77777777" w:rsidR="00DA773B" w:rsidRDefault="00DA773B" w:rsidP="005F7ECC">
      <w:pPr>
        <w:rPr>
          <w:rFonts w:ascii="Calibri" w:hAnsi="Calibri" w:cs="Calibri"/>
        </w:rPr>
      </w:pPr>
    </w:p>
    <w:p w14:paraId="3431858A" w14:textId="77777777" w:rsidR="004D2753" w:rsidRDefault="004D2753" w:rsidP="005F7ECC">
      <w:pPr>
        <w:sectPr w:rsidR="004D2753" w:rsidSect="004D2753">
          <w:pgSz w:w="16838" w:h="11906" w:orient="landscape"/>
          <w:pgMar w:top="1440" w:right="1440" w:bottom="1440" w:left="1440" w:header="708" w:footer="708" w:gutter="0"/>
          <w:cols w:space="708"/>
          <w:docGrid w:linePitch="360"/>
        </w:sectPr>
      </w:pPr>
    </w:p>
    <w:p w14:paraId="04356FDB" w14:textId="7564B99C" w:rsidR="00DA773B" w:rsidRDefault="00DA773B" w:rsidP="005F7ECC"/>
    <w:p w14:paraId="3B4B774F" w14:textId="4959789F" w:rsidR="00127724" w:rsidRDefault="00DC1B47" w:rsidP="005F7ECC">
      <w:pPr>
        <w:pStyle w:val="Heading2"/>
      </w:pPr>
      <w:bookmarkStart w:id="77" w:name="_Toc78374699"/>
      <w:bookmarkStart w:id="78" w:name="_Toc79490209"/>
      <w:r>
        <w:t>8</w:t>
      </w:r>
      <w:r w:rsidR="005C26B0">
        <w:t>.</w:t>
      </w:r>
      <w:r w:rsidR="005F7ECC">
        <w:t>6</w:t>
      </w:r>
      <w:r w:rsidR="005C26B0">
        <w:t xml:space="preserve"> </w:t>
      </w:r>
      <w:r w:rsidR="007D3981">
        <w:t>Consideration of h</w:t>
      </w:r>
      <w:r w:rsidR="00127724">
        <w:t>uman rights</w:t>
      </w:r>
      <w:bookmarkEnd w:id="77"/>
      <w:bookmarkEnd w:id="78"/>
    </w:p>
    <w:p w14:paraId="59D25B51" w14:textId="629A6BBA" w:rsidR="007B31AE" w:rsidRDefault="00D12978" w:rsidP="005F7ECC">
      <w:pPr>
        <w:pStyle w:val="CS-Paragraphnumbering"/>
        <w:numPr>
          <w:ilvl w:val="0"/>
          <w:numId w:val="0"/>
        </w:numPr>
      </w:pPr>
      <w:r>
        <w:t>There are no new human rights issues associated with changes to kerbside container arrangements. This is because there is a net reduction in the application of strict liability offences due to additional inclusion of compostable waste and bulky waste collections and no new offences are introduced.</w:t>
      </w:r>
      <w:r w:rsidR="0050709C">
        <w:t xml:space="preserve"> </w:t>
      </w:r>
    </w:p>
    <w:p w14:paraId="2CB9556A" w14:textId="05D46267" w:rsidR="00D12978" w:rsidRDefault="007B31AE" w:rsidP="007B31AE">
      <w:pPr>
        <w:pStyle w:val="CS-Paragraphnumbering"/>
        <w:numPr>
          <w:ilvl w:val="0"/>
          <w:numId w:val="0"/>
        </w:numPr>
      </w:pPr>
      <w:r>
        <w:t xml:space="preserve">The established human rights apply to this Amendment, with the right to be presumed innocent until proven guilty and the right to privacy, under section 22 (1) and section 12 of the </w:t>
      </w:r>
      <w:r w:rsidRPr="007B31AE">
        <w:rPr>
          <w:i/>
          <w:iCs/>
        </w:rPr>
        <w:t>Human Rights Act 2004</w:t>
      </w:r>
      <w:r>
        <w:t xml:space="preserve"> respectively.</w:t>
      </w:r>
    </w:p>
    <w:p w14:paraId="3FCFCD14" w14:textId="4DE6CCCB" w:rsidR="0048799E" w:rsidRDefault="0048799E" w:rsidP="007B31AE">
      <w:pPr>
        <w:pStyle w:val="CS-Paragraphnumbering"/>
        <w:numPr>
          <w:ilvl w:val="0"/>
          <w:numId w:val="0"/>
        </w:numPr>
      </w:pPr>
      <w:r>
        <w:t xml:space="preserve">The right to privacy is removed from kerbside container management in relation to data-gathering incidents, such as waste collection vehicles capturing </w:t>
      </w:r>
      <w:r w:rsidR="00F343EB">
        <w:t xml:space="preserve">contents of waste through cameras. This does not engage the right to privacy as all data captured is de-identified and captured purely for statistical purposes. </w:t>
      </w:r>
    </w:p>
    <w:p w14:paraId="1D2B99F1" w14:textId="77777777" w:rsidR="00147A92" w:rsidRDefault="00147A92" w:rsidP="00147A92">
      <w:pPr>
        <w:pStyle w:val="CS-Paragraphnumbering"/>
        <w:numPr>
          <w:ilvl w:val="0"/>
          <w:numId w:val="0"/>
        </w:numPr>
      </w:pPr>
      <w:r>
        <w:t xml:space="preserve">The existing strict liability offence was problematic because some elements were not completely irrefutable. For example, the existing S21 provision makes it an offence to keep unsightly waste on the premises, however, does not explain who decides whether waste is unsightly. The proposed amendments address this problem by defining the responsibilities of the Territory, and of occupiers of premises. </w:t>
      </w:r>
    </w:p>
    <w:p w14:paraId="2CBD7922" w14:textId="77777777" w:rsidR="00147A92" w:rsidRDefault="00147A92" w:rsidP="00147A92">
      <w:pPr>
        <w:pStyle w:val="CS-Paragraphnumbering"/>
        <w:numPr>
          <w:ilvl w:val="0"/>
          <w:numId w:val="0"/>
        </w:numPr>
      </w:pPr>
      <w:r>
        <w:t xml:space="preserve">The amendments also provide a regulatory alternative to prosecution which is proportional to the nature of the offences, taking account of other existing, related offences for littering. Offences related to waste near residential dwellings may be regulated through either the WMRR legislation, or the </w:t>
      </w:r>
      <w:r w:rsidRPr="001E27D3">
        <w:rPr>
          <w:i/>
          <w:iCs/>
        </w:rPr>
        <w:t xml:space="preserve">Litter Act </w:t>
      </w:r>
      <w:r w:rsidRPr="001E27D3">
        <w:t>2004</w:t>
      </w:r>
      <w:r>
        <w:t xml:space="preserve"> which establishes </w:t>
      </w:r>
      <w:r w:rsidRPr="001E27D3">
        <w:t>offence</w:t>
      </w:r>
      <w:r>
        <w:t xml:space="preserve">s for depositing litter in a public place (including the kerb) which are $60 for small items and $200 for any other litter. </w:t>
      </w:r>
      <w:r w:rsidRPr="00AE3CE3">
        <w:rPr>
          <w:i/>
          <w:iCs/>
        </w:rPr>
        <w:t>The Litter Act</w:t>
      </w:r>
      <w:r>
        <w:t xml:space="preserve"> also has $200 penalties for allowing litter to escape, or depositing litter in receptacles in public places that is not of size, shape, nature or volume to the receptable. The WMRR offences provide an adjunct to these litter offences as they can be applied to waste items on private land and also to waste placed inappropriately within territory waste containers. The Regulation’s penalties of $150 for failure to keep waste in Territory waste containers, and for using them incorrectly are in between the two offence amounts for littering, and therefore provide a proportional response. </w:t>
      </w:r>
    </w:p>
    <w:p w14:paraId="03DF00BA" w14:textId="77777777" w:rsidR="00147A92" w:rsidRDefault="00147A92" w:rsidP="005F7ECC">
      <w:pPr>
        <w:pStyle w:val="CS-Paragraphnumbering"/>
        <w:numPr>
          <w:ilvl w:val="0"/>
          <w:numId w:val="0"/>
        </w:numPr>
      </w:pPr>
    </w:p>
    <w:p w14:paraId="04CE46B0" w14:textId="645093B2" w:rsidR="00127724" w:rsidRDefault="00DC1B47" w:rsidP="005F7ECC">
      <w:pPr>
        <w:pStyle w:val="Heading2"/>
      </w:pPr>
      <w:bookmarkStart w:id="79" w:name="_Toc78374700"/>
      <w:bookmarkStart w:id="80" w:name="_Toc79490210"/>
      <w:r>
        <w:t>8</w:t>
      </w:r>
      <w:r w:rsidR="005C26B0">
        <w:t>.</w:t>
      </w:r>
      <w:r w:rsidR="005F7ECC">
        <w:t>7</w:t>
      </w:r>
      <w:r w:rsidR="005C26B0">
        <w:t xml:space="preserve"> </w:t>
      </w:r>
      <w:r w:rsidR="00127724">
        <w:t xml:space="preserve">Impact </w:t>
      </w:r>
      <w:r w:rsidR="001F4AFA">
        <w:t xml:space="preserve">and cost-benefit </w:t>
      </w:r>
      <w:r w:rsidR="00127724">
        <w:t>analysis</w:t>
      </w:r>
      <w:bookmarkEnd w:id="79"/>
      <w:bookmarkEnd w:id="80"/>
    </w:p>
    <w:p w14:paraId="6E782999" w14:textId="678B7D33" w:rsidR="001F4AFA" w:rsidRPr="00844CFC" w:rsidRDefault="001F4AFA" w:rsidP="005F7ECC">
      <w:pPr>
        <w:rPr>
          <w:sz w:val="24"/>
          <w:szCs w:val="24"/>
        </w:rPr>
      </w:pPr>
      <w:r w:rsidRPr="00844CFC">
        <w:rPr>
          <w:sz w:val="24"/>
          <w:szCs w:val="24"/>
        </w:rPr>
        <w:t>There will be some impacts from the implementation of the amendments</w:t>
      </w:r>
      <w:r w:rsidR="007D3981">
        <w:rPr>
          <w:sz w:val="24"/>
          <w:szCs w:val="24"/>
        </w:rPr>
        <w:t>, h</w:t>
      </w:r>
      <w:r w:rsidRPr="00844CFC">
        <w:rPr>
          <w:sz w:val="24"/>
          <w:szCs w:val="24"/>
        </w:rPr>
        <w:t xml:space="preserve">owever the benefits of the proposed amendments are expected to outweigh both the costs of not making amendments, and the costs associated with the amendments. </w:t>
      </w:r>
    </w:p>
    <w:p w14:paraId="69B6085F" w14:textId="087622A9" w:rsidR="007A0F92" w:rsidRDefault="00AA0B78" w:rsidP="005F7ECC">
      <w:pPr>
        <w:rPr>
          <w:sz w:val="24"/>
          <w:szCs w:val="24"/>
        </w:rPr>
      </w:pPr>
      <w:r w:rsidRPr="00844CFC">
        <w:rPr>
          <w:sz w:val="24"/>
          <w:szCs w:val="24"/>
        </w:rPr>
        <w:t xml:space="preserve">There is the potential for additional infringements </w:t>
      </w:r>
      <w:r w:rsidR="007A0F92">
        <w:rPr>
          <w:sz w:val="24"/>
          <w:szCs w:val="24"/>
        </w:rPr>
        <w:t xml:space="preserve">to be issued </w:t>
      </w:r>
      <w:r w:rsidR="007D3981">
        <w:rPr>
          <w:sz w:val="24"/>
          <w:szCs w:val="24"/>
        </w:rPr>
        <w:t xml:space="preserve">due to </w:t>
      </w:r>
      <w:r w:rsidR="007A0F92">
        <w:rPr>
          <w:sz w:val="24"/>
          <w:szCs w:val="24"/>
        </w:rPr>
        <w:t xml:space="preserve">the amendments. These would increase costs to infringed parties with resulting income to the </w:t>
      </w:r>
      <w:r w:rsidR="007D3981">
        <w:rPr>
          <w:sz w:val="24"/>
          <w:szCs w:val="24"/>
        </w:rPr>
        <w:t>G</w:t>
      </w:r>
      <w:r w:rsidR="007A0F92">
        <w:rPr>
          <w:sz w:val="24"/>
          <w:szCs w:val="24"/>
        </w:rPr>
        <w:t>overnment</w:t>
      </w:r>
      <w:r w:rsidRPr="00844CFC">
        <w:rPr>
          <w:sz w:val="24"/>
          <w:szCs w:val="24"/>
        </w:rPr>
        <w:t xml:space="preserve">. </w:t>
      </w:r>
    </w:p>
    <w:p w14:paraId="6343E21A" w14:textId="0EA3D650" w:rsidR="00AA0B78" w:rsidRPr="00844CFC" w:rsidRDefault="007A0F92" w:rsidP="005F7ECC">
      <w:pPr>
        <w:rPr>
          <w:sz w:val="24"/>
          <w:szCs w:val="24"/>
        </w:rPr>
      </w:pPr>
      <w:r>
        <w:rPr>
          <w:sz w:val="24"/>
          <w:szCs w:val="24"/>
        </w:rPr>
        <w:lastRenderedPageBreak/>
        <w:t>Additional infringements are possible</w:t>
      </w:r>
      <w:r w:rsidR="007D3981">
        <w:rPr>
          <w:sz w:val="24"/>
          <w:szCs w:val="24"/>
        </w:rPr>
        <w:t>,</w:t>
      </w:r>
      <w:r>
        <w:rPr>
          <w:sz w:val="24"/>
          <w:szCs w:val="24"/>
        </w:rPr>
        <w:t xml:space="preserve"> for example </w:t>
      </w:r>
      <w:r w:rsidR="007D3981">
        <w:rPr>
          <w:sz w:val="24"/>
          <w:szCs w:val="24"/>
        </w:rPr>
        <w:t>resulting from</w:t>
      </w:r>
      <w:r>
        <w:rPr>
          <w:sz w:val="24"/>
          <w:szCs w:val="24"/>
        </w:rPr>
        <w:t xml:space="preserve"> contamination of FOGO collection services.</w:t>
      </w:r>
      <w:r w:rsidR="002D5919">
        <w:rPr>
          <w:sz w:val="24"/>
          <w:szCs w:val="24"/>
        </w:rPr>
        <w:t xml:space="preserve"> I</w:t>
      </w:r>
      <w:r w:rsidR="00AA0B78" w:rsidRPr="00844CFC">
        <w:rPr>
          <w:sz w:val="24"/>
          <w:szCs w:val="24"/>
        </w:rPr>
        <w:t xml:space="preserve">t has been difficult to </w:t>
      </w:r>
      <w:r w:rsidR="002D5919" w:rsidRPr="00844CFC">
        <w:rPr>
          <w:sz w:val="24"/>
          <w:szCs w:val="24"/>
        </w:rPr>
        <w:t>act</w:t>
      </w:r>
      <w:r w:rsidR="00AA0B78" w:rsidRPr="00844CFC">
        <w:rPr>
          <w:sz w:val="24"/>
          <w:szCs w:val="24"/>
        </w:rPr>
        <w:t xml:space="preserve"> on offences related to kerbside collections because there is no way to </w:t>
      </w:r>
      <w:r w:rsidR="002D5919">
        <w:rPr>
          <w:sz w:val="24"/>
          <w:szCs w:val="24"/>
        </w:rPr>
        <w:t>evidence</w:t>
      </w:r>
      <w:r w:rsidR="00AA0B78" w:rsidRPr="00844CFC">
        <w:rPr>
          <w:sz w:val="24"/>
          <w:szCs w:val="24"/>
        </w:rPr>
        <w:t xml:space="preserve"> which bin was the source of a particular contaminant</w:t>
      </w:r>
      <w:r w:rsidR="002D5919">
        <w:rPr>
          <w:sz w:val="24"/>
          <w:szCs w:val="24"/>
        </w:rPr>
        <w:t>,</w:t>
      </w:r>
      <w:r w:rsidR="00AA0B78" w:rsidRPr="00844CFC">
        <w:rPr>
          <w:sz w:val="24"/>
          <w:szCs w:val="24"/>
        </w:rPr>
        <w:t xml:space="preserve"> </w:t>
      </w:r>
      <w:r w:rsidR="002D5919">
        <w:rPr>
          <w:sz w:val="24"/>
          <w:szCs w:val="24"/>
        </w:rPr>
        <w:t>h</w:t>
      </w:r>
      <w:r w:rsidR="00AA0B78" w:rsidRPr="00844CFC">
        <w:rPr>
          <w:sz w:val="24"/>
          <w:szCs w:val="24"/>
        </w:rPr>
        <w:t>owever</w:t>
      </w:r>
      <w:r>
        <w:rPr>
          <w:sz w:val="24"/>
          <w:szCs w:val="24"/>
        </w:rPr>
        <w:t xml:space="preserve"> the proposal for</w:t>
      </w:r>
      <w:r w:rsidR="00AA0B78" w:rsidRPr="00844CFC">
        <w:rPr>
          <w:sz w:val="24"/>
          <w:szCs w:val="24"/>
        </w:rPr>
        <w:t xml:space="preserve"> cameras on collection vehicles which can connect specific bin-lifts with contamination, </w:t>
      </w:r>
      <w:r>
        <w:rPr>
          <w:sz w:val="24"/>
          <w:szCs w:val="24"/>
        </w:rPr>
        <w:t>introduce a</w:t>
      </w:r>
      <w:r w:rsidR="00AA0B78" w:rsidRPr="00844CFC">
        <w:rPr>
          <w:sz w:val="24"/>
          <w:szCs w:val="24"/>
        </w:rPr>
        <w:t xml:space="preserve"> capacity to apply infringements. </w:t>
      </w:r>
      <w:r>
        <w:rPr>
          <w:sz w:val="24"/>
          <w:szCs w:val="24"/>
        </w:rPr>
        <w:t xml:space="preserve">While communication and education will be the first approach to dealing with contamination, infringements could follow if offences are repeated or significant. </w:t>
      </w:r>
    </w:p>
    <w:p w14:paraId="0A62DC5D" w14:textId="304778E3" w:rsidR="00844CFC" w:rsidRPr="00844CFC" w:rsidRDefault="00844CFC" w:rsidP="005F7ECC">
      <w:pPr>
        <w:rPr>
          <w:sz w:val="24"/>
          <w:szCs w:val="24"/>
        </w:rPr>
      </w:pPr>
      <w:r w:rsidRPr="00844CFC">
        <w:rPr>
          <w:sz w:val="24"/>
          <w:szCs w:val="24"/>
        </w:rPr>
        <w:t xml:space="preserve">The </w:t>
      </w:r>
      <w:r w:rsidR="00260C22">
        <w:rPr>
          <w:sz w:val="24"/>
          <w:szCs w:val="24"/>
        </w:rPr>
        <w:t xml:space="preserve">expected </w:t>
      </w:r>
      <w:r w:rsidRPr="00844CFC">
        <w:rPr>
          <w:sz w:val="24"/>
          <w:szCs w:val="24"/>
        </w:rPr>
        <w:t>regulatory impact of the proposed changes can in part be measured in estimates of the number of infringement notices that may be expected to be issued in any given year. This is estimated at approximately 24, or two per month</w:t>
      </w:r>
      <w:r w:rsidR="00350D85">
        <w:rPr>
          <w:sz w:val="24"/>
          <w:szCs w:val="24"/>
        </w:rPr>
        <w:t>. It could be assumed that half may be at the five-penalty-unit rate ($150), and the other half at the 10-penalty unit rate ($300)</w:t>
      </w:r>
      <w:r w:rsidR="00350D85" w:rsidRPr="00350D85">
        <w:rPr>
          <w:sz w:val="24"/>
          <w:szCs w:val="24"/>
        </w:rPr>
        <w:t xml:space="preserve"> </w:t>
      </w:r>
      <w:r w:rsidR="00350D85">
        <w:rPr>
          <w:sz w:val="24"/>
          <w:szCs w:val="24"/>
        </w:rPr>
        <w:t>suggesting that approximately $5,400 might be paid in infringements per year at the peak</w:t>
      </w:r>
      <w:r>
        <w:rPr>
          <w:sz w:val="24"/>
          <w:szCs w:val="24"/>
        </w:rPr>
        <w:t xml:space="preserve">. </w:t>
      </w:r>
      <w:r w:rsidRPr="00844CFC">
        <w:rPr>
          <w:sz w:val="24"/>
          <w:szCs w:val="24"/>
        </w:rPr>
        <w:t xml:space="preserve">The following factors have been considered in providing this estimate: </w:t>
      </w:r>
    </w:p>
    <w:p w14:paraId="09286F3B" w14:textId="23552392" w:rsidR="008C6AAC" w:rsidRDefault="0039556A" w:rsidP="005F7ECC">
      <w:pPr>
        <w:pStyle w:val="ReportList1"/>
      </w:pPr>
      <w:r>
        <w:t>i</w:t>
      </w:r>
      <w:r w:rsidR="00844CFC">
        <w:t xml:space="preserve">ssue of infringement notices </w:t>
      </w:r>
      <w:r w:rsidR="008C6AAC">
        <w:t>would not be expected to be linear and consistent</w:t>
      </w:r>
      <w:r w:rsidR="00350D85" w:rsidRPr="00350D85">
        <w:t xml:space="preserve"> </w:t>
      </w:r>
      <w:r w:rsidR="00350D85">
        <w:t xml:space="preserve">but instead to build up over the 2022-2023 and drop off afterwards. This is </w:t>
      </w:r>
      <w:r w:rsidR="002D5919">
        <w:t>due to several factors including</w:t>
      </w:r>
      <w:r w:rsidR="00350D85">
        <w:t>:</w:t>
      </w:r>
      <w:r w:rsidR="008C6AAC">
        <w:t xml:space="preserve"> </w:t>
      </w:r>
    </w:p>
    <w:p w14:paraId="517EE914" w14:textId="094E2637" w:rsidR="002D5919" w:rsidRDefault="0039556A" w:rsidP="005F7ECC">
      <w:pPr>
        <w:pStyle w:val="ReportList2"/>
      </w:pPr>
      <w:r>
        <w:t>i</w:t>
      </w:r>
      <w:r w:rsidR="002D5919">
        <w:t>nfringements</w:t>
      </w:r>
      <w:r w:rsidR="008C6AAC">
        <w:t xml:space="preserve"> </w:t>
      </w:r>
      <w:r w:rsidR="00844CFC">
        <w:t xml:space="preserve">would not commence immediately on regulation </w:t>
      </w:r>
      <w:r w:rsidR="002D5919">
        <w:t>updates but</w:t>
      </w:r>
      <w:r w:rsidR="00844CFC">
        <w:t xml:space="preserve"> would follow the establishment of administrative systems and an </w:t>
      </w:r>
      <w:r w:rsidR="000E74F9">
        <w:t>infringement notice scheme</w:t>
      </w:r>
      <w:r w:rsidR="00844CFC">
        <w:t xml:space="preserve"> to support the work</w:t>
      </w:r>
      <w:r>
        <w:t>,</w:t>
      </w:r>
      <w:r w:rsidR="00844CFC">
        <w:t xml:space="preserve"> </w:t>
      </w:r>
    </w:p>
    <w:p w14:paraId="0B22805C" w14:textId="0B85C559" w:rsidR="00844CFC" w:rsidRDefault="0039556A" w:rsidP="005F7ECC">
      <w:pPr>
        <w:pStyle w:val="ReportList2"/>
      </w:pPr>
      <w:r>
        <w:t>i</w:t>
      </w:r>
      <w:r w:rsidR="00844CFC">
        <w:t>n early days, or in first instances, letters containing educational material about kerbside container offences would also be supplied prior to the issue of infringement notices and this could continue until the government is confident that people are aware of the offences</w:t>
      </w:r>
      <w:r w:rsidR="00C42420">
        <w:t>,</w:t>
      </w:r>
      <w:r w:rsidR="00C51828">
        <w:t xml:space="preserve"> </w:t>
      </w:r>
      <w:r>
        <w:t>and</w:t>
      </w:r>
    </w:p>
    <w:p w14:paraId="61368C15" w14:textId="34B4621F" w:rsidR="008C6AAC" w:rsidRDefault="0039556A" w:rsidP="005F7ECC">
      <w:pPr>
        <w:pStyle w:val="ReportList2"/>
      </w:pPr>
      <w:r>
        <w:t>i</w:t>
      </w:r>
      <w:r w:rsidR="008C6AAC">
        <w:t xml:space="preserve">f successful in leading to greater awareness and compliance, it would be expected to drop off over time to less than the estimated amount. </w:t>
      </w:r>
    </w:p>
    <w:p w14:paraId="52BC0269" w14:textId="1A6A0922" w:rsidR="00844CFC" w:rsidRDefault="0039556A" w:rsidP="005F7ECC">
      <w:pPr>
        <w:pStyle w:val="ReportList1"/>
      </w:pPr>
      <w:r>
        <w:t>t</w:t>
      </w:r>
      <w:r w:rsidR="00844CFC">
        <w:t>he WHS reporting includes an average of eight apparent offences per year over five years.</w:t>
      </w:r>
      <w:r w:rsidR="002D5919">
        <w:t xml:space="preserve"> It</w:t>
      </w:r>
      <w:r w:rsidR="00844CFC">
        <w:t xml:space="preserve"> could </w:t>
      </w:r>
      <w:r w:rsidR="002D5919">
        <w:t xml:space="preserve">be </w:t>
      </w:r>
      <w:r w:rsidR="00844CFC">
        <w:t>assume</w:t>
      </w:r>
      <w:r w:rsidR="002D5919">
        <w:t>d</w:t>
      </w:r>
      <w:r w:rsidR="00844CFC">
        <w:t xml:space="preserve"> that each incident of this magnitude may result in the issue of an infringement notice</w:t>
      </w:r>
      <w:r w:rsidR="00C42420">
        <w:t>,</w:t>
      </w:r>
      <w:r>
        <w:t xml:space="preserve"> and</w:t>
      </w:r>
      <w:r w:rsidR="00844CFC">
        <w:t xml:space="preserve"> </w:t>
      </w:r>
    </w:p>
    <w:p w14:paraId="7042BC14" w14:textId="70CA1598" w:rsidR="008C6AAC" w:rsidRDefault="0039556A" w:rsidP="005F7ECC">
      <w:pPr>
        <w:pStyle w:val="ReportList1"/>
      </w:pPr>
      <w:r>
        <w:t>t</w:t>
      </w:r>
      <w:r w:rsidR="008C6AAC">
        <w:t>he proposal to photograph FOGO collections, which w</w:t>
      </w:r>
      <w:r w:rsidR="002D5919">
        <w:t>ould</w:t>
      </w:r>
      <w:r w:rsidR="008C6AAC">
        <w:t xml:space="preserve"> enable identification of households supplying contaminated loads, combined with the importance of minimising contamination and the expected strong communication and education campaign. </w:t>
      </w:r>
    </w:p>
    <w:p w14:paraId="5A664333" w14:textId="4CA1F3AE" w:rsidR="00844CFC" w:rsidRPr="0039556A" w:rsidRDefault="00260C22" w:rsidP="005F7ECC">
      <w:pPr>
        <w:rPr>
          <w:sz w:val="24"/>
          <w:szCs w:val="24"/>
        </w:rPr>
      </w:pPr>
      <w:r w:rsidRPr="0039556A">
        <w:rPr>
          <w:sz w:val="24"/>
          <w:szCs w:val="24"/>
        </w:rPr>
        <w:t xml:space="preserve">Table </w:t>
      </w:r>
      <w:r w:rsidR="00683C64" w:rsidRPr="0039556A">
        <w:rPr>
          <w:sz w:val="24"/>
          <w:szCs w:val="24"/>
        </w:rPr>
        <w:t>6</w:t>
      </w:r>
      <w:r w:rsidRPr="0039556A">
        <w:rPr>
          <w:sz w:val="24"/>
          <w:szCs w:val="24"/>
        </w:rPr>
        <w:t xml:space="preserve"> provides a summary of the expected impacts from proposed amendments to kerbside container collection services. </w:t>
      </w:r>
    </w:p>
    <w:p w14:paraId="73FE90BF" w14:textId="153E781C" w:rsidR="00B013EB" w:rsidRPr="00C248FB" w:rsidRDefault="00B013EB" w:rsidP="005F7ECC">
      <w:pPr>
        <w:pStyle w:val="Caption"/>
      </w:pPr>
      <w:bookmarkStart w:id="81" w:name="_Toc78275036"/>
      <w:r>
        <w:t xml:space="preserve">Table </w:t>
      </w:r>
      <w:r w:rsidR="000150F9">
        <w:fldChar w:fldCharType="begin"/>
      </w:r>
      <w:r w:rsidR="000150F9">
        <w:instrText xml:space="preserve"> SEQ Table \* ARABIC </w:instrText>
      </w:r>
      <w:r w:rsidR="000150F9">
        <w:fldChar w:fldCharType="separate"/>
      </w:r>
      <w:r w:rsidR="002C4D5A">
        <w:rPr>
          <w:noProof/>
        </w:rPr>
        <w:t>6</w:t>
      </w:r>
      <w:r w:rsidR="000150F9">
        <w:rPr>
          <w:noProof/>
        </w:rPr>
        <w:fldChar w:fldCharType="end"/>
      </w:r>
      <w:r>
        <w:t xml:space="preserve"> Kerbside container management</w:t>
      </w:r>
      <w:r w:rsidRPr="00031A67">
        <w:t xml:space="preserve"> summary of impacts</w:t>
      </w:r>
      <w:bookmarkEnd w:id="81"/>
    </w:p>
    <w:tbl>
      <w:tblPr>
        <w:tblStyle w:val="GridTable5Dark-Accent1"/>
        <w:tblW w:w="0" w:type="auto"/>
        <w:tblLook w:val="04A0" w:firstRow="1" w:lastRow="0" w:firstColumn="1" w:lastColumn="0" w:noHBand="0" w:noVBand="1"/>
      </w:tblPr>
      <w:tblGrid>
        <w:gridCol w:w="2972"/>
        <w:gridCol w:w="6044"/>
      </w:tblGrid>
      <w:tr w:rsidR="001F4AFA" w14:paraId="007D8278" w14:textId="77777777" w:rsidTr="00533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0C9F2" w14:textId="77777777" w:rsidR="001F4AFA" w:rsidRDefault="001F4AFA" w:rsidP="005F7ECC">
            <w:r>
              <w:t>Type of impact</w:t>
            </w:r>
          </w:p>
        </w:tc>
        <w:tc>
          <w:tcPr>
            <w:tcW w:w="6044" w:type="dxa"/>
          </w:tcPr>
          <w:p w14:paraId="54B00A07" w14:textId="77777777" w:rsidR="001F4AFA" w:rsidRDefault="001F4AFA" w:rsidP="005F7ECC">
            <w:pPr>
              <w:cnfStyle w:val="100000000000" w:firstRow="1" w:lastRow="0" w:firstColumn="0" w:lastColumn="0" w:oddVBand="0" w:evenVBand="0" w:oddHBand="0" w:evenHBand="0" w:firstRowFirstColumn="0" w:firstRowLastColumn="0" w:lastRowFirstColumn="0" w:lastRowLastColumn="0"/>
            </w:pPr>
            <w:r>
              <w:t>Summary of impact</w:t>
            </w:r>
          </w:p>
        </w:tc>
      </w:tr>
      <w:tr w:rsidR="001F4AFA" w14:paraId="6766C0F5" w14:textId="77777777" w:rsidTr="00FA0206">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2972" w:type="dxa"/>
          </w:tcPr>
          <w:p w14:paraId="6A02D37D" w14:textId="77777777" w:rsidR="001F4AFA" w:rsidRDefault="001F4AFA" w:rsidP="005F7ECC">
            <w:r>
              <w:lastRenderedPageBreak/>
              <w:t>Benefits of amendments</w:t>
            </w:r>
          </w:p>
        </w:tc>
        <w:tc>
          <w:tcPr>
            <w:tcW w:w="6044" w:type="dxa"/>
          </w:tcPr>
          <w:p w14:paraId="009D91AC" w14:textId="77777777" w:rsidR="00260C22" w:rsidRDefault="00872DCA" w:rsidP="005F7ECC">
            <w:pPr>
              <w:pStyle w:val="ListParagraph"/>
              <w:numPr>
                <w:ilvl w:val="0"/>
                <w:numId w:val="32"/>
              </w:numPr>
              <w:ind w:left="322" w:hanging="246"/>
              <w:cnfStyle w:val="000000100000" w:firstRow="0" w:lastRow="0" w:firstColumn="0" w:lastColumn="0" w:oddVBand="0" w:evenVBand="0" w:oddHBand="1" w:evenHBand="0" w:firstRowFirstColumn="0" w:firstRowLastColumn="0" w:lastRowFirstColumn="0" w:lastRowLastColumn="0"/>
            </w:pPr>
            <w:r w:rsidRPr="00872DCA">
              <w:t xml:space="preserve">Will clarify the access rights for domestic waste containers left on the kerbside for servicing. </w:t>
            </w:r>
          </w:p>
          <w:p w14:paraId="2BC609F9" w14:textId="77777777" w:rsidR="00260C22" w:rsidRDefault="00872DCA" w:rsidP="005F7ECC">
            <w:pPr>
              <w:pStyle w:val="ListParagraph"/>
              <w:numPr>
                <w:ilvl w:val="0"/>
                <w:numId w:val="32"/>
              </w:numPr>
              <w:ind w:left="322" w:hanging="246"/>
              <w:cnfStyle w:val="000000100000" w:firstRow="0" w:lastRow="0" w:firstColumn="0" w:lastColumn="0" w:oddVBand="0" w:evenVBand="0" w:oddHBand="1" w:evenHBand="0" w:firstRowFirstColumn="0" w:firstRowLastColumn="0" w:lastRowFirstColumn="0" w:lastRowLastColumn="0"/>
            </w:pPr>
            <w:r w:rsidRPr="00872DCA">
              <w:t xml:space="preserve">Will also support effective regulation of waste segregation and access to waste containers. </w:t>
            </w:r>
          </w:p>
          <w:p w14:paraId="09784E76" w14:textId="37EA1F78" w:rsidR="001F4AFA" w:rsidRDefault="00872DCA" w:rsidP="005F7ECC">
            <w:pPr>
              <w:pStyle w:val="ListParagraph"/>
              <w:numPr>
                <w:ilvl w:val="0"/>
                <w:numId w:val="32"/>
              </w:numPr>
              <w:ind w:left="322" w:hanging="246"/>
              <w:cnfStyle w:val="000000100000" w:firstRow="0" w:lastRow="0" w:firstColumn="0" w:lastColumn="0" w:oddVBand="0" w:evenVBand="0" w:oddHBand="1" w:evenHBand="0" w:firstRowFirstColumn="0" w:firstRowLastColumn="0" w:lastRowFirstColumn="0" w:lastRowLastColumn="0"/>
            </w:pPr>
            <w:r w:rsidRPr="00872DCA">
              <w:t>Could support later options for regulators to issue on-the-spot fines in relation to minor and clear infringements.</w:t>
            </w:r>
          </w:p>
        </w:tc>
      </w:tr>
      <w:tr w:rsidR="001F4AFA" w14:paraId="27039CA4" w14:textId="77777777" w:rsidTr="0053340C">
        <w:tc>
          <w:tcPr>
            <w:cnfStyle w:val="001000000000" w:firstRow="0" w:lastRow="0" w:firstColumn="1" w:lastColumn="0" w:oddVBand="0" w:evenVBand="0" w:oddHBand="0" w:evenHBand="0" w:firstRowFirstColumn="0" w:firstRowLastColumn="0" w:lastRowFirstColumn="0" w:lastRowLastColumn="0"/>
            <w:tcW w:w="2972" w:type="dxa"/>
          </w:tcPr>
          <w:p w14:paraId="6C056AC4" w14:textId="77777777" w:rsidR="001F4AFA" w:rsidRDefault="001F4AFA" w:rsidP="005F7ECC">
            <w:r>
              <w:t>Impact of not making amendments</w:t>
            </w:r>
          </w:p>
        </w:tc>
        <w:tc>
          <w:tcPr>
            <w:tcW w:w="6044" w:type="dxa"/>
          </w:tcPr>
          <w:p w14:paraId="26DDD365" w14:textId="152EDEBC" w:rsidR="001F4AFA" w:rsidRDefault="00260C22" w:rsidP="005F7ECC">
            <w:pPr>
              <w:pStyle w:val="ListParagraph"/>
              <w:numPr>
                <w:ilvl w:val="0"/>
                <w:numId w:val="32"/>
              </w:numPr>
              <w:ind w:left="322" w:hanging="246"/>
              <w:cnfStyle w:val="000000000000" w:firstRow="0" w:lastRow="0" w:firstColumn="0" w:lastColumn="0" w:oddVBand="0" w:evenVBand="0" w:oddHBand="0" w:evenHBand="0" w:firstRowFirstColumn="0" w:firstRowLastColumn="0" w:lastRowFirstColumn="0" w:lastRowLastColumn="0"/>
            </w:pPr>
            <w:r>
              <w:t xml:space="preserve">Uncertainty will continue around responsibilities of the ACT government and occupiers of premises in relation to kerbside collection services. </w:t>
            </w:r>
          </w:p>
        </w:tc>
      </w:tr>
      <w:tr w:rsidR="001F4AFA" w14:paraId="6AACDA99" w14:textId="77777777" w:rsidTr="00533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09CF5FA" w14:textId="77777777" w:rsidR="001F4AFA" w:rsidRDefault="001F4AFA" w:rsidP="005F7ECC">
            <w:r>
              <w:t>Amendments which may impose some cost</w:t>
            </w:r>
          </w:p>
        </w:tc>
        <w:tc>
          <w:tcPr>
            <w:tcW w:w="6044" w:type="dxa"/>
          </w:tcPr>
          <w:p w14:paraId="30954CB7" w14:textId="4FFD057A" w:rsidR="001F4AFA" w:rsidRDefault="00350D85" w:rsidP="005F7ECC">
            <w:pPr>
              <w:pStyle w:val="ListParagraph"/>
              <w:numPr>
                <w:ilvl w:val="0"/>
                <w:numId w:val="32"/>
              </w:numPr>
              <w:ind w:left="322" w:hanging="246"/>
              <w:cnfStyle w:val="000000100000" w:firstRow="0" w:lastRow="0" w:firstColumn="0" w:lastColumn="0" w:oddVBand="0" w:evenVBand="0" w:oddHBand="1" w:evenHBand="0" w:firstRowFirstColumn="0" w:firstRowLastColumn="0" w:lastRowFirstColumn="0" w:lastRowLastColumn="0"/>
            </w:pPr>
            <w:r>
              <w:t xml:space="preserve">Costs associated with infringements are estimated at a potential total cost to community, and income to government peaking at $5,400 per year in about 2023 and reducing thereafter. </w:t>
            </w:r>
          </w:p>
        </w:tc>
      </w:tr>
      <w:tr w:rsidR="001F4AFA" w14:paraId="0A3F7252" w14:textId="77777777" w:rsidTr="0053340C">
        <w:tc>
          <w:tcPr>
            <w:cnfStyle w:val="001000000000" w:firstRow="0" w:lastRow="0" w:firstColumn="1" w:lastColumn="0" w:oddVBand="0" w:evenVBand="0" w:oddHBand="0" w:evenHBand="0" w:firstRowFirstColumn="0" w:firstRowLastColumn="0" w:lastRowFirstColumn="0" w:lastRowLastColumn="0"/>
            <w:tcW w:w="2972" w:type="dxa"/>
          </w:tcPr>
          <w:p w14:paraId="044B22C9" w14:textId="77777777" w:rsidR="001F4AFA" w:rsidRDefault="001F4AFA" w:rsidP="005F7ECC">
            <w:r>
              <w:t>Amendments which will not impose any appreciable costs</w:t>
            </w:r>
          </w:p>
        </w:tc>
        <w:tc>
          <w:tcPr>
            <w:tcW w:w="6044" w:type="dxa"/>
          </w:tcPr>
          <w:p w14:paraId="51822E85" w14:textId="56CCE632" w:rsidR="001F4AFA" w:rsidRDefault="004C4C55" w:rsidP="005F7ECC">
            <w:pPr>
              <w:pStyle w:val="ListParagraph"/>
              <w:numPr>
                <w:ilvl w:val="0"/>
                <w:numId w:val="32"/>
              </w:numPr>
              <w:ind w:left="322" w:hanging="246"/>
              <w:cnfStyle w:val="000000000000" w:firstRow="0" w:lastRow="0" w:firstColumn="0" w:lastColumn="0" w:oddVBand="0" w:evenVBand="0" w:oddHBand="0" w:evenHBand="0" w:firstRowFirstColumn="0" w:firstRowLastColumn="0" w:lastRowFirstColumn="0" w:lastRowLastColumn="0"/>
            </w:pPr>
            <w:r>
              <w:t xml:space="preserve">The clarification of responsibilities around kerbside collection services are not expected to </w:t>
            </w:r>
            <w:r w:rsidR="002C27BD">
              <w:t xml:space="preserve">result in appreciable costs. </w:t>
            </w:r>
          </w:p>
        </w:tc>
      </w:tr>
    </w:tbl>
    <w:p w14:paraId="6D4E4349" w14:textId="77777777" w:rsidR="001F4AFA" w:rsidRPr="001F4AFA" w:rsidRDefault="001F4AFA" w:rsidP="005F7ECC"/>
    <w:p w14:paraId="78CAB211" w14:textId="60C797D4" w:rsidR="00127724" w:rsidRDefault="004A5BA8" w:rsidP="005F7ECC">
      <w:pPr>
        <w:pStyle w:val="Heading1"/>
      </w:pPr>
      <w:bookmarkStart w:id="82" w:name="_Toc78374701"/>
      <w:bookmarkStart w:id="83" w:name="_Toc79490211"/>
      <w:r>
        <w:t>Improv</w:t>
      </w:r>
      <w:r w:rsidR="004140A3">
        <w:t>ing</w:t>
      </w:r>
      <w:r>
        <w:t xml:space="preserve"> e</w:t>
      </w:r>
      <w:r w:rsidR="00127724">
        <w:t>nforceability of appropriate uses of waste facilities</w:t>
      </w:r>
      <w:bookmarkEnd w:id="82"/>
      <w:bookmarkEnd w:id="83"/>
    </w:p>
    <w:p w14:paraId="6BEF138C" w14:textId="19431217" w:rsidR="005C26B0" w:rsidRDefault="00DC1B47" w:rsidP="005F7ECC">
      <w:pPr>
        <w:pStyle w:val="Heading2"/>
      </w:pPr>
      <w:bookmarkStart w:id="84" w:name="_Toc78374702"/>
      <w:bookmarkStart w:id="85" w:name="_Toc79490212"/>
      <w:r>
        <w:t>9</w:t>
      </w:r>
      <w:r w:rsidR="005F7ECC">
        <w:t>.1</w:t>
      </w:r>
      <w:r w:rsidR="005C26B0">
        <w:t xml:space="preserve"> </w:t>
      </w:r>
      <w:r w:rsidR="002F7C2B">
        <w:tab/>
      </w:r>
      <w:r w:rsidR="005C26B0">
        <w:t>Problem</w:t>
      </w:r>
      <w:bookmarkEnd w:id="84"/>
      <w:bookmarkEnd w:id="85"/>
    </w:p>
    <w:p w14:paraId="6F9E1560" w14:textId="3D44BC31" w:rsidR="003512C1" w:rsidRPr="00192EB6" w:rsidRDefault="003512C1" w:rsidP="005F7ECC">
      <w:pPr>
        <w:rPr>
          <w:sz w:val="24"/>
          <w:szCs w:val="24"/>
        </w:rPr>
      </w:pPr>
      <w:r w:rsidRPr="00192EB6">
        <w:rPr>
          <w:sz w:val="24"/>
          <w:szCs w:val="24"/>
        </w:rPr>
        <w:t xml:space="preserve">ACT waste facilities </w:t>
      </w:r>
      <w:r w:rsidR="007E565E" w:rsidRPr="00192EB6">
        <w:rPr>
          <w:sz w:val="24"/>
          <w:szCs w:val="24"/>
        </w:rPr>
        <w:t>can be understood as</w:t>
      </w:r>
      <w:r w:rsidRPr="00192EB6">
        <w:rPr>
          <w:sz w:val="24"/>
          <w:szCs w:val="24"/>
        </w:rPr>
        <w:t xml:space="preserve"> a set of industrial sites in which waste is stored, sorted, processed and landfilled. Several of these sites provide for public access, and some are not staffed. In particular, the public waste facilities </w:t>
      </w:r>
      <w:r w:rsidR="007E565E" w:rsidRPr="00192EB6">
        <w:rPr>
          <w:sz w:val="24"/>
          <w:szCs w:val="24"/>
        </w:rPr>
        <w:t>owned</w:t>
      </w:r>
      <w:r w:rsidRPr="00192EB6">
        <w:rPr>
          <w:sz w:val="24"/>
          <w:szCs w:val="24"/>
        </w:rPr>
        <w:t xml:space="preserve"> by the ACT </w:t>
      </w:r>
      <w:r w:rsidR="002D5919">
        <w:rPr>
          <w:sz w:val="24"/>
          <w:szCs w:val="24"/>
        </w:rPr>
        <w:t>G</w:t>
      </w:r>
      <w:r w:rsidRPr="00192EB6">
        <w:rPr>
          <w:sz w:val="24"/>
          <w:szCs w:val="24"/>
        </w:rPr>
        <w:t>overnment</w:t>
      </w:r>
      <w:r w:rsidR="007E565E" w:rsidRPr="00192EB6">
        <w:rPr>
          <w:sz w:val="24"/>
          <w:szCs w:val="24"/>
        </w:rPr>
        <w:t xml:space="preserve"> and operated by contractors</w:t>
      </w:r>
      <w:r w:rsidRPr="00192EB6">
        <w:rPr>
          <w:sz w:val="24"/>
          <w:szCs w:val="24"/>
        </w:rPr>
        <w:t xml:space="preserve"> include two staffed Resource Management Centres (RMCs) at which householders and businesses can drop off materials for recycling, resource recovery and other sorting and waste management activities. The</w:t>
      </w:r>
      <w:r w:rsidR="007E565E" w:rsidRPr="00192EB6">
        <w:rPr>
          <w:sz w:val="24"/>
          <w:szCs w:val="24"/>
        </w:rPr>
        <w:t>y also include</w:t>
      </w:r>
      <w:r w:rsidRPr="00192EB6">
        <w:rPr>
          <w:sz w:val="24"/>
          <w:szCs w:val="24"/>
        </w:rPr>
        <w:t xml:space="preserve"> five Recycling Drop Off Centres </w:t>
      </w:r>
      <w:r w:rsidR="007E565E" w:rsidRPr="00192EB6">
        <w:rPr>
          <w:sz w:val="24"/>
          <w:szCs w:val="24"/>
        </w:rPr>
        <w:t xml:space="preserve">(RDOCs) </w:t>
      </w:r>
      <w:r w:rsidRPr="00192EB6">
        <w:rPr>
          <w:sz w:val="24"/>
          <w:szCs w:val="24"/>
        </w:rPr>
        <w:t xml:space="preserve">across the territory. These are unstaffed and provide options for households to drop off material which could otherwise go in yellow bins. </w:t>
      </w:r>
      <w:r w:rsidR="007E565E" w:rsidRPr="00192EB6">
        <w:rPr>
          <w:sz w:val="24"/>
          <w:szCs w:val="24"/>
        </w:rPr>
        <w:t xml:space="preserve">These RMCs and RDOCs are the focus of a set of amendments intended to improve enforceability of regulations at waste facilities. </w:t>
      </w:r>
    </w:p>
    <w:p w14:paraId="7B8FAF2C" w14:textId="0E7C2EA4" w:rsidR="00025011" w:rsidRPr="00192EB6" w:rsidRDefault="00F35590" w:rsidP="005F7ECC">
      <w:pPr>
        <w:rPr>
          <w:sz w:val="24"/>
          <w:szCs w:val="24"/>
        </w:rPr>
      </w:pPr>
      <w:r w:rsidRPr="00192EB6">
        <w:rPr>
          <w:sz w:val="24"/>
          <w:szCs w:val="24"/>
        </w:rPr>
        <w:t xml:space="preserve">The problem is that </w:t>
      </w:r>
      <w:r w:rsidR="002D5919">
        <w:rPr>
          <w:sz w:val="24"/>
          <w:szCs w:val="24"/>
        </w:rPr>
        <w:t xml:space="preserve">currently </w:t>
      </w:r>
      <w:r w:rsidR="003512C1" w:rsidRPr="00192EB6">
        <w:rPr>
          <w:sz w:val="24"/>
          <w:szCs w:val="24"/>
        </w:rPr>
        <w:t xml:space="preserve">there are no effective options available for enforcing appropriate behaviour by the public at these waste facilities. </w:t>
      </w:r>
    </w:p>
    <w:p w14:paraId="1EA6EF1A" w14:textId="7EBE4CCB" w:rsidR="003512C1" w:rsidRPr="00192EB6" w:rsidRDefault="00025011" w:rsidP="005F7ECC">
      <w:pPr>
        <w:rPr>
          <w:sz w:val="24"/>
          <w:szCs w:val="24"/>
        </w:rPr>
      </w:pPr>
      <w:r w:rsidRPr="00192EB6">
        <w:rPr>
          <w:sz w:val="24"/>
          <w:szCs w:val="24"/>
        </w:rPr>
        <w:t>The first problem i</w:t>
      </w:r>
      <w:r w:rsidR="003512C1" w:rsidRPr="00192EB6">
        <w:rPr>
          <w:sz w:val="24"/>
          <w:szCs w:val="24"/>
        </w:rPr>
        <w:t xml:space="preserve">s </w:t>
      </w:r>
      <w:r w:rsidR="002D5919">
        <w:rPr>
          <w:sz w:val="24"/>
          <w:szCs w:val="24"/>
        </w:rPr>
        <w:t xml:space="preserve">highlighted with the </w:t>
      </w:r>
      <w:r w:rsidR="007E565E" w:rsidRPr="00192EB6">
        <w:rPr>
          <w:sz w:val="24"/>
          <w:szCs w:val="24"/>
        </w:rPr>
        <w:t>S</w:t>
      </w:r>
      <w:r w:rsidR="003512C1" w:rsidRPr="00192EB6">
        <w:rPr>
          <w:sz w:val="24"/>
          <w:szCs w:val="24"/>
        </w:rPr>
        <w:t>13 offence for disposing of regulated waste at a waste facility and S14 offence for unauthorised conduct at a waste facility</w:t>
      </w:r>
      <w:r w:rsidRPr="00192EB6">
        <w:rPr>
          <w:sz w:val="24"/>
          <w:szCs w:val="24"/>
        </w:rPr>
        <w:t xml:space="preserve">. </w:t>
      </w:r>
      <w:r w:rsidR="002D5919" w:rsidRPr="002D5919">
        <w:rPr>
          <w:sz w:val="24"/>
          <w:szCs w:val="24"/>
        </w:rPr>
        <w:t>Both</w:t>
      </w:r>
      <w:r w:rsidR="002D5919">
        <w:rPr>
          <w:sz w:val="24"/>
          <w:szCs w:val="24"/>
        </w:rPr>
        <w:t xml:space="preserve"> offences </w:t>
      </w:r>
      <w:r w:rsidR="003512C1" w:rsidRPr="00192EB6">
        <w:rPr>
          <w:sz w:val="24"/>
          <w:szCs w:val="24"/>
        </w:rPr>
        <w:t xml:space="preserve">require that a person undertaking unauthorised conduct must know that the licensee does not consent to the conduct. This is problematic, as it leaves open the option that a person dumping illegally could claim not to know that their conduct is unlawful, even if there are </w:t>
      </w:r>
      <w:r w:rsidR="002D5919">
        <w:rPr>
          <w:sz w:val="24"/>
          <w:szCs w:val="24"/>
        </w:rPr>
        <w:t xml:space="preserve">signs clearly displayed </w:t>
      </w:r>
      <w:r w:rsidR="003512C1" w:rsidRPr="00192EB6">
        <w:rPr>
          <w:sz w:val="24"/>
          <w:szCs w:val="24"/>
        </w:rPr>
        <w:t xml:space="preserve">and other information informing them of proper conduct. </w:t>
      </w:r>
    </w:p>
    <w:p w14:paraId="052F693A" w14:textId="22BD7740" w:rsidR="003512C1" w:rsidRPr="00192EB6" w:rsidRDefault="00025011" w:rsidP="005F7ECC">
      <w:pPr>
        <w:rPr>
          <w:sz w:val="24"/>
          <w:szCs w:val="24"/>
        </w:rPr>
      </w:pPr>
      <w:r w:rsidRPr="00192EB6">
        <w:rPr>
          <w:sz w:val="24"/>
          <w:szCs w:val="24"/>
        </w:rPr>
        <w:t>The second problem</w:t>
      </w:r>
      <w:r w:rsidR="003512C1" w:rsidRPr="00192EB6">
        <w:rPr>
          <w:sz w:val="24"/>
          <w:szCs w:val="24"/>
        </w:rPr>
        <w:t xml:space="preserve"> is that the Regulation does not provide the capacity for regulators to identify the ownership of vehicles through their registration numbers. This means that even if unauthorised conduct is observed through security footage, regulators have no way to respond. </w:t>
      </w:r>
      <w:r w:rsidRPr="00192EB6">
        <w:rPr>
          <w:sz w:val="24"/>
          <w:szCs w:val="24"/>
        </w:rPr>
        <w:t xml:space="preserve">This is particularly problematic at the unstaffed RDOCs as there is </w:t>
      </w:r>
      <w:r w:rsidR="002D5919">
        <w:rPr>
          <w:sz w:val="24"/>
          <w:szCs w:val="24"/>
        </w:rPr>
        <w:t>not an</w:t>
      </w:r>
      <w:r w:rsidRPr="00192EB6">
        <w:rPr>
          <w:sz w:val="24"/>
          <w:szCs w:val="24"/>
        </w:rPr>
        <w:t xml:space="preserve"> opportunity for authorised officers to approach offenders and request their contact details. </w:t>
      </w:r>
    </w:p>
    <w:p w14:paraId="26648CE1" w14:textId="635F14CD" w:rsidR="00BF22A4" w:rsidRPr="00192EB6" w:rsidRDefault="00E034B3" w:rsidP="005F7ECC">
      <w:pPr>
        <w:rPr>
          <w:sz w:val="24"/>
          <w:szCs w:val="24"/>
        </w:rPr>
      </w:pPr>
      <w:r w:rsidRPr="00192EB6">
        <w:rPr>
          <w:sz w:val="24"/>
          <w:szCs w:val="24"/>
        </w:rPr>
        <w:lastRenderedPageBreak/>
        <w:t>The</w:t>
      </w:r>
      <w:r w:rsidR="002D5919">
        <w:rPr>
          <w:sz w:val="24"/>
          <w:szCs w:val="24"/>
        </w:rPr>
        <w:t>se</w:t>
      </w:r>
      <w:r w:rsidRPr="00192EB6">
        <w:rPr>
          <w:sz w:val="24"/>
          <w:szCs w:val="24"/>
        </w:rPr>
        <w:t xml:space="preserve"> </w:t>
      </w:r>
      <w:r w:rsidR="00417A24" w:rsidRPr="00192EB6">
        <w:rPr>
          <w:sz w:val="24"/>
          <w:szCs w:val="24"/>
        </w:rPr>
        <w:t>problems</w:t>
      </w:r>
      <w:r w:rsidR="002D5919">
        <w:rPr>
          <w:sz w:val="24"/>
          <w:szCs w:val="24"/>
        </w:rPr>
        <w:t xml:space="preserve"> have apparent</w:t>
      </w:r>
      <w:r w:rsidR="00654B4A">
        <w:rPr>
          <w:sz w:val="24"/>
          <w:szCs w:val="24"/>
        </w:rPr>
        <w:t xml:space="preserve"> and obvious</w:t>
      </w:r>
      <w:r w:rsidR="00417A24" w:rsidRPr="00192EB6">
        <w:rPr>
          <w:sz w:val="24"/>
          <w:szCs w:val="24"/>
        </w:rPr>
        <w:t xml:space="preserve"> </w:t>
      </w:r>
      <w:r w:rsidR="002D5919">
        <w:rPr>
          <w:sz w:val="24"/>
          <w:szCs w:val="24"/>
        </w:rPr>
        <w:t>W</w:t>
      </w:r>
      <w:r w:rsidR="00417A24" w:rsidRPr="00192EB6">
        <w:rPr>
          <w:sz w:val="24"/>
          <w:szCs w:val="24"/>
        </w:rPr>
        <w:t xml:space="preserve">orkplace </w:t>
      </w:r>
      <w:r w:rsidR="002D5919">
        <w:rPr>
          <w:sz w:val="24"/>
          <w:szCs w:val="24"/>
        </w:rPr>
        <w:t>H</w:t>
      </w:r>
      <w:r w:rsidR="00417A24" w:rsidRPr="00192EB6">
        <w:rPr>
          <w:sz w:val="24"/>
          <w:szCs w:val="24"/>
        </w:rPr>
        <w:t xml:space="preserve">ealth and </w:t>
      </w:r>
      <w:r w:rsidR="002D5919">
        <w:rPr>
          <w:sz w:val="24"/>
          <w:szCs w:val="24"/>
        </w:rPr>
        <w:t>S</w:t>
      </w:r>
      <w:r w:rsidR="00417A24" w:rsidRPr="00192EB6">
        <w:rPr>
          <w:sz w:val="24"/>
          <w:szCs w:val="24"/>
        </w:rPr>
        <w:t>afety issues while plac</w:t>
      </w:r>
      <w:r w:rsidR="002D5919">
        <w:rPr>
          <w:sz w:val="24"/>
          <w:szCs w:val="24"/>
        </w:rPr>
        <w:t>ing</w:t>
      </w:r>
      <w:r w:rsidR="00417A24" w:rsidRPr="00192EB6">
        <w:rPr>
          <w:sz w:val="24"/>
          <w:szCs w:val="24"/>
        </w:rPr>
        <w:t xml:space="preserve"> people and property at risk at waste facilities. They also result in waste facilities being used counter to the objects of the Act, when waste that is not recyclable is placed in recycling bins, and when waste is otherwise deposited in inappropriate ways. </w:t>
      </w:r>
    </w:p>
    <w:p w14:paraId="7EAD9529" w14:textId="0601F860" w:rsidR="00E034B3" w:rsidRPr="00192EB6" w:rsidRDefault="00417A24" w:rsidP="005F7ECC">
      <w:pPr>
        <w:rPr>
          <w:sz w:val="24"/>
          <w:szCs w:val="24"/>
        </w:rPr>
      </w:pPr>
      <w:r w:rsidRPr="00192EB6">
        <w:rPr>
          <w:sz w:val="24"/>
          <w:szCs w:val="24"/>
        </w:rPr>
        <w:t xml:space="preserve">Evidence </w:t>
      </w:r>
      <w:r w:rsidR="00F35590" w:rsidRPr="00192EB6">
        <w:rPr>
          <w:sz w:val="24"/>
          <w:szCs w:val="24"/>
        </w:rPr>
        <w:t xml:space="preserve">is presented below </w:t>
      </w:r>
      <w:r w:rsidR="00BF22A4" w:rsidRPr="00192EB6">
        <w:rPr>
          <w:sz w:val="24"/>
          <w:szCs w:val="24"/>
        </w:rPr>
        <w:t>that</w:t>
      </w:r>
      <w:r w:rsidRPr="00192EB6">
        <w:rPr>
          <w:sz w:val="24"/>
          <w:szCs w:val="24"/>
        </w:rPr>
        <w:t xml:space="preserve"> these </w:t>
      </w:r>
      <w:r w:rsidR="00F35590" w:rsidRPr="00192EB6">
        <w:rPr>
          <w:sz w:val="24"/>
          <w:szCs w:val="24"/>
        </w:rPr>
        <w:t xml:space="preserve">are genuine </w:t>
      </w:r>
      <w:r w:rsidRPr="00192EB6">
        <w:rPr>
          <w:sz w:val="24"/>
          <w:szCs w:val="24"/>
        </w:rPr>
        <w:t xml:space="preserve">problems </w:t>
      </w:r>
      <w:r w:rsidR="00F35590" w:rsidRPr="00192EB6">
        <w:rPr>
          <w:sz w:val="24"/>
          <w:szCs w:val="24"/>
        </w:rPr>
        <w:t>in relation to health, safety, reputation and loss of opportunities for waste reduction and resource recovery</w:t>
      </w:r>
      <w:r w:rsidR="00E034B3" w:rsidRPr="00192EB6">
        <w:rPr>
          <w:sz w:val="24"/>
          <w:szCs w:val="24"/>
        </w:rPr>
        <w:t xml:space="preserve">. </w:t>
      </w:r>
    </w:p>
    <w:p w14:paraId="5FCD2013" w14:textId="77777777" w:rsidR="00BF22A4" w:rsidRDefault="00BF22A4" w:rsidP="005F7ECC"/>
    <w:p w14:paraId="02CCE475" w14:textId="27DFF91D" w:rsidR="0079487A" w:rsidRDefault="00DC1B47" w:rsidP="005F7ECC">
      <w:pPr>
        <w:pStyle w:val="Heading3"/>
      </w:pPr>
      <w:bookmarkStart w:id="86" w:name="_Toc78374703"/>
      <w:bookmarkStart w:id="87" w:name="_Toc79490213"/>
      <w:r>
        <w:t>9</w:t>
      </w:r>
      <w:r w:rsidR="005F7ECC">
        <w:t xml:space="preserve">.1a </w:t>
      </w:r>
      <w:r w:rsidR="00F35590">
        <w:t>H</w:t>
      </w:r>
      <w:r w:rsidR="0079487A">
        <w:t>ealth and safety issues from offences at waste facilities</w:t>
      </w:r>
      <w:bookmarkEnd w:id="86"/>
      <w:bookmarkEnd w:id="87"/>
    </w:p>
    <w:p w14:paraId="72E78A0C" w14:textId="6809F727" w:rsidR="00BF22A4" w:rsidRDefault="00BF22A4" w:rsidP="005F7ECC">
      <w:pPr>
        <w:rPr>
          <w:sz w:val="24"/>
          <w:szCs w:val="24"/>
        </w:rPr>
      </w:pPr>
      <w:r>
        <w:rPr>
          <w:sz w:val="24"/>
          <w:szCs w:val="24"/>
        </w:rPr>
        <w:t xml:space="preserve">ACT NoWaste records of WHS reports were analysed to establish whether incidents are associated with potential offences at waste facilities. Results are presented in </w:t>
      </w:r>
      <w:r w:rsidR="00683C64">
        <w:rPr>
          <w:sz w:val="24"/>
          <w:szCs w:val="24"/>
        </w:rPr>
        <w:t>T</w:t>
      </w:r>
      <w:r w:rsidRPr="00FE42A8">
        <w:rPr>
          <w:sz w:val="24"/>
          <w:szCs w:val="24"/>
        </w:rPr>
        <w:t xml:space="preserve">able </w:t>
      </w:r>
      <w:r>
        <w:rPr>
          <w:sz w:val="24"/>
          <w:szCs w:val="24"/>
        </w:rPr>
        <w:t>7</w:t>
      </w:r>
      <w:r w:rsidRPr="00FE42A8">
        <w:rPr>
          <w:sz w:val="24"/>
          <w:szCs w:val="24"/>
        </w:rPr>
        <w:t xml:space="preserve"> </w:t>
      </w:r>
      <w:r>
        <w:rPr>
          <w:sz w:val="24"/>
          <w:szCs w:val="24"/>
        </w:rPr>
        <w:t xml:space="preserve">and Figure 4 </w:t>
      </w:r>
      <w:r w:rsidRPr="00FE42A8">
        <w:rPr>
          <w:sz w:val="24"/>
          <w:szCs w:val="24"/>
        </w:rPr>
        <w:t>below</w:t>
      </w:r>
      <w:r>
        <w:rPr>
          <w:sz w:val="24"/>
          <w:szCs w:val="24"/>
        </w:rPr>
        <w:t>. The table</w:t>
      </w:r>
      <w:r w:rsidRPr="00FE42A8">
        <w:rPr>
          <w:sz w:val="24"/>
          <w:szCs w:val="24"/>
        </w:rPr>
        <w:t xml:space="preserve"> includes </w:t>
      </w:r>
      <w:r>
        <w:rPr>
          <w:sz w:val="24"/>
          <w:szCs w:val="24"/>
        </w:rPr>
        <w:t>comments drawn from the records</w:t>
      </w:r>
      <w:r w:rsidRPr="00FE42A8">
        <w:rPr>
          <w:sz w:val="24"/>
          <w:szCs w:val="24"/>
        </w:rPr>
        <w:t xml:space="preserve"> to show the types of problems being </w:t>
      </w:r>
      <w:r>
        <w:rPr>
          <w:sz w:val="24"/>
          <w:szCs w:val="24"/>
        </w:rPr>
        <w:t>reported</w:t>
      </w:r>
      <w:r w:rsidRPr="00FE42A8">
        <w:rPr>
          <w:sz w:val="24"/>
          <w:szCs w:val="24"/>
        </w:rPr>
        <w:t xml:space="preserve"> and the nature of the impacts involved. </w:t>
      </w:r>
    </w:p>
    <w:p w14:paraId="37A7E0B3" w14:textId="554E91FE" w:rsidR="00BF22A4" w:rsidRDefault="00BF22A4" w:rsidP="005F7ECC">
      <w:pPr>
        <w:rPr>
          <w:sz w:val="24"/>
          <w:szCs w:val="24"/>
        </w:rPr>
      </w:pPr>
      <w:r>
        <w:rPr>
          <w:sz w:val="24"/>
          <w:szCs w:val="24"/>
        </w:rPr>
        <w:t xml:space="preserve">The results suggest that multiple WHS incidents have likely resulted from the following existing offences: </w:t>
      </w:r>
    </w:p>
    <w:p w14:paraId="35EBA85E" w14:textId="35EBCF15" w:rsidR="00A93F82" w:rsidRDefault="0039556A" w:rsidP="005F7ECC">
      <w:pPr>
        <w:pStyle w:val="ReportList1"/>
      </w:pPr>
      <w:r>
        <w:t>d</w:t>
      </w:r>
      <w:r w:rsidR="00A93F82">
        <w:t>isposal of regulated waste at a waste facility (S13)</w:t>
      </w:r>
      <w:r>
        <w:t>,</w:t>
      </w:r>
      <w:r w:rsidR="00A93F82">
        <w:t xml:space="preserve">  </w:t>
      </w:r>
    </w:p>
    <w:p w14:paraId="79EC42AE" w14:textId="2D6526EA" w:rsidR="00BF22A4" w:rsidRDefault="0039556A" w:rsidP="005F7ECC">
      <w:pPr>
        <w:pStyle w:val="ReportList1"/>
      </w:pPr>
      <w:r>
        <w:t>f</w:t>
      </w:r>
      <w:r w:rsidR="00A93F82">
        <w:t>ailure to comply with a requirement displayed on a sign at the facility (S15(c)(i))</w:t>
      </w:r>
      <w:r>
        <w:t>,</w:t>
      </w:r>
      <w:r w:rsidR="00A93F82">
        <w:t xml:space="preserve"> </w:t>
      </w:r>
    </w:p>
    <w:p w14:paraId="44571BC3" w14:textId="52D6593D" w:rsidR="00A93F82" w:rsidRDefault="0039556A" w:rsidP="005F7ECC">
      <w:pPr>
        <w:pStyle w:val="ReportList1"/>
      </w:pPr>
      <w:r>
        <w:t>i</w:t>
      </w:r>
      <w:r w:rsidR="00A93F82">
        <w:t>nterfering with waste at a waste facility (S14(b)</w:t>
      </w:r>
      <w:r w:rsidR="00C42420">
        <w:t>,</w:t>
      </w:r>
      <w:r>
        <w:t xml:space="preserve"> and</w:t>
      </w:r>
      <w:r w:rsidR="00A93F82">
        <w:t xml:space="preserve"> </w:t>
      </w:r>
    </w:p>
    <w:p w14:paraId="794DF546" w14:textId="05A1F0C2" w:rsidR="00A93F82" w:rsidRDefault="0039556A" w:rsidP="005F7ECC">
      <w:pPr>
        <w:pStyle w:val="ReportList1"/>
      </w:pPr>
      <w:r>
        <w:t>f</w:t>
      </w:r>
      <w:r w:rsidR="00A93F82">
        <w:t xml:space="preserve">ailure </w:t>
      </w:r>
      <w:r w:rsidR="00385E7B">
        <w:t xml:space="preserve">to comply with a reasonable direction given by the operator of a waste facility (S15(c)(iii)). </w:t>
      </w:r>
    </w:p>
    <w:p w14:paraId="77C6FF66" w14:textId="51ADDA0F" w:rsidR="00BF22A4" w:rsidRDefault="00BF22A4" w:rsidP="005F7ECC">
      <w:pPr>
        <w:rPr>
          <w:sz w:val="24"/>
          <w:szCs w:val="24"/>
        </w:rPr>
      </w:pPr>
      <w:r>
        <w:rPr>
          <w:sz w:val="24"/>
          <w:szCs w:val="24"/>
        </w:rPr>
        <w:t>The data include</w:t>
      </w:r>
      <w:r w:rsidR="00654B4A">
        <w:rPr>
          <w:sz w:val="24"/>
          <w:szCs w:val="24"/>
        </w:rPr>
        <w:t>s</w:t>
      </w:r>
      <w:r>
        <w:rPr>
          <w:sz w:val="24"/>
          <w:szCs w:val="24"/>
        </w:rPr>
        <w:t xml:space="preserve"> records of </w:t>
      </w:r>
      <w:r w:rsidR="00385E7B">
        <w:rPr>
          <w:sz w:val="24"/>
          <w:szCs w:val="24"/>
        </w:rPr>
        <w:t>32</w:t>
      </w:r>
      <w:r>
        <w:rPr>
          <w:sz w:val="24"/>
          <w:szCs w:val="24"/>
        </w:rPr>
        <w:t xml:space="preserve"> apparent offences </w:t>
      </w:r>
      <w:r w:rsidR="00385E7B">
        <w:rPr>
          <w:sz w:val="24"/>
          <w:szCs w:val="24"/>
        </w:rPr>
        <w:t xml:space="preserve">committed at waste facilities over </w:t>
      </w:r>
      <w:r>
        <w:rPr>
          <w:sz w:val="24"/>
          <w:szCs w:val="24"/>
        </w:rPr>
        <w:t>a five-year period</w:t>
      </w:r>
      <w:r w:rsidR="00385E7B">
        <w:rPr>
          <w:sz w:val="24"/>
          <w:szCs w:val="24"/>
        </w:rPr>
        <w:t xml:space="preserve"> associated with WHS incidents,</w:t>
      </w:r>
      <w:r>
        <w:rPr>
          <w:sz w:val="24"/>
          <w:szCs w:val="24"/>
        </w:rPr>
        <w:t xml:space="preserve"> which is an average of about </w:t>
      </w:r>
      <w:r w:rsidR="00385E7B">
        <w:rPr>
          <w:sz w:val="24"/>
          <w:szCs w:val="24"/>
        </w:rPr>
        <w:t>six</w:t>
      </w:r>
      <w:r>
        <w:rPr>
          <w:sz w:val="24"/>
          <w:szCs w:val="24"/>
        </w:rPr>
        <w:t xml:space="preserve"> per year. </w:t>
      </w:r>
      <w:r w:rsidR="00654B4A">
        <w:rPr>
          <w:sz w:val="24"/>
          <w:szCs w:val="24"/>
        </w:rPr>
        <w:t>T</w:t>
      </w:r>
      <w:r>
        <w:rPr>
          <w:sz w:val="24"/>
          <w:szCs w:val="24"/>
        </w:rPr>
        <w:t xml:space="preserve">he total number of offences is likely to have been higher as reporting is skewed towards more serious incidents involving actual harm.  </w:t>
      </w:r>
    </w:p>
    <w:p w14:paraId="25427942" w14:textId="1C710853" w:rsidR="00BF22A4" w:rsidRDefault="00BF22A4" w:rsidP="005F7ECC">
      <w:pPr>
        <w:pStyle w:val="Caption"/>
        <w:keepNext/>
      </w:pPr>
      <w:bookmarkStart w:id="88" w:name="_Toc78275037"/>
      <w:bookmarkStart w:id="89" w:name="_Hlk76937744"/>
      <w:r>
        <w:t xml:space="preserve">Table </w:t>
      </w:r>
      <w:r w:rsidR="000150F9">
        <w:fldChar w:fldCharType="begin"/>
      </w:r>
      <w:r w:rsidR="000150F9">
        <w:instrText xml:space="preserve"> SEQ Table \* ARABIC </w:instrText>
      </w:r>
      <w:r w:rsidR="000150F9">
        <w:fldChar w:fldCharType="separate"/>
      </w:r>
      <w:r w:rsidR="002C4D5A">
        <w:rPr>
          <w:noProof/>
        </w:rPr>
        <w:t>7</w:t>
      </w:r>
      <w:r w:rsidR="000150F9">
        <w:rPr>
          <w:noProof/>
        </w:rPr>
        <w:fldChar w:fldCharType="end"/>
      </w:r>
      <w:r>
        <w:t xml:space="preserve"> Excerpts from workplace health and safety incidents from offences at facilities</w:t>
      </w:r>
      <w:bookmarkEnd w:id="88"/>
    </w:p>
    <w:tbl>
      <w:tblPr>
        <w:tblStyle w:val="GridTable4-Accent1"/>
        <w:tblW w:w="0" w:type="auto"/>
        <w:tblLook w:val="04A0" w:firstRow="1" w:lastRow="0" w:firstColumn="1" w:lastColumn="0" w:noHBand="0" w:noVBand="1"/>
      </w:tblPr>
      <w:tblGrid>
        <w:gridCol w:w="2972"/>
        <w:gridCol w:w="6044"/>
      </w:tblGrid>
      <w:tr w:rsidR="00BF22A4" w14:paraId="38134007" w14:textId="77777777" w:rsidTr="00865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bookmarkEnd w:id="89"/>
          <w:p w14:paraId="0232A256" w14:textId="77777777" w:rsidR="00BF22A4" w:rsidRDefault="00BF22A4" w:rsidP="005F7ECC">
            <w:pPr>
              <w:keepNext/>
            </w:pPr>
            <w:r>
              <w:t>Offence</w:t>
            </w:r>
          </w:p>
        </w:tc>
        <w:tc>
          <w:tcPr>
            <w:tcW w:w="6044" w:type="dxa"/>
          </w:tcPr>
          <w:p w14:paraId="6B8A6A0C" w14:textId="77777777" w:rsidR="00BF22A4" w:rsidRDefault="00BF22A4" w:rsidP="005F7ECC">
            <w:pPr>
              <w:keepNext/>
              <w:cnfStyle w:val="100000000000" w:firstRow="1" w:lastRow="0" w:firstColumn="0" w:lastColumn="0" w:oddVBand="0" w:evenVBand="0" w:oddHBand="0" w:evenHBand="0" w:firstRowFirstColumn="0" w:firstRowLastColumn="0" w:lastRowFirstColumn="0" w:lastRowLastColumn="0"/>
            </w:pPr>
            <w:r>
              <w:t xml:space="preserve">Excerpt of reported incident </w:t>
            </w:r>
          </w:p>
        </w:tc>
      </w:tr>
      <w:tr w:rsidR="00BF22A4" w14:paraId="6189BC82" w14:textId="77777777" w:rsidTr="00865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8C2C13" w14:textId="77777777" w:rsidR="00BF22A4" w:rsidRDefault="00BF22A4" w:rsidP="005F7ECC">
            <w:pPr>
              <w:rPr>
                <w:rFonts w:ascii="Calibri" w:hAnsi="Calibri" w:cs="Calibri"/>
                <w:color w:val="000000"/>
              </w:rPr>
            </w:pPr>
            <w:r>
              <w:rPr>
                <w:rFonts w:ascii="Calibri" w:hAnsi="Calibri" w:cs="Calibri"/>
                <w:color w:val="000000"/>
              </w:rPr>
              <w:t>Disposal of regulated waste at facility</w:t>
            </w:r>
          </w:p>
          <w:p w14:paraId="7D83C571" w14:textId="77777777" w:rsidR="00BF22A4" w:rsidRDefault="00BF22A4" w:rsidP="005F7ECC"/>
        </w:tc>
        <w:tc>
          <w:tcPr>
            <w:tcW w:w="6044" w:type="dxa"/>
          </w:tcPr>
          <w:p w14:paraId="433A7982" w14:textId="339EF67B" w:rsidR="00BF22A4" w:rsidRPr="0058266C" w:rsidRDefault="00BF22A4" w:rsidP="005F7ECC">
            <w:pPr>
              <w:pStyle w:val="ListParagraph"/>
              <w:numPr>
                <w:ilvl w:val="0"/>
                <w:numId w:val="18"/>
              </w:numPr>
              <w:ind w:left="3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Approximately 100</w:t>
            </w:r>
            <w:r w:rsidR="00F208D4">
              <w:rPr>
                <w:rFonts w:ascii="Calibri" w:hAnsi="Calibri" w:cs="Calibri"/>
                <w:color w:val="000000"/>
              </w:rPr>
              <w:t xml:space="preserve"> </w:t>
            </w:r>
            <w:r w:rsidRPr="0058266C">
              <w:rPr>
                <w:rFonts w:ascii="Calibri" w:hAnsi="Calibri" w:cs="Calibri"/>
                <w:color w:val="000000"/>
              </w:rPr>
              <w:t>kilo</w:t>
            </w:r>
            <w:r w:rsidR="00F208D4">
              <w:rPr>
                <w:rFonts w:ascii="Calibri" w:hAnsi="Calibri" w:cs="Calibri"/>
                <w:color w:val="000000"/>
              </w:rPr>
              <w:t>gram</w:t>
            </w:r>
            <w:r w:rsidRPr="0058266C">
              <w:rPr>
                <w:rFonts w:ascii="Calibri" w:hAnsi="Calibri" w:cs="Calibri"/>
                <w:color w:val="000000"/>
              </w:rPr>
              <w:t>s of bagged asbestos was dumped at the entrance / exit gates of the Mitchell RMC. As there are no CCTV's at the entrance/exit we were unable to ascertain who dropped the bags and at what time it occurred.</w:t>
            </w:r>
          </w:p>
          <w:p w14:paraId="35545B00" w14:textId="77777777" w:rsidR="00BF22A4" w:rsidRPr="0058266C" w:rsidRDefault="00BF22A4" w:rsidP="005F7ECC">
            <w:pPr>
              <w:pStyle w:val="ListParagraph"/>
              <w:numPr>
                <w:ilvl w:val="0"/>
                <w:numId w:val="18"/>
              </w:numPr>
              <w:ind w:left="3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 xml:space="preserve">Liquid waste placed in recycling hopper, including paint and oil. Deemed as Gros Contamination. </w:t>
            </w:r>
          </w:p>
          <w:p w14:paraId="0033E2A0" w14:textId="77777777" w:rsidR="00BF22A4" w:rsidRDefault="00BF22A4" w:rsidP="005F7ECC">
            <w:pPr>
              <w:ind w:left="317"/>
              <w:cnfStyle w:val="000000100000" w:firstRow="0" w:lastRow="0" w:firstColumn="0" w:lastColumn="0" w:oddVBand="0" w:evenVBand="0" w:oddHBand="1" w:evenHBand="0" w:firstRowFirstColumn="0" w:firstRowLastColumn="0" w:lastRowFirstColumn="0" w:lastRowLastColumn="0"/>
            </w:pPr>
          </w:p>
        </w:tc>
      </w:tr>
      <w:tr w:rsidR="00BF22A4" w14:paraId="298EB93F" w14:textId="77777777" w:rsidTr="00865211">
        <w:tc>
          <w:tcPr>
            <w:cnfStyle w:val="001000000000" w:firstRow="0" w:lastRow="0" w:firstColumn="1" w:lastColumn="0" w:oddVBand="0" w:evenVBand="0" w:oddHBand="0" w:evenHBand="0" w:firstRowFirstColumn="0" w:firstRowLastColumn="0" w:lastRowFirstColumn="0" w:lastRowLastColumn="0"/>
            <w:tcW w:w="2972" w:type="dxa"/>
          </w:tcPr>
          <w:p w14:paraId="7C11C3C1" w14:textId="77777777" w:rsidR="00BF22A4" w:rsidRDefault="00BF22A4" w:rsidP="005F7ECC">
            <w:pPr>
              <w:rPr>
                <w:rFonts w:ascii="Calibri" w:hAnsi="Calibri" w:cs="Calibri"/>
                <w:color w:val="000000"/>
              </w:rPr>
            </w:pPr>
            <w:r>
              <w:rPr>
                <w:rFonts w:ascii="Calibri" w:hAnsi="Calibri" w:cs="Calibri"/>
                <w:color w:val="000000"/>
              </w:rPr>
              <w:t>Failure to comply with a sign at a waste facility</w:t>
            </w:r>
          </w:p>
          <w:p w14:paraId="508FCD5B" w14:textId="77777777" w:rsidR="00BF22A4" w:rsidRDefault="00BF22A4" w:rsidP="005F7ECC"/>
        </w:tc>
        <w:tc>
          <w:tcPr>
            <w:tcW w:w="6044" w:type="dxa"/>
          </w:tcPr>
          <w:p w14:paraId="37C5FAD8" w14:textId="10399CFB" w:rsidR="00BF22A4" w:rsidRDefault="00BF22A4" w:rsidP="005F7ECC">
            <w:pPr>
              <w:pStyle w:val="ListParagraph"/>
              <w:numPr>
                <w:ilvl w:val="0"/>
                <w:numId w:val="18"/>
              </w:numPr>
              <w:ind w:left="317"/>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8266C">
              <w:rPr>
                <w:rFonts w:ascii="Calibri" w:hAnsi="Calibri" w:cs="Calibri"/>
                <w:color w:val="000000"/>
              </w:rPr>
              <w:t>Customer entered the site after 5pm through the "out" gate coming in on the wrong side of the road. He drove onto the weighbridge and was advised that the site was closed and he would need to turn around and leave the site. He ignored this advi</w:t>
            </w:r>
            <w:r w:rsidR="00F208D4">
              <w:rPr>
                <w:rFonts w:ascii="Calibri" w:hAnsi="Calibri" w:cs="Calibri"/>
                <w:color w:val="000000"/>
              </w:rPr>
              <w:t>c</w:t>
            </w:r>
            <w:r w:rsidRPr="0058266C">
              <w:rPr>
                <w:rFonts w:ascii="Calibri" w:hAnsi="Calibri" w:cs="Calibri"/>
                <w:color w:val="000000"/>
              </w:rPr>
              <w:t>e and drove to the push pit where he continued to dump his waste and then left without paying.</w:t>
            </w:r>
          </w:p>
          <w:p w14:paraId="3997DD33" w14:textId="120DBB28" w:rsidR="00A93F82" w:rsidRPr="0058266C" w:rsidRDefault="00A93F82" w:rsidP="005F7ECC">
            <w:pPr>
              <w:pStyle w:val="ListParagraph"/>
              <w:numPr>
                <w:ilvl w:val="0"/>
                <w:numId w:val="18"/>
              </w:numPr>
              <w:ind w:left="317"/>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8266C">
              <w:t>Customer entered the site after 5pm through the "out" gate coming in on the wrong side of the road</w:t>
            </w:r>
          </w:p>
          <w:p w14:paraId="413501B1" w14:textId="77777777" w:rsidR="00BF22A4" w:rsidRDefault="00BF22A4" w:rsidP="005F7ECC">
            <w:pPr>
              <w:ind w:left="317"/>
              <w:cnfStyle w:val="000000000000" w:firstRow="0" w:lastRow="0" w:firstColumn="0" w:lastColumn="0" w:oddVBand="0" w:evenVBand="0" w:oddHBand="0" w:evenHBand="0" w:firstRowFirstColumn="0" w:firstRowLastColumn="0" w:lastRowFirstColumn="0" w:lastRowLastColumn="0"/>
            </w:pPr>
          </w:p>
        </w:tc>
      </w:tr>
      <w:tr w:rsidR="00BF22A4" w14:paraId="2719E833" w14:textId="77777777" w:rsidTr="00865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656679" w14:textId="77777777" w:rsidR="00BF22A4" w:rsidRDefault="00BF22A4" w:rsidP="005F7ECC">
            <w:pPr>
              <w:rPr>
                <w:rFonts w:ascii="Calibri" w:hAnsi="Calibri" w:cs="Calibri"/>
                <w:color w:val="000000"/>
              </w:rPr>
            </w:pPr>
            <w:r>
              <w:rPr>
                <w:rFonts w:ascii="Calibri" w:hAnsi="Calibri" w:cs="Calibri"/>
                <w:color w:val="000000"/>
              </w:rPr>
              <w:lastRenderedPageBreak/>
              <w:t>Interfering with waste at a facility</w:t>
            </w:r>
          </w:p>
          <w:p w14:paraId="44191FD3" w14:textId="77777777" w:rsidR="00BF22A4" w:rsidRDefault="00BF22A4" w:rsidP="005F7ECC"/>
        </w:tc>
        <w:tc>
          <w:tcPr>
            <w:tcW w:w="6044" w:type="dxa"/>
          </w:tcPr>
          <w:p w14:paraId="12E6C2C3" w14:textId="77777777" w:rsidR="00BF22A4" w:rsidRPr="0058266C" w:rsidRDefault="00BF22A4" w:rsidP="005F7ECC">
            <w:pPr>
              <w:pStyle w:val="ListParagraph"/>
              <w:numPr>
                <w:ilvl w:val="0"/>
                <w:numId w:val="18"/>
              </w:numPr>
              <w:ind w:left="3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266C">
              <w:rPr>
                <w:rFonts w:ascii="Calibri" w:hAnsi="Calibri" w:cs="Calibri"/>
                <w:color w:val="000000"/>
              </w:rPr>
              <w:t>Batteries stolen from Site - from earthmoving equipment</w:t>
            </w:r>
          </w:p>
          <w:p w14:paraId="39CA75E7" w14:textId="626E2349" w:rsidR="00BF22A4" w:rsidRDefault="00403382" w:rsidP="005F7ECC">
            <w:pPr>
              <w:pStyle w:val="ListParagraph"/>
              <w:numPr>
                <w:ilvl w:val="0"/>
                <w:numId w:val="18"/>
              </w:numPr>
              <w:ind w:left="317"/>
              <w:cnfStyle w:val="000000100000" w:firstRow="0" w:lastRow="0" w:firstColumn="0" w:lastColumn="0" w:oddVBand="0" w:evenVBand="0" w:oddHBand="1" w:evenHBand="0" w:firstRowFirstColumn="0" w:firstRowLastColumn="0" w:lastRowFirstColumn="0" w:lastRowLastColumn="0"/>
            </w:pPr>
            <w:r w:rsidRPr="008C3D56">
              <w:t>Unknown</w:t>
            </w:r>
            <w:r w:rsidR="00BF22A4" w:rsidRPr="008C3D56">
              <w:t xml:space="preserve"> persons broke into ACT Recycling premises and stole approximately 400kg of copper</w:t>
            </w:r>
          </w:p>
        </w:tc>
      </w:tr>
      <w:tr w:rsidR="00BF22A4" w14:paraId="2D7D4C42" w14:textId="77777777" w:rsidTr="00865211">
        <w:tc>
          <w:tcPr>
            <w:cnfStyle w:val="001000000000" w:firstRow="0" w:lastRow="0" w:firstColumn="1" w:lastColumn="0" w:oddVBand="0" w:evenVBand="0" w:oddHBand="0" w:evenHBand="0" w:firstRowFirstColumn="0" w:firstRowLastColumn="0" w:lastRowFirstColumn="0" w:lastRowLastColumn="0"/>
            <w:tcW w:w="2972" w:type="dxa"/>
          </w:tcPr>
          <w:p w14:paraId="78A9F648" w14:textId="77777777" w:rsidR="00BF22A4" w:rsidRDefault="00BF22A4" w:rsidP="005F7ECC">
            <w:pPr>
              <w:rPr>
                <w:rFonts w:ascii="Calibri" w:hAnsi="Calibri" w:cs="Calibri"/>
                <w:color w:val="000000"/>
              </w:rPr>
            </w:pPr>
            <w:r>
              <w:rPr>
                <w:rFonts w:ascii="Calibri" w:hAnsi="Calibri" w:cs="Calibri"/>
                <w:color w:val="000000"/>
              </w:rPr>
              <w:t>Failure to comply with a direction at a waste facility</w:t>
            </w:r>
          </w:p>
          <w:p w14:paraId="2B5A1122" w14:textId="77777777" w:rsidR="00BF22A4" w:rsidRDefault="00BF22A4" w:rsidP="005F7ECC"/>
        </w:tc>
        <w:tc>
          <w:tcPr>
            <w:tcW w:w="6044" w:type="dxa"/>
          </w:tcPr>
          <w:p w14:paraId="4ECCCEDF" w14:textId="20085CD5" w:rsidR="00BF22A4" w:rsidRDefault="00BF22A4" w:rsidP="005F7ECC">
            <w:pPr>
              <w:pStyle w:val="ListParagraph"/>
              <w:numPr>
                <w:ilvl w:val="0"/>
                <w:numId w:val="18"/>
              </w:numPr>
              <w:ind w:left="317"/>
              <w:cnfStyle w:val="000000000000" w:firstRow="0" w:lastRow="0" w:firstColumn="0" w:lastColumn="0" w:oddVBand="0" w:evenVBand="0" w:oddHBand="0" w:evenHBand="0" w:firstRowFirstColumn="0" w:firstRowLastColumn="0" w:lastRowFirstColumn="0" w:lastRowLastColumn="0"/>
            </w:pPr>
            <w:r w:rsidRPr="002E72EE">
              <w:t xml:space="preserve">Customer at Weighbridge disputed costs and wanted to pay the lower fee.  Staff advised customer of fees and showed signage which clearly stated the correct costs.  Customer became abusive, and refused to leave.  Staff called Police and Police advised customer to leave site and not attend Mugga RMC.  </w:t>
            </w:r>
          </w:p>
          <w:p w14:paraId="2229306F" w14:textId="77777777" w:rsidR="00BF22A4" w:rsidRDefault="00BF22A4" w:rsidP="005F7ECC">
            <w:pPr>
              <w:pStyle w:val="ListParagraph"/>
              <w:numPr>
                <w:ilvl w:val="0"/>
                <w:numId w:val="18"/>
              </w:numPr>
              <w:ind w:left="317"/>
              <w:cnfStyle w:val="000000000000" w:firstRow="0" w:lastRow="0" w:firstColumn="0" w:lastColumn="0" w:oddVBand="0" w:evenVBand="0" w:oddHBand="0" w:evenHBand="0" w:firstRowFirstColumn="0" w:firstRowLastColumn="0" w:lastRowFirstColumn="0" w:lastRowLastColumn="0"/>
            </w:pPr>
            <w:r w:rsidRPr="002E72EE">
              <w:t>Customer started abusing staff member regarding not wishing they inspect the load. The staff member told the customer it is operational procedure, so they can advise him on where to place his waste. The customer had metal in his load so he was instructed to place it in the metal pile, but the customer started unloading in the incorrect place. The customer was directed to stop and place it in the metal pile. The customer start yelling again</w:t>
            </w:r>
            <w:r>
              <w:t>.</w:t>
            </w:r>
          </w:p>
          <w:p w14:paraId="2133C9A0" w14:textId="64AF81D6" w:rsidR="00BF22A4" w:rsidRDefault="00BF22A4" w:rsidP="005F7ECC">
            <w:pPr>
              <w:pStyle w:val="ListParagraph"/>
              <w:numPr>
                <w:ilvl w:val="0"/>
                <w:numId w:val="18"/>
              </w:numPr>
              <w:ind w:left="317"/>
              <w:cnfStyle w:val="000000000000" w:firstRow="0" w:lastRow="0" w:firstColumn="0" w:lastColumn="0" w:oddVBand="0" w:evenVBand="0" w:oddHBand="0" w:evenHBand="0" w:firstRowFirstColumn="0" w:firstRowLastColumn="0" w:lastRowFirstColumn="0" w:lastRowLastColumn="0"/>
            </w:pPr>
            <w:r w:rsidRPr="002E72EE">
              <w:t xml:space="preserve">Customer refused to wait for loader to move material from the push wall. The customer then began to abuse staff member telling her to hang herself. The Contractor has </w:t>
            </w:r>
            <w:r w:rsidR="00403382" w:rsidRPr="002E72EE">
              <w:t>sought</w:t>
            </w:r>
            <w:r w:rsidRPr="002E72EE">
              <w:t xml:space="preserve"> approval to have the </w:t>
            </w:r>
            <w:r w:rsidR="00403382" w:rsidRPr="002E72EE">
              <w:t>vehicle</w:t>
            </w:r>
            <w:r w:rsidRPr="002E72EE">
              <w:t xml:space="preserve"> registration barred from site. This request has been approved.</w:t>
            </w:r>
          </w:p>
          <w:p w14:paraId="5ACAB48C" w14:textId="77777777" w:rsidR="00BF22A4" w:rsidRDefault="00BF22A4" w:rsidP="005F7ECC">
            <w:pPr>
              <w:pStyle w:val="ListParagraph"/>
              <w:numPr>
                <w:ilvl w:val="0"/>
                <w:numId w:val="18"/>
              </w:numPr>
              <w:ind w:left="317"/>
              <w:cnfStyle w:val="000000000000" w:firstRow="0" w:lastRow="0" w:firstColumn="0" w:lastColumn="0" w:oddVBand="0" w:evenVBand="0" w:oddHBand="0" w:evenHBand="0" w:firstRowFirstColumn="0" w:firstRowLastColumn="0" w:lastRowFirstColumn="0" w:lastRowLastColumn="0"/>
            </w:pPr>
            <w:r w:rsidRPr="002E72EE">
              <w:t>Customer came thought and started becoming hostile and aggressive towards the operator when she was told that she would have to pay for the excess rubbish over the 3 allowed bags designated by the government due to the strike.</w:t>
            </w:r>
          </w:p>
        </w:tc>
      </w:tr>
    </w:tbl>
    <w:p w14:paraId="3AE33AF2" w14:textId="77777777" w:rsidR="00BF22A4" w:rsidRDefault="00BF22A4" w:rsidP="005F7ECC"/>
    <w:p w14:paraId="632CC258" w14:textId="77777777" w:rsidR="00BF22A4" w:rsidRPr="0079487A" w:rsidRDefault="00BF22A4" w:rsidP="005F7ECC"/>
    <w:p w14:paraId="42809B72" w14:textId="53F3DCD6" w:rsidR="006D43F8" w:rsidRDefault="006D43F8" w:rsidP="005F7ECC">
      <w:pPr>
        <w:pStyle w:val="Caption"/>
        <w:keepNext/>
      </w:pPr>
      <w:bookmarkStart w:id="90" w:name="_Toc78275046"/>
      <w:r>
        <w:lastRenderedPageBreak/>
        <w:t xml:space="preserve">Figure </w:t>
      </w:r>
      <w:r w:rsidR="000150F9">
        <w:fldChar w:fldCharType="begin"/>
      </w:r>
      <w:r w:rsidR="000150F9">
        <w:instrText xml:space="preserve"> SEQ Figure \* ARABIC </w:instrText>
      </w:r>
      <w:r w:rsidR="000150F9">
        <w:fldChar w:fldCharType="separate"/>
      </w:r>
      <w:r w:rsidR="00BF22A4">
        <w:rPr>
          <w:noProof/>
        </w:rPr>
        <w:t>4</w:t>
      </w:r>
      <w:r w:rsidR="000150F9">
        <w:rPr>
          <w:noProof/>
        </w:rPr>
        <w:fldChar w:fldCharType="end"/>
      </w:r>
      <w:r>
        <w:t xml:space="preserve"> </w:t>
      </w:r>
      <w:r w:rsidR="00D10AC8">
        <w:t>Analysis</w:t>
      </w:r>
      <w:r>
        <w:t xml:space="preserve"> of workplace health and safety incidents from offences at waste facilities, 2017-2021</w:t>
      </w:r>
      <w:bookmarkEnd w:id="90"/>
    </w:p>
    <w:p w14:paraId="5AD83D5A" w14:textId="348FEAFD" w:rsidR="006D43F8" w:rsidRDefault="00A93F82" w:rsidP="005F7ECC">
      <w:r>
        <w:rPr>
          <w:noProof/>
        </w:rPr>
        <w:drawing>
          <wp:inline distT="0" distB="0" distL="0" distR="0" wp14:anchorId="592ACD79" wp14:editId="5F7C09C6">
            <wp:extent cx="6529070" cy="406654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9070" cy="4066540"/>
                    </a:xfrm>
                    <a:prstGeom prst="rect">
                      <a:avLst/>
                    </a:prstGeom>
                    <a:noFill/>
                  </pic:spPr>
                </pic:pic>
              </a:graphicData>
            </a:graphic>
          </wp:inline>
        </w:drawing>
      </w:r>
    </w:p>
    <w:p w14:paraId="28D8DC7A" w14:textId="70D62B1C" w:rsidR="0079487A" w:rsidRDefault="00DC1B47" w:rsidP="005F7ECC">
      <w:pPr>
        <w:pStyle w:val="Heading3"/>
      </w:pPr>
      <w:bookmarkStart w:id="91" w:name="_Toc78374704"/>
      <w:bookmarkStart w:id="92" w:name="_Toc79490214"/>
      <w:r>
        <w:t>9</w:t>
      </w:r>
      <w:r w:rsidR="005F7ECC">
        <w:t xml:space="preserve">.1b </w:t>
      </w:r>
      <w:r w:rsidR="00875232">
        <w:t>O</w:t>
      </w:r>
      <w:r w:rsidR="0079487A">
        <w:t xml:space="preserve">ffences at </w:t>
      </w:r>
      <w:r w:rsidR="00875232">
        <w:t xml:space="preserve">unstaffed </w:t>
      </w:r>
      <w:r w:rsidR="0079487A">
        <w:t>waste facilities</w:t>
      </w:r>
      <w:bookmarkEnd w:id="91"/>
      <w:bookmarkEnd w:id="92"/>
    </w:p>
    <w:p w14:paraId="1B14DEA7" w14:textId="77777777" w:rsidR="00654B4A" w:rsidRDefault="00385E7B" w:rsidP="005F7ECC">
      <w:pPr>
        <w:rPr>
          <w:sz w:val="24"/>
          <w:szCs w:val="24"/>
        </w:rPr>
      </w:pPr>
      <w:r w:rsidRPr="00FC1439">
        <w:rPr>
          <w:sz w:val="24"/>
          <w:szCs w:val="24"/>
        </w:rPr>
        <w:t xml:space="preserve">An additional set of </w:t>
      </w:r>
      <w:r w:rsidR="0015350E">
        <w:rPr>
          <w:sz w:val="24"/>
          <w:szCs w:val="24"/>
        </w:rPr>
        <w:t>likely</w:t>
      </w:r>
      <w:r w:rsidRPr="00FC1439">
        <w:rPr>
          <w:sz w:val="24"/>
          <w:szCs w:val="24"/>
        </w:rPr>
        <w:t xml:space="preserve"> offences </w:t>
      </w:r>
      <w:r w:rsidR="0015350E">
        <w:rPr>
          <w:sz w:val="24"/>
          <w:szCs w:val="24"/>
        </w:rPr>
        <w:t>from the Regulation</w:t>
      </w:r>
      <w:r w:rsidRPr="00FC1439">
        <w:rPr>
          <w:sz w:val="24"/>
          <w:szCs w:val="24"/>
        </w:rPr>
        <w:t xml:space="preserve"> occur regularly</w:t>
      </w:r>
      <w:r w:rsidR="008822DD" w:rsidRPr="00FC1439">
        <w:rPr>
          <w:sz w:val="24"/>
          <w:szCs w:val="24"/>
        </w:rPr>
        <w:t xml:space="preserve"> at unstaffed </w:t>
      </w:r>
      <w:r w:rsidRPr="00FC1439">
        <w:rPr>
          <w:sz w:val="24"/>
          <w:szCs w:val="24"/>
        </w:rPr>
        <w:t>RDOCs. These generally involve failure to comply with requirements displayed in signs, and</w:t>
      </w:r>
      <w:r w:rsidR="008822DD" w:rsidRPr="00FC1439">
        <w:rPr>
          <w:sz w:val="24"/>
          <w:szCs w:val="24"/>
        </w:rPr>
        <w:t xml:space="preserve"> </w:t>
      </w:r>
      <w:r w:rsidR="00E12A21" w:rsidRPr="00FC1439">
        <w:rPr>
          <w:sz w:val="24"/>
          <w:szCs w:val="24"/>
        </w:rPr>
        <w:t xml:space="preserve">result in contamination of recyclate and a reduced capacity </w:t>
      </w:r>
      <w:r w:rsidR="0015350E">
        <w:rPr>
          <w:sz w:val="24"/>
          <w:szCs w:val="24"/>
        </w:rPr>
        <w:t>for</w:t>
      </w:r>
      <w:r w:rsidR="00E12A21" w:rsidRPr="00FC1439">
        <w:rPr>
          <w:sz w:val="24"/>
          <w:szCs w:val="24"/>
        </w:rPr>
        <w:t xml:space="preserve"> resource recovery and recycling outcomes consistent with the objects of the Act. </w:t>
      </w:r>
    </w:p>
    <w:p w14:paraId="7E51C7A8" w14:textId="4DFB9038" w:rsidR="00AB28F2" w:rsidRPr="00FC1439" w:rsidRDefault="00AB28F2" w:rsidP="005F7ECC">
      <w:pPr>
        <w:rPr>
          <w:sz w:val="24"/>
          <w:szCs w:val="24"/>
        </w:rPr>
      </w:pPr>
      <w:r w:rsidRPr="00FC1439">
        <w:rPr>
          <w:sz w:val="24"/>
          <w:szCs w:val="24"/>
        </w:rPr>
        <w:t xml:space="preserve">There are significant costs to </w:t>
      </w:r>
      <w:r w:rsidR="00654B4A">
        <w:rPr>
          <w:sz w:val="24"/>
          <w:szCs w:val="24"/>
        </w:rPr>
        <w:t>G</w:t>
      </w:r>
      <w:r w:rsidRPr="00FC1439">
        <w:rPr>
          <w:sz w:val="24"/>
          <w:szCs w:val="24"/>
        </w:rPr>
        <w:t xml:space="preserve">overnment associated with site clean-ups when these incidents occur, as well as reputational risks associated with </w:t>
      </w:r>
      <w:r w:rsidR="00654B4A">
        <w:rPr>
          <w:sz w:val="24"/>
          <w:szCs w:val="24"/>
        </w:rPr>
        <w:t>G</w:t>
      </w:r>
      <w:r w:rsidRPr="00FC1439">
        <w:rPr>
          <w:sz w:val="24"/>
          <w:szCs w:val="24"/>
        </w:rPr>
        <w:t>overnment’s provision</w:t>
      </w:r>
      <w:r w:rsidR="00654B4A">
        <w:rPr>
          <w:sz w:val="24"/>
          <w:szCs w:val="24"/>
        </w:rPr>
        <w:t xml:space="preserve"> of</w:t>
      </w:r>
      <w:r w:rsidRPr="00FC1439">
        <w:rPr>
          <w:sz w:val="24"/>
          <w:szCs w:val="24"/>
        </w:rPr>
        <w:t xml:space="preserve"> services which do not appear to be of a high quality. </w:t>
      </w:r>
      <w:r w:rsidR="00E12A21" w:rsidRPr="00FC1439">
        <w:rPr>
          <w:sz w:val="24"/>
          <w:szCs w:val="24"/>
        </w:rPr>
        <w:t xml:space="preserve">Additional impacts include </w:t>
      </w:r>
      <w:r w:rsidR="008822DD" w:rsidRPr="00FC1439">
        <w:rPr>
          <w:sz w:val="24"/>
          <w:szCs w:val="24"/>
        </w:rPr>
        <w:t>litter generation</w:t>
      </w:r>
      <w:r w:rsidR="00E12A21" w:rsidRPr="00FC1439">
        <w:rPr>
          <w:sz w:val="24"/>
          <w:szCs w:val="24"/>
        </w:rPr>
        <w:t xml:space="preserve"> and </w:t>
      </w:r>
      <w:r w:rsidR="008822DD" w:rsidRPr="00FC1439">
        <w:rPr>
          <w:sz w:val="24"/>
          <w:szCs w:val="24"/>
        </w:rPr>
        <w:t>danger to people attending the sites</w:t>
      </w:r>
      <w:r w:rsidR="00E12A21" w:rsidRPr="00FC1439">
        <w:rPr>
          <w:sz w:val="24"/>
          <w:szCs w:val="24"/>
        </w:rPr>
        <w:t xml:space="preserve">. </w:t>
      </w:r>
    </w:p>
    <w:p w14:paraId="4860CEFE" w14:textId="46D8954D" w:rsidR="008822DD" w:rsidRPr="00FC1439" w:rsidRDefault="00385E7B" w:rsidP="005F7ECC">
      <w:pPr>
        <w:rPr>
          <w:sz w:val="24"/>
          <w:szCs w:val="24"/>
        </w:rPr>
      </w:pPr>
      <w:r w:rsidRPr="00FC1439">
        <w:rPr>
          <w:sz w:val="24"/>
          <w:szCs w:val="24"/>
        </w:rPr>
        <w:t xml:space="preserve">The scale and frequency of these problems were investigated recently through a series of daily inspections </w:t>
      </w:r>
      <w:r w:rsidR="00E12A21" w:rsidRPr="00FC1439">
        <w:rPr>
          <w:sz w:val="24"/>
          <w:szCs w:val="24"/>
        </w:rPr>
        <w:t>of selected RDOCs</w:t>
      </w:r>
      <w:r w:rsidR="00654B4A">
        <w:rPr>
          <w:sz w:val="24"/>
          <w:szCs w:val="24"/>
        </w:rPr>
        <w:t xml:space="preserve">. These were </w:t>
      </w:r>
      <w:r w:rsidR="00AB28F2" w:rsidRPr="00FC1439">
        <w:rPr>
          <w:sz w:val="24"/>
          <w:szCs w:val="24"/>
        </w:rPr>
        <w:t xml:space="preserve">undertaken </w:t>
      </w:r>
      <w:r w:rsidR="00E12A21" w:rsidRPr="00FC1439">
        <w:rPr>
          <w:sz w:val="24"/>
          <w:szCs w:val="24"/>
        </w:rPr>
        <w:t>following an increase in complaints received by ACT NoWaste</w:t>
      </w:r>
      <w:r w:rsidRPr="00FC1439">
        <w:rPr>
          <w:sz w:val="24"/>
          <w:szCs w:val="24"/>
        </w:rPr>
        <w:t>, which are also the subject of multiple news reports</w:t>
      </w:r>
      <w:r w:rsidRPr="00FC1439">
        <w:rPr>
          <w:sz w:val="24"/>
          <w:szCs w:val="24"/>
          <w:vertAlign w:val="superscript"/>
        </w:rPr>
        <w:footnoteReference w:id="17"/>
      </w:r>
      <w:r w:rsidR="00E12A21" w:rsidRPr="00FC1439">
        <w:rPr>
          <w:sz w:val="24"/>
          <w:szCs w:val="24"/>
        </w:rPr>
        <w:t xml:space="preserve">. </w:t>
      </w:r>
    </w:p>
    <w:p w14:paraId="7AE5D0A0" w14:textId="43072E64" w:rsidR="00AB28F2" w:rsidRPr="00FC1439" w:rsidRDefault="00E12A21" w:rsidP="005F7ECC">
      <w:pPr>
        <w:rPr>
          <w:sz w:val="24"/>
          <w:szCs w:val="24"/>
        </w:rPr>
      </w:pPr>
      <w:r w:rsidRPr="00FC1439">
        <w:rPr>
          <w:sz w:val="24"/>
          <w:szCs w:val="24"/>
        </w:rPr>
        <w:t>Inspections</w:t>
      </w:r>
      <w:r w:rsidR="00654B4A">
        <w:rPr>
          <w:sz w:val="24"/>
          <w:szCs w:val="24"/>
        </w:rPr>
        <w:t xml:space="preserve"> were</w:t>
      </w:r>
      <w:r w:rsidRPr="00FC1439">
        <w:rPr>
          <w:sz w:val="24"/>
          <w:szCs w:val="24"/>
        </w:rPr>
        <w:t xml:space="preserve"> undertaken daily during a four-week period </w:t>
      </w:r>
      <w:r w:rsidR="00654B4A">
        <w:rPr>
          <w:sz w:val="24"/>
          <w:szCs w:val="24"/>
        </w:rPr>
        <w:t xml:space="preserve">and </w:t>
      </w:r>
      <w:r w:rsidRPr="00FC1439">
        <w:rPr>
          <w:sz w:val="24"/>
          <w:szCs w:val="24"/>
        </w:rPr>
        <w:t xml:space="preserve">identified </w:t>
      </w:r>
      <w:r w:rsidR="00AB28F2" w:rsidRPr="00FC1439">
        <w:rPr>
          <w:sz w:val="24"/>
          <w:szCs w:val="24"/>
        </w:rPr>
        <w:t>s</w:t>
      </w:r>
      <w:r w:rsidRPr="00FC1439">
        <w:rPr>
          <w:sz w:val="24"/>
          <w:szCs w:val="24"/>
        </w:rPr>
        <w:t xml:space="preserve">ignificant quantities of </w:t>
      </w:r>
      <w:r w:rsidR="00AB28F2" w:rsidRPr="00FC1439">
        <w:rPr>
          <w:sz w:val="24"/>
          <w:szCs w:val="24"/>
        </w:rPr>
        <w:t>unauthorised</w:t>
      </w:r>
      <w:r w:rsidR="00EF13C5" w:rsidRPr="00FC1439">
        <w:rPr>
          <w:sz w:val="24"/>
          <w:szCs w:val="24"/>
        </w:rPr>
        <w:t xml:space="preserve"> waste, especially</w:t>
      </w:r>
      <w:r w:rsidRPr="00FC1439">
        <w:rPr>
          <w:sz w:val="24"/>
          <w:szCs w:val="24"/>
        </w:rPr>
        <w:t xml:space="preserve"> </w:t>
      </w:r>
      <w:r w:rsidR="00510B8F" w:rsidRPr="00FC1439">
        <w:rPr>
          <w:sz w:val="24"/>
          <w:szCs w:val="24"/>
        </w:rPr>
        <w:t xml:space="preserve">polystyrene, </w:t>
      </w:r>
      <w:r w:rsidR="00EF13C5" w:rsidRPr="00FC1439">
        <w:rPr>
          <w:sz w:val="24"/>
          <w:szCs w:val="24"/>
        </w:rPr>
        <w:t>but also includ</w:t>
      </w:r>
      <w:r w:rsidR="00654B4A">
        <w:rPr>
          <w:sz w:val="24"/>
          <w:szCs w:val="24"/>
        </w:rPr>
        <w:t>ed</w:t>
      </w:r>
      <w:r w:rsidR="00EF13C5" w:rsidRPr="00FC1439">
        <w:rPr>
          <w:sz w:val="24"/>
          <w:szCs w:val="24"/>
        </w:rPr>
        <w:t xml:space="preserve"> stacks of regulated waste</w:t>
      </w:r>
      <w:r w:rsidR="00654B4A">
        <w:rPr>
          <w:sz w:val="24"/>
          <w:szCs w:val="24"/>
        </w:rPr>
        <w:t xml:space="preserve"> and</w:t>
      </w:r>
      <w:r w:rsidR="00AB28F2" w:rsidRPr="00FC1439">
        <w:rPr>
          <w:sz w:val="24"/>
          <w:szCs w:val="24"/>
        </w:rPr>
        <w:t xml:space="preserve"> bulky waste (furniture, bicycles and other items). Waste was also dumped outside of the </w:t>
      </w:r>
      <w:r w:rsidR="0015350E">
        <w:rPr>
          <w:sz w:val="24"/>
          <w:szCs w:val="24"/>
        </w:rPr>
        <w:t>recycling</w:t>
      </w:r>
      <w:r w:rsidR="00AB28F2" w:rsidRPr="00FC1439">
        <w:rPr>
          <w:sz w:val="24"/>
          <w:szCs w:val="24"/>
        </w:rPr>
        <w:t xml:space="preserve"> containers that are provided</w:t>
      </w:r>
      <w:r w:rsidR="00654B4A">
        <w:rPr>
          <w:sz w:val="24"/>
          <w:szCs w:val="24"/>
        </w:rPr>
        <w:t xml:space="preserve"> at the RDOCs</w:t>
      </w:r>
      <w:r w:rsidR="00AB28F2" w:rsidRPr="00FC1439">
        <w:rPr>
          <w:sz w:val="24"/>
          <w:szCs w:val="24"/>
        </w:rPr>
        <w:t xml:space="preserve">. One of the </w:t>
      </w:r>
      <w:r w:rsidR="00AB28F2" w:rsidRPr="00FC1439">
        <w:rPr>
          <w:sz w:val="24"/>
          <w:szCs w:val="24"/>
        </w:rPr>
        <w:lastRenderedPageBreak/>
        <w:t>RDOC sites was in a poor condition during 76% of inspections, with one or several piles of unapproved waste, and/or litter blown about. Confronted with such significant quantities of unauthorised wastes it appears that site users were encouraged to continue and to escalate unauthorised use of the site.</w:t>
      </w:r>
    </w:p>
    <w:p w14:paraId="666E2FDF" w14:textId="6EBAF7F1" w:rsidR="00AB28F2" w:rsidRPr="0015350E" w:rsidRDefault="00AB28F2" w:rsidP="005F7ECC">
      <w:pPr>
        <w:rPr>
          <w:sz w:val="24"/>
          <w:szCs w:val="24"/>
        </w:rPr>
      </w:pPr>
      <w:r w:rsidRPr="0015350E">
        <w:rPr>
          <w:sz w:val="24"/>
          <w:szCs w:val="24"/>
        </w:rPr>
        <w:t xml:space="preserve">Some photographs showing the problem are </w:t>
      </w:r>
      <w:r w:rsidR="0015350E">
        <w:rPr>
          <w:sz w:val="24"/>
          <w:szCs w:val="24"/>
        </w:rPr>
        <w:t xml:space="preserve">in Figure 5 </w:t>
      </w:r>
      <w:r w:rsidRPr="0015350E">
        <w:rPr>
          <w:sz w:val="24"/>
          <w:szCs w:val="24"/>
        </w:rPr>
        <w:t xml:space="preserve">below. </w:t>
      </w:r>
    </w:p>
    <w:p w14:paraId="40083635" w14:textId="03A2756E" w:rsidR="00AB28F2" w:rsidRDefault="00AB28F2" w:rsidP="005F7ECC">
      <w:pPr>
        <w:pStyle w:val="Caption"/>
      </w:pPr>
      <w:bookmarkStart w:id="93" w:name="_Toc78275047"/>
      <w:r>
        <w:t xml:space="preserve">Figure </w:t>
      </w:r>
      <w:r w:rsidR="000150F9">
        <w:fldChar w:fldCharType="begin"/>
      </w:r>
      <w:r w:rsidR="000150F9">
        <w:instrText xml:space="preserve"> SEQ Figure \* ARABIC </w:instrText>
      </w:r>
      <w:r w:rsidR="000150F9">
        <w:fldChar w:fldCharType="separate"/>
      </w:r>
      <w:r w:rsidR="0015350E">
        <w:rPr>
          <w:noProof/>
        </w:rPr>
        <w:t>5</w:t>
      </w:r>
      <w:r w:rsidR="000150F9">
        <w:rPr>
          <w:noProof/>
        </w:rPr>
        <w:fldChar w:fldCharType="end"/>
      </w:r>
      <w:r>
        <w:t xml:space="preserve"> Images of unauthorised use of waste facilities</w:t>
      </w:r>
      <w:bookmarkEnd w:id="93"/>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18"/>
      </w:tblGrid>
      <w:tr w:rsidR="00AB28F2" w:rsidRPr="00E97AE6" w14:paraId="4762C7F4" w14:textId="77777777" w:rsidTr="00AC4DC6">
        <w:trPr>
          <w:trHeight w:val="313"/>
        </w:trPr>
        <w:tc>
          <w:tcPr>
            <w:tcW w:w="4823" w:type="dxa"/>
            <w:shd w:val="clear" w:color="auto" w:fill="auto"/>
          </w:tcPr>
          <w:p w14:paraId="2B654C63" w14:textId="77777777" w:rsidR="00AB28F2" w:rsidRDefault="00AB28F2" w:rsidP="005F7ECC">
            <w:pPr>
              <w:pStyle w:val="BodyText"/>
              <w:rPr>
                <w:i/>
                <w:sz w:val="24"/>
                <w:szCs w:val="24"/>
                <w:lang w:eastAsia="en-AU"/>
              </w:rPr>
            </w:pPr>
          </w:p>
          <w:p w14:paraId="6830479B" w14:textId="77777777" w:rsidR="00AB28F2" w:rsidRDefault="00AB28F2" w:rsidP="005F7ECC">
            <w:pPr>
              <w:pStyle w:val="BodyText"/>
              <w:rPr>
                <w:i/>
                <w:sz w:val="24"/>
                <w:szCs w:val="24"/>
                <w:lang w:eastAsia="en-AU"/>
              </w:rPr>
            </w:pPr>
            <w:r>
              <w:rPr>
                <w:i/>
                <w:noProof/>
                <w:highlight w:val="cyan"/>
              </w:rPr>
              <w:drawing>
                <wp:inline distT="0" distB="0" distL="0" distR="0" wp14:anchorId="7D12C373" wp14:editId="5034959E">
                  <wp:extent cx="2922270" cy="2192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2270" cy="2192020"/>
                          </a:xfrm>
                          <a:prstGeom prst="rect">
                            <a:avLst/>
                          </a:prstGeom>
                          <a:noFill/>
                          <a:ln>
                            <a:noFill/>
                          </a:ln>
                        </pic:spPr>
                      </pic:pic>
                    </a:graphicData>
                  </a:graphic>
                </wp:inline>
              </w:drawing>
            </w:r>
          </w:p>
          <w:p w14:paraId="1F37F6C1" w14:textId="77777777" w:rsidR="00AB28F2" w:rsidRDefault="00AB28F2" w:rsidP="005F7ECC">
            <w:pPr>
              <w:pStyle w:val="BodyText"/>
              <w:rPr>
                <w:i/>
                <w:sz w:val="24"/>
                <w:szCs w:val="24"/>
                <w:lang w:eastAsia="en-AU"/>
              </w:rPr>
            </w:pPr>
          </w:p>
          <w:p w14:paraId="4101FDBD" w14:textId="77777777" w:rsidR="00AB28F2" w:rsidRDefault="00AB28F2" w:rsidP="005F7ECC">
            <w:pPr>
              <w:pStyle w:val="BodyText"/>
              <w:rPr>
                <w:i/>
                <w:sz w:val="24"/>
                <w:szCs w:val="24"/>
                <w:lang w:eastAsia="en-AU"/>
              </w:rPr>
            </w:pPr>
          </w:p>
          <w:p w14:paraId="04701B46" w14:textId="77777777" w:rsidR="00AB28F2" w:rsidRPr="00E97AE6" w:rsidRDefault="00AB28F2" w:rsidP="005F7ECC">
            <w:pPr>
              <w:pStyle w:val="BodyText"/>
              <w:rPr>
                <w:i/>
                <w:sz w:val="24"/>
                <w:szCs w:val="24"/>
                <w:lang w:eastAsia="en-AU"/>
              </w:rPr>
            </w:pPr>
          </w:p>
        </w:tc>
        <w:tc>
          <w:tcPr>
            <w:tcW w:w="4818" w:type="dxa"/>
            <w:shd w:val="clear" w:color="auto" w:fill="auto"/>
          </w:tcPr>
          <w:p w14:paraId="5BD2F736" w14:textId="77777777" w:rsidR="00AB28F2" w:rsidRPr="00E97AE6" w:rsidRDefault="00AB28F2" w:rsidP="005F7ECC">
            <w:pPr>
              <w:pStyle w:val="BodyText"/>
              <w:rPr>
                <w:i/>
                <w:sz w:val="24"/>
                <w:szCs w:val="24"/>
                <w:lang w:eastAsia="en-AU"/>
              </w:rPr>
            </w:pPr>
            <w:r>
              <w:rPr>
                <w:i/>
                <w:noProof/>
              </w:rPr>
              <w:drawing>
                <wp:anchor distT="0" distB="0" distL="114300" distR="114300" simplePos="0" relativeHeight="251660288" behindDoc="0" locked="0" layoutInCell="1" allowOverlap="1" wp14:anchorId="7A185628" wp14:editId="12AE2788">
                  <wp:simplePos x="0" y="0"/>
                  <wp:positionH relativeFrom="column">
                    <wp:posOffset>183515</wp:posOffset>
                  </wp:positionH>
                  <wp:positionV relativeFrom="paragraph">
                    <wp:posOffset>76200</wp:posOffset>
                  </wp:positionV>
                  <wp:extent cx="2371725" cy="3138593"/>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1725" cy="3138593"/>
                          </a:xfrm>
                          <a:prstGeom prst="rect">
                            <a:avLst/>
                          </a:prstGeom>
                          <a:noFill/>
                          <a:ln>
                            <a:noFill/>
                          </a:ln>
                        </pic:spPr>
                      </pic:pic>
                    </a:graphicData>
                  </a:graphic>
                </wp:anchor>
              </w:drawing>
            </w:r>
          </w:p>
        </w:tc>
      </w:tr>
      <w:tr w:rsidR="00AB28F2" w:rsidRPr="00E97AE6" w14:paraId="2CABFC4D" w14:textId="77777777" w:rsidTr="00AC4DC6">
        <w:trPr>
          <w:trHeight w:val="313"/>
        </w:trPr>
        <w:tc>
          <w:tcPr>
            <w:tcW w:w="4823" w:type="dxa"/>
            <w:shd w:val="clear" w:color="auto" w:fill="auto"/>
          </w:tcPr>
          <w:p w14:paraId="339DC6B7" w14:textId="5FA27BD7" w:rsidR="00AB28F2" w:rsidRPr="00E97AE6" w:rsidRDefault="00AB28F2" w:rsidP="005F7ECC">
            <w:pPr>
              <w:pStyle w:val="BodyText"/>
              <w:rPr>
                <w:i/>
                <w:sz w:val="24"/>
                <w:szCs w:val="24"/>
                <w:lang w:eastAsia="en-AU"/>
              </w:rPr>
            </w:pPr>
            <w:r w:rsidRPr="00E97AE6">
              <w:rPr>
                <w:i/>
                <w:sz w:val="24"/>
                <w:szCs w:val="24"/>
                <w:lang w:eastAsia="en-AU"/>
              </w:rPr>
              <w:t xml:space="preserve">Photo </w:t>
            </w:r>
            <w:r>
              <w:rPr>
                <w:i/>
                <w:sz w:val="24"/>
                <w:szCs w:val="24"/>
                <w:lang w:eastAsia="en-AU"/>
              </w:rPr>
              <w:t>3a</w:t>
            </w:r>
            <w:r w:rsidRPr="00E97AE6">
              <w:rPr>
                <w:i/>
                <w:sz w:val="24"/>
                <w:szCs w:val="24"/>
                <w:lang w:eastAsia="en-AU"/>
              </w:rPr>
              <w:t>:</w:t>
            </w:r>
            <w:r>
              <w:rPr>
                <w:i/>
                <w:sz w:val="24"/>
                <w:szCs w:val="24"/>
                <w:lang w:eastAsia="en-AU"/>
              </w:rPr>
              <w:t xml:space="preserve"> Poor cardboard storage. Tuggeranong RDOC.</w:t>
            </w:r>
          </w:p>
        </w:tc>
        <w:tc>
          <w:tcPr>
            <w:tcW w:w="4818" w:type="dxa"/>
            <w:shd w:val="clear" w:color="auto" w:fill="auto"/>
          </w:tcPr>
          <w:p w14:paraId="46DD239C" w14:textId="036F5D96" w:rsidR="00AB28F2" w:rsidRPr="00E97AE6" w:rsidRDefault="00AB28F2" w:rsidP="005F7ECC">
            <w:pPr>
              <w:pStyle w:val="BodyText"/>
              <w:rPr>
                <w:i/>
                <w:sz w:val="24"/>
                <w:szCs w:val="24"/>
                <w:lang w:eastAsia="en-AU"/>
              </w:rPr>
            </w:pPr>
            <w:r w:rsidRPr="00E97AE6">
              <w:rPr>
                <w:i/>
                <w:sz w:val="24"/>
                <w:szCs w:val="24"/>
                <w:lang w:eastAsia="en-AU"/>
              </w:rPr>
              <w:t xml:space="preserve">Photo </w:t>
            </w:r>
            <w:r>
              <w:rPr>
                <w:i/>
                <w:sz w:val="24"/>
                <w:szCs w:val="24"/>
                <w:lang w:eastAsia="en-AU"/>
              </w:rPr>
              <w:t>3b</w:t>
            </w:r>
            <w:r w:rsidRPr="00E97AE6">
              <w:rPr>
                <w:i/>
                <w:sz w:val="24"/>
                <w:szCs w:val="24"/>
                <w:lang w:eastAsia="en-AU"/>
              </w:rPr>
              <w:t xml:space="preserve">: </w:t>
            </w:r>
            <w:r>
              <w:rPr>
                <w:i/>
                <w:sz w:val="24"/>
                <w:szCs w:val="24"/>
                <w:lang w:eastAsia="en-AU"/>
              </w:rPr>
              <w:t>Poor cardboard storage. Gungahlin RDOC.</w:t>
            </w:r>
          </w:p>
        </w:tc>
      </w:tr>
      <w:tr w:rsidR="00AB28F2" w:rsidRPr="00E97AE6" w14:paraId="3B3954C8" w14:textId="77777777" w:rsidTr="00AC4DC6">
        <w:trPr>
          <w:trHeight w:val="313"/>
        </w:trPr>
        <w:tc>
          <w:tcPr>
            <w:tcW w:w="4823" w:type="dxa"/>
            <w:shd w:val="clear" w:color="auto" w:fill="auto"/>
          </w:tcPr>
          <w:p w14:paraId="5CFAEDA3" w14:textId="77777777" w:rsidR="00AB28F2" w:rsidRDefault="00AB28F2" w:rsidP="005F7ECC">
            <w:pPr>
              <w:pStyle w:val="BodyText"/>
              <w:rPr>
                <w:i/>
                <w:sz w:val="24"/>
                <w:szCs w:val="24"/>
                <w:lang w:eastAsia="en-AU"/>
              </w:rPr>
            </w:pPr>
          </w:p>
          <w:p w14:paraId="217B73FD" w14:textId="77777777" w:rsidR="00AB28F2" w:rsidRPr="00E97AE6" w:rsidRDefault="00AB28F2" w:rsidP="005F7ECC">
            <w:pPr>
              <w:pStyle w:val="BodyText"/>
              <w:rPr>
                <w:i/>
                <w:sz w:val="24"/>
                <w:szCs w:val="24"/>
                <w:lang w:eastAsia="en-AU"/>
              </w:rPr>
            </w:pPr>
            <w:r>
              <w:rPr>
                <w:i/>
                <w:noProof/>
              </w:rPr>
              <w:drawing>
                <wp:inline distT="0" distB="0" distL="0" distR="0" wp14:anchorId="3E2F4E92" wp14:editId="37E5F96D">
                  <wp:extent cx="2925445" cy="219392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5445" cy="2193925"/>
                          </a:xfrm>
                          <a:prstGeom prst="rect">
                            <a:avLst/>
                          </a:prstGeom>
                          <a:noFill/>
                          <a:ln>
                            <a:noFill/>
                          </a:ln>
                        </pic:spPr>
                      </pic:pic>
                    </a:graphicData>
                  </a:graphic>
                </wp:inline>
              </w:drawing>
            </w:r>
          </w:p>
        </w:tc>
        <w:tc>
          <w:tcPr>
            <w:tcW w:w="4818" w:type="dxa"/>
            <w:shd w:val="clear" w:color="auto" w:fill="auto"/>
          </w:tcPr>
          <w:p w14:paraId="181D685C" w14:textId="77777777" w:rsidR="00AB28F2" w:rsidRPr="00E97AE6" w:rsidRDefault="00AB28F2" w:rsidP="005F7ECC">
            <w:pPr>
              <w:pStyle w:val="BodyText"/>
              <w:rPr>
                <w:i/>
                <w:sz w:val="24"/>
                <w:szCs w:val="24"/>
                <w:lang w:eastAsia="en-AU"/>
              </w:rPr>
            </w:pPr>
            <w:r>
              <w:rPr>
                <w:i/>
                <w:noProof/>
              </w:rPr>
              <w:drawing>
                <wp:anchor distT="0" distB="0" distL="114300" distR="114300" simplePos="0" relativeHeight="251659264" behindDoc="0" locked="0" layoutInCell="1" allowOverlap="1" wp14:anchorId="0C9EA1E5" wp14:editId="3CB572C2">
                  <wp:simplePos x="0" y="0"/>
                  <wp:positionH relativeFrom="column">
                    <wp:posOffset>-16510</wp:posOffset>
                  </wp:positionH>
                  <wp:positionV relativeFrom="paragraph">
                    <wp:posOffset>247650</wp:posOffset>
                  </wp:positionV>
                  <wp:extent cx="2922270" cy="219202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2270" cy="2192020"/>
                          </a:xfrm>
                          <a:prstGeom prst="rect">
                            <a:avLst/>
                          </a:prstGeom>
                          <a:noFill/>
                          <a:ln>
                            <a:noFill/>
                          </a:ln>
                        </pic:spPr>
                      </pic:pic>
                    </a:graphicData>
                  </a:graphic>
                </wp:anchor>
              </w:drawing>
            </w:r>
          </w:p>
        </w:tc>
      </w:tr>
      <w:tr w:rsidR="00AB28F2" w:rsidRPr="00E97AE6" w14:paraId="6EFD0E19" w14:textId="77777777" w:rsidTr="00AC4DC6">
        <w:trPr>
          <w:trHeight w:val="313"/>
        </w:trPr>
        <w:tc>
          <w:tcPr>
            <w:tcW w:w="4823" w:type="dxa"/>
            <w:shd w:val="clear" w:color="auto" w:fill="auto"/>
          </w:tcPr>
          <w:p w14:paraId="217661D0" w14:textId="5C04C2FF" w:rsidR="00AB28F2" w:rsidRDefault="00AB28F2" w:rsidP="005F7ECC">
            <w:pPr>
              <w:pStyle w:val="BodyText"/>
              <w:rPr>
                <w:i/>
                <w:sz w:val="24"/>
                <w:szCs w:val="24"/>
                <w:lang w:eastAsia="en-AU"/>
              </w:rPr>
            </w:pPr>
            <w:r>
              <w:rPr>
                <w:i/>
                <w:sz w:val="24"/>
                <w:szCs w:val="24"/>
                <w:lang w:eastAsia="en-AU"/>
              </w:rPr>
              <w:t>Photo 3c: Poor polystyrene pile.</w:t>
            </w:r>
          </w:p>
          <w:p w14:paraId="55932448" w14:textId="77777777" w:rsidR="00AB28F2" w:rsidRPr="00E97AE6" w:rsidRDefault="00AB28F2" w:rsidP="005F7ECC">
            <w:pPr>
              <w:pStyle w:val="BodyText"/>
              <w:rPr>
                <w:i/>
                <w:sz w:val="24"/>
                <w:szCs w:val="24"/>
                <w:lang w:eastAsia="en-AU"/>
              </w:rPr>
            </w:pPr>
            <w:r>
              <w:rPr>
                <w:i/>
                <w:sz w:val="24"/>
                <w:szCs w:val="24"/>
                <w:lang w:eastAsia="en-AU"/>
              </w:rPr>
              <w:t>Belconnen RDOC.</w:t>
            </w:r>
          </w:p>
        </w:tc>
        <w:tc>
          <w:tcPr>
            <w:tcW w:w="4818" w:type="dxa"/>
            <w:shd w:val="clear" w:color="auto" w:fill="auto"/>
          </w:tcPr>
          <w:p w14:paraId="08E3AF15" w14:textId="138F0127" w:rsidR="00AB28F2" w:rsidRDefault="00AB28F2" w:rsidP="005F7ECC">
            <w:pPr>
              <w:pStyle w:val="BodyText"/>
              <w:rPr>
                <w:i/>
                <w:sz w:val="24"/>
                <w:szCs w:val="24"/>
                <w:lang w:eastAsia="en-AU"/>
              </w:rPr>
            </w:pPr>
            <w:r>
              <w:rPr>
                <w:i/>
                <w:sz w:val="24"/>
                <w:szCs w:val="24"/>
                <w:lang w:eastAsia="en-AU"/>
              </w:rPr>
              <w:t>Photo 3d: Poor polystyrene pile.</w:t>
            </w:r>
          </w:p>
          <w:p w14:paraId="21C072B3" w14:textId="77777777" w:rsidR="00AB28F2" w:rsidRPr="00E97AE6" w:rsidRDefault="00AB28F2" w:rsidP="005F7ECC">
            <w:pPr>
              <w:pStyle w:val="BodyText"/>
              <w:rPr>
                <w:i/>
                <w:sz w:val="24"/>
                <w:szCs w:val="24"/>
                <w:lang w:eastAsia="en-AU"/>
              </w:rPr>
            </w:pPr>
            <w:r>
              <w:rPr>
                <w:i/>
                <w:sz w:val="24"/>
                <w:szCs w:val="24"/>
                <w:lang w:eastAsia="en-AU"/>
              </w:rPr>
              <w:t>Phillip RDOC.</w:t>
            </w:r>
          </w:p>
        </w:tc>
      </w:tr>
      <w:tr w:rsidR="00AB28F2" w:rsidRPr="00E97AE6" w14:paraId="736FDC23" w14:textId="77777777" w:rsidTr="00AB28F2">
        <w:trPr>
          <w:trHeight w:val="313"/>
        </w:trPr>
        <w:tc>
          <w:tcPr>
            <w:tcW w:w="4823" w:type="dxa"/>
            <w:tcBorders>
              <w:top w:val="single" w:sz="4" w:space="0" w:color="auto"/>
              <w:left w:val="single" w:sz="4" w:space="0" w:color="auto"/>
              <w:bottom w:val="single" w:sz="4" w:space="0" w:color="auto"/>
              <w:right w:val="single" w:sz="4" w:space="0" w:color="auto"/>
            </w:tcBorders>
            <w:shd w:val="clear" w:color="auto" w:fill="auto"/>
          </w:tcPr>
          <w:p w14:paraId="66E281D7" w14:textId="77777777" w:rsidR="00AB28F2" w:rsidRDefault="00AB28F2" w:rsidP="005F7ECC">
            <w:pPr>
              <w:pStyle w:val="BodyText"/>
              <w:rPr>
                <w:i/>
                <w:sz w:val="24"/>
                <w:szCs w:val="24"/>
                <w:lang w:eastAsia="en-AU"/>
              </w:rPr>
            </w:pPr>
            <w:r w:rsidRPr="00AB28F2">
              <w:rPr>
                <w:i/>
                <w:noProof/>
                <w:sz w:val="24"/>
                <w:szCs w:val="24"/>
                <w:lang w:eastAsia="en-AU"/>
              </w:rPr>
              <w:lastRenderedPageBreak/>
              <w:drawing>
                <wp:inline distT="0" distB="0" distL="0" distR="0" wp14:anchorId="381546F5" wp14:editId="234FE512">
                  <wp:extent cx="2925445" cy="219392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25445" cy="2193925"/>
                          </a:xfrm>
                          <a:prstGeom prst="rect">
                            <a:avLst/>
                          </a:prstGeom>
                          <a:noFill/>
                          <a:ln>
                            <a:noFill/>
                          </a:ln>
                        </pic:spPr>
                      </pic:pic>
                    </a:graphicData>
                  </a:graphic>
                </wp:inline>
              </w:drawing>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D8070AF" w14:textId="77777777" w:rsidR="00AB28F2" w:rsidRDefault="00AB28F2" w:rsidP="005F7ECC">
            <w:pPr>
              <w:pStyle w:val="BodyText"/>
              <w:rPr>
                <w:i/>
                <w:sz w:val="24"/>
                <w:szCs w:val="24"/>
                <w:lang w:eastAsia="en-AU"/>
              </w:rPr>
            </w:pPr>
            <w:r w:rsidRPr="00AB28F2">
              <w:rPr>
                <w:i/>
                <w:noProof/>
                <w:sz w:val="24"/>
                <w:szCs w:val="24"/>
                <w:lang w:eastAsia="en-AU"/>
              </w:rPr>
              <w:drawing>
                <wp:inline distT="0" distB="0" distL="0" distR="0" wp14:anchorId="4B13A2A1" wp14:editId="4B52D214">
                  <wp:extent cx="2922270" cy="21920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2270" cy="2192020"/>
                          </a:xfrm>
                          <a:prstGeom prst="rect">
                            <a:avLst/>
                          </a:prstGeom>
                          <a:noFill/>
                          <a:ln>
                            <a:noFill/>
                          </a:ln>
                        </pic:spPr>
                      </pic:pic>
                    </a:graphicData>
                  </a:graphic>
                </wp:inline>
              </w:drawing>
            </w:r>
          </w:p>
        </w:tc>
      </w:tr>
      <w:tr w:rsidR="00AB28F2" w:rsidRPr="00E97AE6" w14:paraId="69212855" w14:textId="77777777" w:rsidTr="00AB28F2">
        <w:trPr>
          <w:trHeight w:val="313"/>
        </w:trPr>
        <w:tc>
          <w:tcPr>
            <w:tcW w:w="4823" w:type="dxa"/>
            <w:tcBorders>
              <w:top w:val="single" w:sz="4" w:space="0" w:color="auto"/>
              <w:left w:val="single" w:sz="4" w:space="0" w:color="auto"/>
              <w:bottom w:val="single" w:sz="4" w:space="0" w:color="auto"/>
              <w:right w:val="single" w:sz="4" w:space="0" w:color="auto"/>
            </w:tcBorders>
            <w:shd w:val="clear" w:color="auto" w:fill="auto"/>
          </w:tcPr>
          <w:p w14:paraId="255D2094" w14:textId="56C3F731" w:rsidR="00AB28F2" w:rsidRDefault="00AB28F2" w:rsidP="005F7ECC">
            <w:pPr>
              <w:pStyle w:val="BodyText"/>
              <w:rPr>
                <w:i/>
                <w:sz w:val="24"/>
                <w:szCs w:val="24"/>
                <w:lang w:eastAsia="en-AU"/>
              </w:rPr>
            </w:pPr>
            <w:r>
              <w:rPr>
                <w:i/>
                <w:sz w:val="24"/>
                <w:szCs w:val="24"/>
                <w:lang w:eastAsia="en-AU"/>
              </w:rPr>
              <w:t>Photo 3e: Poor waste pile.</w:t>
            </w:r>
          </w:p>
          <w:p w14:paraId="00B79CF8" w14:textId="77777777" w:rsidR="00AB28F2" w:rsidRDefault="00AB28F2" w:rsidP="005F7ECC">
            <w:pPr>
              <w:pStyle w:val="BodyText"/>
              <w:rPr>
                <w:i/>
                <w:sz w:val="24"/>
                <w:szCs w:val="24"/>
                <w:lang w:eastAsia="en-AU"/>
              </w:rPr>
            </w:pPr>
            <w:r>
              <w:rPr>
                <w:i/>
                <w:sz w:val="24"/>
                <w:szCs w:val="24"/>
                <w:lang w:eastAsia="en-AU"/>
              </w:rPr>
              <w:t>Mitchell RDOC.</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F0D8959" w14:textId="48F772B1" w:rsidR="00AB28F2" w:rsidRDefault="00AB28F2" w:rsidP="005F7ECC">
            <w:pPr>
              <w:pStyle w:val="BodyText"/>
              <w:rPr>
                <w:i/>
                <w:sz w:val="24"/>
                <w:szCs w:val="24"/>
                <w:lang w:eastAsia="en-AU"/>
              </w:rPr>
            </w:pPr>
            <w:r>
              <w:rPr>
                <w:i/>
                <w:sz w:val="24"/>
                <w:szCs w:val="24"/>
                <w:lang w:eastAsia="en-AU"/>
              </w:rPr>
              <w:t>Photo 3f: Poor waste pile.</w:t>
            </w:r>
          </w:p>
          <w:p w14:paraId="655AD819" w14:textId="77777777" w:rsidR="00AB28F2" w:rsidRDefault="00AB28F2" w:rsidP="005F7ECC">
            <w:pPr>
              <w:pStyle w:val="BodyText"/>
              <w:rPr>
                <w:i/>
                <w:sz w:val="24"/>
                <w:szCs w:val="24"/>
                <w:lang w:eastAsia="en-AU"/>
              </w:rPr>
            </w:pPr>
            <w:r>
              <w:rPr>
                <w:i/>
                <w:sz w:val="24"/>
                <w:szCs w:val="24"/>
                <w:lang w:eastAsia="en-AU"/>
              </w:rPr>
              <w:t>Phillip RDOC.</w:t>
            </w:r>
          </w:p>
        </w:tc>
      </w:tr>
    </w:tbl>
    <w:p w14:paraId="760D570A" w14:textId="0639C8A9" w:rsidR="00AB28F2" w:rsidRDefault="00AB28F2" w:rsidP="005F7ECC"/>
    <w:p w14:paraId="4DCDE32F" w14:textId="11F8F955" w:rsidR="005C26B0" w:rsidRDefault="00DC1B47" w:rsidP="005F7ECC">
      <w:pPr>
        <w:pStyle w:val="Heading2"/>
      </w:pPr>
      <w:bookmarkStart w:id="94" w:name="_Toc78374705"/>
      <w:bookmarkStart w:id="95" w:name="_Toc79490215"/>
      <w:r>
        <w:t>9</w:t>
      </w:r>
      <w:r w:rsidR="005F7ECC">
        <w:t>.2</w:t>
      </w:r>
      <w:r w:rsidR="005C26B0">
        <w:t xml:space="preserve"> </w:t>
      </w:r>
      <w:r w:rsidR="002F7C2B">
        <w:tab/>
      </w:r>
      <w:r w:rsidR="005C26B0">
        <w:t>Objectives</w:t>
      </w:r>
      <w:bookmarkEnd w:id="94"/>
      <w:bookmarkEnd w:id="95"/>
    </w:p>
    <w:p w14:paraId="59E8EF0D" w14:textId="77777777" w:rsidR="00FC1439" w:rsidRDefault="006A3511" w:rsidP="005F7ECC">
      <w:r w:rsidRPr="00FC1439">
        <w:rPr>
          <w:sz w:val="24"/>
          <w:szCs w:val="24"/>
        </w:rPr>
        <w:t xml:space="preserve">The objective of the amendments is to </w:t>
      </w:r>
      <w:r w:rsidR="001F7449" w:rsidRPr="00FC1439">
        <w:rPr>
          <w:sz w:val="24"/>
          <w:szCs w:val="24"/>
        </w:rPr>
        <w:t>improve enforceability by</w:t>
      </w:r>
      <w:r w:rsidR="00FC1439">
        <w:t xml:space="preserve">: </w:t>
      </w:r>
    </w:p>
    <w:p w14:paraId="67EE0152" w14:textId="058B7DC9" w:rsidR="00FC1439" w:rsidRDefault="00FC1439" w:rsidP="005F7ECC">
      <w:pPr>
        <w:pStyle w:val="ReportList1"/>
      </w:pPr>
      <w:r>
        <w:t>providing an alternative to the current</w:t>
      </w:r>
      <w:r w:rsidR="00654B4A">
        <w:t xml:space="preserve"> and</w:t>
      </w:r>
      <w:r>
        <w:t xml:space="preserve"> impractical requirement that regulators prove that alleged offenders know that site </w:t>
      </w:r>
      <w:r w:rsidR="006A3511">
        <w:t>define</w:t>
      </w:r>
      <w:r w:rsidR="006A3511" w:rsidRPr="006A3511">
        <w:t xml:space="preserve"> appropriate use of facilities</w:t>
      </w:r>
      <w:r>
        <w:t>,</w:t>
      </w:r>
      <w:r w:rsidR="006A3511" w:rsidRPr="006A3511">
        <w:t xml:space="preserve"> and</w:t>
      </w:r>
    </w:p>
    <w:p w14:paraId="4C3483C3" w14:textId="754BB59F" w:rsidR="006A3511" w:rsidRDefault="00FC1439" w:rsidP="005F7ECC">
      <w:pPr>
        <w:pStyle w:val="ReportList1"/>
      </w:pPr>
      <w:r>
        <w:t>enable waste regulators to identify alleged offenders through Closed Circuit Television (CCTV) footage at unstaffed sites</w:t>
      </w:r>
      <w:r w:rsidR="006A3511" w:rsidRPr="006A3511">
        <w:t>.</w:t>
      </w:r>
    </w:p>
    <w:p w14:paraId="6E916FB1" w14:textId="18F1B464" w:rsidR="005C26B0" w:rsidRDefault="00DC1B47" w:rsidP="005F7ECC">
      <w:pPr>
        <w:pStyle w:val="Heading2"/>
      </w:pPr>
      <w:bookmarkStart w:id="96" w:name="_Toc78374706"/>
      <w:bookmarkStart w:id="97" w:name="_Toc79490216"/>
      <w:r>
        <w:t>9</w:t>
      </w:r>
      <w:r w:rsidR="005F7ECC">
        <w:t>.3</w:t>
      </w:r>
      <w:r w:rsidR="005C26B0">
        <w:t xml:space="preserve"> </w:t>
      </w:r>
      <w:r w:rsidR="004A5365">
        <w:tab/>
      </w:r>
      <w:r w:rsidR="005C26B0">
        <w:t>Approaches from other jurisdictions</w:t>
      </w:r>
      <w:bookmarkEnd w:id="96"/>
      <w:bookmarkEnd w:id="97"/>
    </w:p>
    <w:p w14:paraId="47BA7AAA" w14:textId="02E6819F" w:rsidR="007B74CA" w:rsidRDefault="007B74CA" w:rsidP="005F7ECC">
      <w:pPr>
        <w:rPr>
          <w:sz w:val="24"/>
          <w:szCs w:val="24"/>
        </w:rPr>
      </w:pPr>
      <w:r w:rsidRPr="00FE42A8">
        <w:rPr>
          <w:sz w:val="24"/>
          <w:szCs w:val="24"/>
        </w:rPr>
        <w:t xml:space="preserve">Other jurisdictions also </w:t>
      </w:r>
      <w:r>
        <w:rPr>
          <w:sz w:val="24"/>
          <w:szCs w:val="24"/>
        </w:rPr>
        <w:t>face difficulty enforcing appropriate behaviour at waste facilities and incur hefty clean-up costs</w:t>
      </w:r>
      <w:r w:rsidRPr="00FE42A8">
        <w:rPr>
          <w:sz w:val="24"/>
          <w:szCs w:val="24"/>
        </w:rPr>
        <w:t>.</w:t>
      </w:r>
      <w:r>
        <w:rPr>
          <w:sz w:val="24"/>
          <w:szCs w:val="24"/>
        </w:rPr>
        <w:t xml:space="preserve"> The Victorian Environmental Protection Authority (EPA) notes that many local governments have recorded costs of up to $100,000 per year to clean up waste that has been illegally dumped on council land, in charity bins and other public areas. The Victorian EPA provides a hotline and interactive portal to report illegal dumping </w:t>
      </w:r>
      <w:r>
        <w:rPr>
          <w:rStyle w:val="FootnoteReference"/>
          <w:sz w:val="24"/>
          <w:szCs w:val="24"/>
        </w:rPr>
        <w:footnoteReference w:id="18"/>
      </w:r>
      <w:r>
        <w:rPr>
          <w:sz w:val="24"/>
          <w:szCs w:val="24"/>
        </w:rPr>
        <w:t>.</w:t>
      </w:r>
      <w:r w:rsidRPr="00FE42A8">
        <w:rPr>
          <w:sz w:val="24"/>
          <w:szCs w:val="24"/>
        </w:rPr>
        <w:t xml:space="preserve"> </w:t>
      </w:r>
    </w:p>
    <w:p w14:paraId="60077552" w14:textId="6C909F6B" w:rsidR="00F46B16" w:rsidRDefault="00F46B16" w:rsidP="005F7ECC">
      <w:pPr>
        <w:rPr>
          <w:sz w:val="24"/>
          <w:szCs w:val="24"/>
        </w:rPr>
      </w:pPr>
      <w:r>
        <w:rPr>
          <w:sz w:val="24"/>
          <w:szCs w:val="24"/>
        </w:rPr>
        <w:t>A Victorian initiative investigating illegal dumping at charity drop-offs found that this type of illegal dumping could be reduced by introducing fending, improving signage, running public-facing information campaigns and emphasising the personal consequences</w:t>
      </w:r>
      <w:r w:rsidR="00654B4A">
        <w:rPr>
          <w:sz w:val="24"/>
          <w:szCs w:val="24"/>
        </w:rPr>
        <w:t>,</w:t>
      </w:r>
      <w:r>
        <w:rPr>
          <w:sz w:val="24"/>
          <w:szCs w:val="24"/>
        </w:rPr>
        <w:t xml:space="preserve"> such as fines</w:t>
      </w:r>
      <w:r w:rsidR="00654B4A">
        <w:rPr>
          <w:sz w:val="24"/>
          <w:szCs w:val="24"/>
        </w:rPr>
        <w:t>,</w:t>
      </w:r>
      <w:r>
        <w:rPr>
          <w:sz w:val="24"/>
          <w:szCs w:val="24"/>
        </w:rPr>
        <w:t xml:space="preserve"> that would result from illegal dumping. Results showed that the costs of installing these would on average be paid for by savings to waste disposal costs over about 17 months</w:t>
      </w:r>
      <w:r>
        <w:rPr>
          <w:rStyle w:val="FootnoteReference"/>
          <w:sz w:val="24"/>
          <w:szCs w:val="24"/>
        </w:rPr>
        <w:footnoteReference w:id="19"/>
      </w:r>
      <w:r>
        <w:rPr>
          <w:sz w:val="24"/>
          <w:szCs w:val="24"/>
        </w:rPr>
        <w:t xml:space="preserve">. </w:t>
      </w:r>
    </w:p>
    <w:p w14:paraId="0D38B542" w14:textId="099D6983" w:rsidR="007B74CA" w:rsidRDefault="007B74CA" w:rsidP="005F7ECC">
      <w:pPr>
        <w:rPr>
          <w:sz w:val="24"/>
          <w:szCs w:val="24"/>
        </w:rPr>
      </w:pPr>
      <w:r>
        <w:rPr>
          <w:sz w:val="24"/>
          <w:szCs w:val="24"/>
        </w:rPr>
        <w:t xml:space="preserve">South Australian </w:t>
      </w:r>
      <w:r w:rsidR="00B92B7B">
        <w:rPr>
          <w:sz w:val="24"/>
          <w:szCs w:val="24"/>
        </w:rPr>
        <w:t>environmental protection legislation includes “disposal of a waste type to a council-provided bin not permitted by council for disposal” as a form of unlawful disposal. Penalties for individuals can be as high as $500,000 and for a corporate body the penalty can be as high as $2 million.</w:t>
      </w:r>
      <w:r w:rsidR="00B92B7B" w:rsidRPr="00B92B7B">
        <w:rPr>
          <w:sz w:val="24"/>
          <w:szCs w:val="24"/>
        </w:rPr>
        <w:t xml:space="preserve"> </w:t>
      </w:r>
      <w:r w:rsidR="00B92B7B">
        <w:rPr>
          <w:sz w:val="24"/>
          <w:szCs w:val="24"/>
        </w:rPr>
        <w:t xml:space="preserve">Hotlines and email links are available to enable reporting of </w:t>
      </w:r>
      <w:r w:rsidR="00B92B7B">
        <w:rPr>
          <w:sz w:val="24"/>
          <w:szCs w:val="24"/>
        </w:rPr>
        <w:lastRenderedPageBreak/>
        <w:t>illegal dumping</w:t>
      </w:r>
      <w:r w:rsidR="00B92B7B">
        <w:rPr>
          <w:rStyle w:val="FootnoteReference"/>
          <w:sz w:val="24"/>
          <w:szCs w:val="24"/>
        </w:rPr>
        <w:footnoteReference w:id="20"/>
      </w:r>
      <w:r w:rsidR="00654B4A">
        <w:rPr>
          <w:sz w:val="24"/>
          <w:szCs w:val="24"/>
        </w:rPr>
        <w:t>, h</w:t>
      </w:r>
      <w:r w:rsidR="00B92B7B">
        <w:rPr>
          <w:sz w:val="24"/>
          <w:szCs w:val="24"/>
        </w:rPr>
        <w:t xml:space="preserve">owever offences related to waste facilities are the responsibility of local governments, and penalties would generally be lower. </w:t>
      </w:r>
    </w:p>
    <w:p w14:paraId="2025750F" w14:textId="76E583F4" w:rsidR="00BD3273" w:rsidRDefault="00DD1866" w:rsidP="005F7ECC">
      <w:pPr>
        <w:rPr>
          <w:sz w:val="24"/>
          <w:szCs w:val="24"/>
        </w:rPr>
      </w:pPr>
      <w:r>
        <w:rPr>
          <w:sz w:val="24"/>
          <w:szCs w:val="24"/>
        </w:rPr>
        <w:t xml:space="preserve">The </w:t>
      </w:r>
      <w:r w:rsidR="00BD3273">
        <w:rPr>
          <w:sz w:val="24"/>
          <w:szCs w:val="24"/>
        </w:rPr>
        <w:t xml:space="preserve">NSW </w:t>
      </w:r>
      <w:r w:rsidR="00654B4A">
        <w:rPr>
          <w:sz w:val="24"/>
          <w:szCs w:val="24"/>
        </w:rPr>
        <w:t>G</w:t>
      </w:r>
      <w:r>
        <w:rPr>
          <w:sz w:val="24"/>
          <w:szCs w:val="24"/>
        </w:rPr>
        <w:t>overnment produced a handbook for local government for cracking down on illegal dumping in 2008. The handbook proposed a range of prevention techniques including steps for making access difficult through landscaping, lighting and barriers, increasing the risk of getting caught, through surveillance, compliance campaigns, partnerships and publicity and reducing financial rewards for illegal dumping, through fines and clean-up requirements</w:t>
      </w:r>
      <w:r>
        <w:rPr>
          <w:rStyle w:val="FootnoteReference"/>
          <w:sz w:val="24"/>
          <w:szCs w:val="24"/>
        </w:rPr>
        <w:footnoteReference w:id="21"/>
      </w:r>
      <w:r>
        <w:rPr>
          <w:sz w:val="24"/>
          <w:szCs w:val="24"/>
        </w:rPr>
        <w:t xml:space="preserve">. </w:t>
      </w:r>
    </w:p>
    <w:p w14:paraId="2D256183" w14:textId="5E041EC6" w:rsidR="007B74CA" w:rsidRDefault="007B74CA" w:rsidP="005F7ECC">
      <w:pPr>
        <w:rPr>
          <w:sz w:val="24"/>
          <w:szCs w:val="24"/>
        </w:rPr>
      </w:pPr>
      <w:r>
        <w:rPr>
          <w:sz w:val="24"/>
          <w:szCs w:val="24"/>
        </w:rPr>
        <w:t>The costliness of monitoring illegal waste</w:t>
      </w:r>
      <w:r w:rsidR="00654B4A">
        <w:rPr>
          <w:sz w:val="24"/>
          <w:szCs w:val="24"/>
        </w:rPr>
        <w:t xml:space="preserve"> </w:t>
      </w:r>
      <w:r>
        <w:rPr>
          <w:sz w:val="24"/>
          <w:szCs w:val="24"/>
        </w:rPr>
        <w:t>and resulting diversion of resources from other important issues is being tackled through research into technology-driven solutions. These</w:t>
      </w:r>
      <w:r w:rsidR="00654B4A">
        <w:rPr>
          <w:sz w:val="24"/>
          <w:szCs w:val="24"/>
        </w:rPr>
        <w:t xml:space="preserve"> solutions</w:t>
      </w:r>
      <w:r>
        <w:rPr>
          <w:sz w:val="24"/>
          <w:szCs w:val="24"/>
        </w:rPr>
        <w:t xml:space="preserve"> focus on new technologies that leverage artificial intelligence, automation, internet-connected hardware and smartphones to create solutions for monitoring and enforcing illegal dumping</w:t>
      </w:r>
      <w:r>
        <w:rPr>
          <w:rStyle w:val="FootnoteReference"/>
          <w:sz w:val="24"/>
          <w:szCs w:val="24"/>
        </w:rPr>
        <w:footnoteReference w:id="22"/>
      </w:r>
      <w:r>
        <w:rPr>
          <w:sz w:val="24"/>
          <w:szCs w:val="24"/>
        </w:rPr>
        <w:t xml:space="preserve">. </w:t>
      </w:r>
    </w:p>
    <w:p w14:paraId="59EDAA01" w14:textId="2FE5AE11" w:rsidR="007B74CA" w:rsidRPr="00FE42A8" w:rsidRDefault="00654B4A" w:rsidP="005F7ECC">
      <w:pPr>
        <w:rPr>
          <w:sz w:val="24"/>
          <w:szCs w:val="24"/>
        </w:rPr>
      </w:pPr>
      <w:r>
        <w:rPr>
          <w:sz w:val="24"/>
          <w:szCs w:val="24"/>
        </w:rPr>
        <w:t>All</w:t>
      </w:r>
      <w:r w:rsidR="009C709C">
        <w:rPr>
          <w:sz w:val="24"/>
          <w:szCs w:val="24"/>
        </w:rPr>
        <w:t xml:space="preserve"> these responses are consistent with the approach being proposed </w:t>
      </w:r>
      <w:r>
        <w:rPr>
          <w:sz w:val="24"/>
          <w:szCs w:val="24"/>
        </w:rPr>
        <w:t>for the ACT</w:t>
      </w:r>
      <w:r w:rsidR="009C709C">
        <w:rPr>
          <w:sz w:val="24"/>
          <w:szCs w:val="24"/>
        </w:rPr>
        <w:t xml:space="preserve">, with </w:t>
      </w:r>
      <w:r>
        <w:rPr>
          <w:sz w:val="24"/>
          <w:szCs w:val="24"/>
        </w:rPr>
        <w:t>the</w:t>
      </w:r>
      <w:r w:rsidR="009C709C">
        <w:rPr>
          <w:sz w:val="24"/>
          <w:szCs w:val="24"/>
        </w:rPr>
        <w:t xml:space="preserve"> focus on effective signage and greater use of surveillance technology backed up by enforceable waste legislation.  </w:t>
      </w:r>
    </w:p>
    <w:p w14:paraId="7436593C" w14:textId="77777777" w:rsidR="00FC1439" w:rsidRPr="00FC1439" w:rsidRDefault="00FC1439" w:rsidP="005F7ECC"/>
    <w:p w14:paraId="5C76CF89" w14:textId="208DF0C7" w:rsidR="005C26B0" w:rsidRDefault="00DC1B47" w:rsidP="005F7ECC">
      <w:pPr>
        <w:pStyle w:val="Heading2"/>
      </w:pPr>
      <w:bookmarkStart w:id="98" w:name="_Toc78374707"/>
      <w:bookmarkStart w:id="99" w:name="_Toc79490217"/>
      <w:r>
        <w:t>9</w:t>
      </w:r>
      <w:r w:rsidR="005F7ECC">
        <w:t>.4</w:t>
      </w:r>
      <w:r w:rsidR="005C26B0">
        <w:t xml:space="preserve"> </w:t>
      </w:r>
      <w:r w:rsidR="004A5365">
        <w:tab/>
      </w:r>
      <w:r w:rsidR="005C26B0">
        <w:t>Options</w:t>
      </w:r>
      <w:bookmarkEnd w:id="98"/>
      <w:bookmarkEnd w:id="99"/>
    </w:p>
    <w:p w14:paraId="58733598" w14:textId="77777777" w:rsidR="00865211" w:rsidRDefault="00865211" w:rsidP="005F7ECC">
      <w:pPr>
        <w:rPr>
          <w:sz w:val="24"/>
          <w:szCs w:val="24"/>
        </w:rPr>
      </w:pPr>
      <w:r>
        <w:rPr>
          <w:sz w:val="24"/>
          <w:szCs w:val="24"/>
        </w:rPr>
        <w:t xml:space="preserve">The option to not make changes was considered in relation to the following proposed amendments, but rejected because of the reasons stated: </w:t>
      </w:r>
    </w:p>
    <w:p w14:paraId="56DBEE0C" w14:textId="27B7A7CD" w:rsidR="00865211" w:rsidRDefault="0039556A" w:rsidP="005F7ECC">
      <w:pPr>
        <w:pStyle w:val="ReportList1"/>
      </w:pPr>
      <w:r>
        <w:t>t</w:t>
      </w:r>
      <w:r w:rsidR="00865211">
        <w:t xml:space="preserve">he </w:t>
      </w:r>
      <w:r w:rsidR="00DE6C53">
        <w:t>R</w:t>
      </w:r>
      <w:r w:rsidR="00865211">
        <w:t>egulation could have retained the S</w:t>
      </w:r>
      <w:r w:rsidR="00D67209">
        <w:t xml:space="preserve">13 and 14 provisions requiring persons to know that a waste facility licence holder does not consent to disposal of waste. This was rejected because it limits the </w:t>
      </w:r>
      <w:r w:rsidR="00654B4A">
        <w:t>G</w:t>
      </w:r>
      <w:r w:rsidR="00D67209">
        <w:t>overnment’s confidence in activating offence provisions and issuing infringement notices</w:t>
      </w:r>
      <w:r>
        <w:t>,</w:t>
      </w:r>
      <w:r w:rsidR="00D67209">
        <w:t xml:space="preserve">  </w:t>
      </w:r>
    </w:p>
    <w:p w14:paraId="5EBC37BF" w14:textId="0A600D46" w:rsidR="00DE6C53" w:rsidRDefault="0039556A" w:rsidP="005F7ECC">
      <w:pPr>
        <w:pStyle w:val="ReportList1"/>
      </w:pPr>
      <w:r>
        <w:t>a</w:t>
      </w:r>
      <w:r w:rsidR="00DE6C53">
        <w:t xml:space="preserve">lternative models for staffed RDOCs, or facilities with automated gates which close after hours </w:t>
      </w:r>
      <w:r w:rsidR="005227D7">
        <w:t>have been</w:t>
      </w:r>
      <w:r w:rsidR="00DE6C53">
        <w:t xml:space="preserve"> considered as part of an ACT NoWaste Strategic Waste Infrastructure Planning Project. </w:t>
      </w:r>
      <w:r w:rsidR="0032553B">
        <w:t xml:space="preserve">RDOCs are open 24 hours per day, seven days a week so the proposed options would be prohibitively expensive </w:t>
      </w:r>
      <w:r w:rsidR="004B6505">
        <w:t>and/</w:t>
      </w:r>
      <w:r w:rsidR="0032553B">
        <w:t xml:space="preserve">or </w:t>
      </w:r>
      <w:r w:rsidR="004B6505">
        <w:t xml:space="preserve">require </w:t>
      </w:r>
      <w:r w:rsidR="0032553B">
        <w:t>reduce</w:t>
      </w:r>
      <w:r w:rsidR="004B6505">
        <w:t>d</w:t>
      </w:r>
      <w:r w:rsidR="0032553B">
        <w:t xml:space="preserve"> </w:t>
      </w:r>
      <w:r w:rsidR="00701597">
        <w:t>opening hours</w:t>
      </w:r>
      <w:r w:rsidR="0032553B">
        <w:t xml:space="preserve">. </w:t>
      </w:r>
      <w:r w:rsidR="005227D7">
        <w:t>Staffing RDOCs is not a financially feasible option and automatic gates could result in a member of the public being locked inside.</w:t>
      </w:r>
      <w:r w:rsidR="00DE6C53">
        <w:t xml:space="preserve"> </w:t>
      </w:r>
      <w:r w:rsidR="005227D7">
        <w:t>T</w:t>
      </w:r>
      <w:r w:rsidR="00DE6C53">
        <w:t xml:space="preserve">his means that unstaffed RDOCs will be a feature of the ACT for the </w:t>
      </w:r>
      <w:r w:rsidR="00654B4A">
        <w:t xml:space="preserve">immediate </w:t>
      </w:r>
      <w:r w:rsidR="00DE6C53">
        <w:t xml:space="preserve">future. In this context, </w:t>
      </w:r>
      <w:r w:rsidR="005227D7">
        <w:t>the proposed regulations are a much lower cost option</w:t>
      </w:r>
      <w:r w:rsidR="00A24822">
        <w:t xml:space="preserve"> and would only impact a minority of the community. N</w:t>
      </w:r>
      <w:r w:rsidR="00DE6C53">
        <w:t xml:space="preserve">o other options were </w:t>
      </w:r>
      <w:r w:rsidR="00DE6C53">
        <w:lastRenderedPageBreak/>
        <w:t>available for enabling waste regulators to identify vehicle owners based on number plates</w:t>
      </w:r>
      <w:r>
        <w:t>,</w:t>
      </w:r>
      <w:r w:rsidR="00DE6C53">
        <w:t xml:space="preserve"> </w:t>
      </w:r>
    </w:p>
    <w:p w14:paraId="3E914C28" w14:textId="104008A7" w:rsidR="00865211" w:rsidRDefault="0039556A" w:rsidP="005F7ECC">
      <w:pPr>
        <w:pStyle w:val="ReportList1"/>
      </w:pPr>
      <w:r>
        <w:t>t</w:t>
      </w:r>
      <w:r w:rsidR="00D67209">
        <w:t xml:space="preserve">he offences could be maintained as general offences </w:t>
      </w:r>
      <w:r w:rsidR="00CA7CDC">
        <w:t xml:space="preserve">with no introduction of strict liability offences. </w:t>
      </w:r>
      <w:r w:rsidR="00654B4A">
        <w:t>The</w:t>
      </w:r>
      <w:r w:rsidR="00346A4D">
        <w:t xml:space="preserve"> review of the evidence of health, safety and waste minimisation impacts of apparent offences suggests that the proposed offences pass the required tests for strict liability offences by way of the clari</w:t>
      </w:r>
      <w:r w:rsidR="00654B4A">
        <w:t>t</w:t>
      </w:r>
      <w:r w:rsidR="00346A4D">
        <w:t xml:space="preserve">y around whether they are breached or not. There is also strong evidence of harm being caused </w:t>
      </w:r>
      <w:r w:rsidR="00654B4A">
        <w:t xml:space="preserve">due to the </w:t>
      </w:r>
      <w:r w:rsidR="00346A4D">
        <w:t xml:space="preserve">offences, and public outrage about problems such as illegal dumping at recycling facilities. </w:t>
      </w:r>
      <w:r w:rsidR="00654B4A">
        <w:t>T</w:t>
      </w:r>
      <w:r w:rsidR="00346A4D">
        <w:t xml:space="preserve">hese factors support the </w:t>
      </w:r>
      <w:r w:rsidR="00654B4A">
        <w:t>prop</w:t>
      </w:r>
      <w:r w:rsidR="004A7C5E">
        <w:t xml:space="preserve">osed </w:t>
      </w:r>
      <w:r w:rsidR="00346A4D">
        <w:t>approach of introducing strict liability offences</w:t>
      </w:r>
      <w:r>
        <w:t>,</w:t>
      </w:r>
      <w:r w:rsidR="00346A4D">
        <w:t xml:space="preserve"> </w:t>
      </w:r>
    </w:p>
    <w:p w14:paraId="156F2A60" w14:textId="2176911E" w:rsidR="00CA7CDC" w:rsidRDefault="0039556A" w:rsidP="005F7ECC">
      <w:pPr>
        <w:pStyle w:val="ReportList1"/>
      </w:pPr>
      <w:r>
        <w:t>t</w:t>
      </w:r>
      <w:r w:rsidR="00CA7CDC">
        <w:t>he scale of offences could have been maintained at current levels while being converted to strict liability offences. This was rejected in favour of retaining general offence provisions at the current levels, while introducing new strict liability offences at lower levels. This approach aims to ensure that the new strict liability offences do not increase the public’s level of legal risk consistent with the already established levels for maximum offences</w:t>
      </w:r>
      <w:r>
        <w:t>, and</w:t>
      </w:r>
    </w:p>
    <w:p w14:paraId="087A71B2" w14:textId="7F916D83" w:rsidR="00CA7CDC" w:rsidRDefault="0039556A" w:rsidP="005F7ECC">
      <w:pPr>
        <w:pStyle w:val="ReportList1"/>
      </w:pPr>
      <w:r>
        <w:t>c</w:t>
      </w:r>
      <w:r w:rsidR="00CA7CDC">
        <w:t>onsideration was given to including a requirement for</w:t>
      </w:r>
      <w:r w:rsidR="00D421F5">
        <w:t xml:space="preserve"> displayed</w:t>
      </w:r>
      <w:r w:rsidR="00CA7CDC">
        <w:t xml:space="preserve"> sign</w:t>
      </w:r>
      <w:r w:rsidR="009929AE">
        <w:t>s</w:t>
      </w:r>
      <w:r w:rsidR="00CA7CDC">
        <w:t xml:space="preserve"> to state that it is an offence for a person to contravene </w:t>
      </w:r>
      <w:r w:rsidR="009929AE">
        <w:t>the</w:t>
      </w:r>
      <w:r w:rsidR="00CA7CDC">
        <w:t xml:space="preserve"> sign. </w:t>
      </w:r>
      <w:r w:rsidR="00D421F5">
        <w:t>T</w:t>
      </w:r>
      <w:r w:rsidR="00CA7CDC">
        <w:t xml:space="preserve">his was not included as it may not be practical for all signs at waste facilities to meet this requirement. </w:t>
      </w:r>
    </w:p>
    <w:p w14:paraId="5504ACE2" w14:textId="475A5E49" w:rsidR="005C26B0" w:rsidRDefault="00DC1B47" w:rsidP="005F7ECC">
      <w:pPr>
        <w:pStyle w:val="Heading2"/>
      </w:pPr>
      <w:bookmarkStart w:id="100" w:name="_Toc78374708"/>
      <w:bookmarkStart w:id="101" w:name="_Toc79490218"/>
      <w:r>
        <w:t>9</w:t>
      </w:r>
      <w:r w:rsidR="005F7ECC">
        <w:t>.5</w:t>
      </w:r>
      <w:r w:rsidR="005C26B0">
        <w:t xml:space="preserve"> </w:t>
      </w:r>
      <w:r w:rsidR="004A5365">
        <w:tab/>
      </w:r>
      <w:r w:rsidR="005C26B0">
        <w:t>Summary of amendments</w:t>
      </w:r>
      <w:bookmarkEnd w:id="100"/>
      <w:bookmarkEnd w:id="101"/>
    </w:p>
    <w:p w14:paraId="7E29006E" w14:textId="4C8C471E" w:rsidR="00107A85" w:rsidRDefault="009929AE" w:rsidP="005F7ECC">
      <w:r w:rsidRPr="009929AE">
        <w:rPr>
          <w:sz w:val="24"/>
          <w:szCs w:val="24"/>
        </w:rPr>
        <w:t>In summary, the proposed amendments are as follows</w:t>
      </w:r>
      <w:r>
        <w:t xml:space="preserve">: </w:t>
      </w:r>
    </w:p>
    <w:p w14:paraId="56DCE64D" w14:textId="604A0541" w:rsidR="009929AE" w:rsidRDefault="0039556A" w:rsidP="005F7ECC">
      <w:pPr>
        <w:pStyle w:val="ReportList1"/>
      </w:pPr>
      <w:r>
        <w:t>s</w:t>
      </w:r>
      <w:r w:rsidR="009929AE">
        <w:t xml:space="preserve">ubstitution of several existing offence provisions with new, tiered strict </w:t>
      </w:r>
      <w:r w:rsidR="00D421F5">
        <w:t>liability</w:t>
      </w:r>
      <w:r w:rsidR="009929AE">
        <w:t xml:space="preserve"> offences, set at lower levels to the existing offences and providing reasonable alternatives to the requirement that offenders know that the licensee objects to the offences</w:t>
      </w:r>
      <w:r>
        <w:t>,</w:t>
      </w:r>
      <w:r w:rsidR="009929AE">
        <w:t xml:space="preserve"> </w:t>
      </w:r>
    </w:p>
    <w:p w14:paraId="462DBDBF" w14:textId="0D481504" w:rsidR="00D2740C" w:rsidRDefault="0039556A" w:rsidP="005F7ECC">
      <w:pPr>
        <w:pStyle w:val="ReportList1"/>
      </w:pPr>
      <w:r>
        <w:t>l</w:t>
      </w:r>
      <w:r w:rsidR="009929AE">
        <w:t>ike-for-like replacement of the previous provisions requiring offenders to know that the licensee objects</w:t>
      </w:r>
      <w:r w:rsidR="00D2740C">
        <w:t xml:space="preserve"> with alternative phrasing based on </w:t>
      </w:r>
      <w:r w:rsidR="009929AE">
        <w:t>knowingly committing the offences</w:t>
      </w:r>
      <w:r w:rsidR="00D2740C">
        <w:t>. The scale of these offences is generally equivalent to the existing general offences</w:t>
      </w:r>
      <w:r>
        <w:t>, and</w:t>
      </w:r>
      <w:r w:rsidR="00D2740C">
        <w:t xml:space="preserve"> </w:t>
      </w:r>
    </w:p>
    <w:p w14:paraId="40950D19" w14:textId="47057D5E" w:rsidR="009929AE" w:rsidRDefault="0039556A" w:rsidP="005F7ECC">
      <w:pPr>
        <w:pStyle w:val="ReportList1"/>
      </w:pPr>
      <w:r>
        <w:t>o</w:t>
      </w:r>
      <w:r w:rsidR="00D2740C">
        <w:t xml:space="preserve">ne of the offences in the Regulation is proposed to be raised to a higher maximum penalty. That is the offence of knowingly disposing of regulated waste at a waste facility which does not accept regulated waste. This offence is proposed at this higher level because of the significant costs and risks that can be associated with inappropriate disposal of regulated waste.  </w:t>
      </w:r>
    </w:p>
    <w:p w14:paraId="7D77ED87" w14:textId="56202838" w:rsidR="006A3511" w:rsidRPr="00D2740C" w:rsidRDefault="00D2740C" w:rsidP="005F7ECC">
      <w:pPr>
        <w:rPr>
          <w:sz w:val="24"/>
          <w:szCs w:val="24"/>
        </w:rPr>
      </w:pPr>
      <w:r w:rsidRPr="00D2740C">
        <w:rPr>
          <w:sz w:val="24"/>
          <w:szCs w:val="24"/>
        </w:rPr>
        <w:t>Table 8 presents the full set of existing and proposed offences related to waste facilities</w:t>
      </w:r>
      <w:r w:rsidR="006A3511" w:rsidRPr="00D2740C">
        <w:rPr>
          <w:sz w:val="24"/>
          <w:szCs w:val="24"/>
        </w:rPr>
        <w:t>.</w:t>
      </w:r>
    </w:p>
    <w:p w14:paraId="23691E20" w14:textId="77777777" w:rsidR="00D07223" w:rsidRDefault="00D07223" w:rsidP="005F7ECC"/>
    <w:p w14:paraId="568F4A1D" w14:textId="77777777" w:rsidR="00E51925" w:rsidRDefault="00E51925" w:rsidP="005F7ECC"/>
    <w:p w14:paraId="5B3B65F5" w14:textId="0C07436D" w:rsidR="00E51925" w:rsidRPr="00E51925" w:rsidRDefault="00E51925" w:rsidP="005F7ECC">
      <w:pPr>
        <w:sectPr w:rsidR="00E51925" w:rsidRPr="00E51925">
          <w:pgSz w:w="11906" w:h="16838"/>
          <w:pgMar w:top="1440" w:right="1440" w:bottom="1440" w:left="1440" w:header="708" w:footer="708" w:gutter="0"/>
          <w:cols w:space="708"/>
          <w:docGrid w:linePitch="360"/>
        </w:sectPr>
      </w:pPr>
    </w:p>
    <w:p w14:paraId="73F77A05" w14:textId="1A2626D9" w:rsidR="00DA773B" w:rsidRDefault="00840C92" w:rsidP="005F7ECC">
      <w:pPr>
        <w:pStyle w:val="Caption"/>
      </w:pPr>
      <w:bookmarkStart w:id="102" w:name="_Toc78275038"/>
      <w:r>
        <w:lastRenderedPageBreak/>
        <w:t xml:space="preserve">Table </w:t>
      </w:r>
      <w:r w:rsidR="000150F9">
        <w:fldChar w:fldCharType="begin"/>
      </w:r>
      <w:r w:rsidR="000150F9">
        <w:instrText xml:space="preserve"> SEQ Table \* ARABIC </w:instrText>
      </w:r>
      <w:r w:rsidR="000150F9">
        <w:fldChar w:fldCharType="separate"/>
      </w:r>
      <w:r w:rsidR="002C4D5A">
        <w:rPr>
          <w:noProof/>
        </w:rPr>
        <w:t>8</w:t>
      </w:r>
      <w:r w:rsidR="000150F9">
        <w:rPr>
          <w:noProof/>
        </w:rPr>
        <w:fldChar w:fldCharType="end"/>
      </w:r>
      <w:r>
        <w:t xml:space="preserve"> </w:t>
      </w:r>
      <w:r w:rsidR="00975B0A">
        <w:t xml:space="preserve">Division 4.4 </w:t>
      </w:r>
      <w:r w:rsidRPr="001E025E">
        <w:t xml:space="preserve">Offences related to </w:t>
      </w:r>
      <w:r w:rsidR="00975B0A">
        <w:t>dealing with</w:t>
      </w:r>
      <w:r w:rsidRPr="001E025E">
        <w:t xml:space="preserve"> waste at waste facilit</w:t>
      </w:r>
      <w:bookmarkEnd w:id="102"/>
      <w:r w:rsidR="00975B0A">
        <w:t>ies</w:t>
      </w:r>
    </w:p>
    <w:tbl>
      <w:tblPr>
        <w:tblStyle w:val="GridTable4-Accent1"/>
        <w:tblW w:w="13320" w:type="dxa"/>
        <w:tblLayout w:type="fixed"/>
        <w:tblLook w:val="04A0" w:firstRow="1" w:lastRow="0" w:firstColumn="1" w:lastColumn="0" w:noHBand="0" w:noVBand="1"/>
      </w:tblPr>
      <w:tblGrid>
        <w:gridCol w:w="2830"/>
        <w:gridCol w:w="851"/>
        <w:gridCol w:w="567"/>
        <w:gridCol w:w="3260"/>
        <w:gridCol w:w="851"/>
        <w:gridCol w:w="567"/>
        <w:gridCol w:w="4394"/>
      </w:tblGrid>
      <w:tr w:rsidR="00975B0A" w14:paraId="4406ADE7" w14:textId="77777777" w:rsidTr="00D66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0914B49" w14:textId="32319A2F" w:rsidR="00975B0A" w:rsidRPr="004D2753" w:rsidRDefault="00975B0A" w:rsidP="005F7ECC">
            <w:pPr>
              <w:rPr>
                <w:b w:val="0"/>
                <w:bCs w:val="0"/>
                <w:sz w:val="20"/>
                <w:szCs w:val="20"/>
                <w:lang w:val="en-GB"/>
              </w:rPr>
            </w:pPr>
            <w:r w:rsidRPr="004D2753">
              <w:rPr>
                <w:b w:val="0"/>
                <w:bCs w:val="0"/>
                <w:sz w:val="20"/>
                <w:szCs w:val="20"/>
                <w:lang w:val="en-GB"/>
              </w:rPr>
              <w:t xml:space="preserve">Existing </w:t>
            </w:r>
            <w:r>
              <w:rPr>
                <w:b w:val="0"/>
                <w:bCs w:val="0"/>
                <w:sz w:val="20"/>
                <w:szCs w:val="20"/>
                <w:lang w:val="en-GB"/>
              </w:rPr>
              <w:t xml:space="preserve">clause and </w:t>
            </w:r>
            <w:r w:rsidRPr="004D2753">
              <w:rPr>
                <w:b w:val="0"/>
                <w:bCs w:val="0"/>
                <w:sz w:val="20"/>
                <w:szCs w:val="20"/>
                <w:lang w:val="en-GB"/>
              </w:rPr>
              <w:t>offence</w:t>
            </w:r>
          </w:p>
        </w:tc>
        <w:tc>
          <w:tcPr>
            <w:tcW w:w="851" w:type="dxa"/>
            <w:hideMark/>
          </w:tcPr>
          <w:p w14:paraId="210216D9" w14:textId="77777777" w:rsidR="00975B0A" w:rsidRPr="004D2753" w:rsidRDefault="00975B0A" w:rsidP="005F7ECC">
            <w:pP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4D2753">
              <w:rPr>
                <w:b w:val="0"/>
                <w:bCs w:val="0"/>
                <w:sz w:val="20"/>
                <w:szCs w:val="20"/>
                <w:lang w:val="en-GB"/>
              </w:rPr>
              <w:t>Max penalty units</w:t>
            </w:r>
          </w:p>
        </w:tc>
        <w:tc>
          <w:tcPr>
            <w:tcW w:w="567" w:type="dxa"/>
            <w:hideMark/>
          </w:tcPr>
          <w:p w14:paraId="683348D0" w14:textId="77777777" w:rsidR="00975B0A" w:rsidRPr="004D2753" w:rsidRDefault="00975B0A" w:rsidP="005F7ECC">
            <w:pP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4D2753">
              <w:rPr>
                <w:b w:val="0"/>
                <w:bCs w:val="0"/>
                <w:sz w:val="20"/>
                <w:szCs w:val="20"/>
                <w:lang w:val="en-GB"/>
              </w:rPr>
              <w:t>Strict liability</w:t>
            </w:r>
          </w:p>
        </w:tc>
        <w:tc>
          <w:tcPr>
            <w:tcW w:w="3260" w:type="dxa"/>
            <w:hideMark/>
          </w:tcPr>
          <w:p w14:paraId="127D466E" w14:textId="77777777" w:rsidR="00975B0A" w:rsidRPr="004D2753" w:rsidRDefault="00975B0A" w:rsidP="005F7ECC">
            <w:pP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4D2753">
              <w:rPr>
                <w:b w:val="0"/>
                <w:bCs w:val="0"/>
                <w:sz w:val="20"/>
                <w:szCs w:val="20"/>
                <w:lang w:val="en-GB"/>
              </w:rPr>
              <w:t>Proposed offence</w:t>
            </w:r>
          </w:p>
        </w:tc>
        <w:tc>
          <w:tcPr>
            <w:tcW w:w="851" w:type="dxa"/>
            <w:hideMark/>
          </w:tcPr>
          <w:p w14:paraId="6B03AEE5" w14:textId="77777777" w:rsidR="00975B0A" w:rsidRPr="004D2753" w:rsidRDefault="00975B0A" w:rsidP="005F7ECC">
            <w:pP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4D2753">
              <w:rPr>
                <w:b w:val="0"/>
                <w:bCs w:val="0"/>
                <w:sz w:val="20"/>
                <w:szCs w:val="20"/>
                <w:lang w:val="en-GB"/>
              </w:rPr>
              <w:t>Max penalty</w:t>
            </w:r>
          </w:p>
        </w:tc>
        <w:tc>
          <w:tcPr>
            <w:tcW w:w="567" w:type="dxa"/>
            <w:hideMark/>
          </w:tcPr>
          <w:p w14:paraId="0759653B" w14:textId="77777777" w:rsidR="00975B0A" w:rsidRPr="004D2753" w:rsidRDefault="00975B0A" w:rsidP="005F7ECC">
            <w:pP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4D2753">
              <w:rPr>
                <w:b w:val="0"/>
                <w:bCs w:val="0"/>
                <w:sz w:val="20"/>
                <w:szCs w:val="20"/>
                <w:lang w:val="en-GB"/>
              </w:rPr>
              <w:t>Strict liability</w:t>
            </w:r>
          </w:p>
        </w:tc>
        <w:tc>
          <w:tcPr>
            <w:tcW w:w="4394" w:type="dxa"/>
            <w:hideMark/>
          </w:tcPr>
          <w:p w14:paraId="0B8D3A6A" w14:textId="77777777" w:rsidR="00975B0A" w:rsidRPr="004D2753" w:rsidRDefault="00975B0A" w:rsidP="005F7ECC">
            <w:pP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4D2753">
              <w:rPr>
                <w:b w:val="0"/>
                <w:bCs w:val="0"/>
                <w:sz w:val="20"/>
                <w:szCs w:val="20"/>
                <w:lang w:val="en-GB"/>
              </w:rPr>
              <w:t>Comment</w:t>
            </w:r>
          </w:p>
        </w:tc>
      </w:tr>
      <w:tr w:rsidR="006C5435" w14:paraId="64FF2EF9" w14:textId="77777777" w:rsidTr="00D6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2204A33E" w14:textId="28DEDDD3" w:rsidR="006C5435" w:rsidRPr="006C5435" w:rsidRDefault="006C5435" w:rsidP="006C5435">
            <w:pPr>
              <w:rPr>
                <w:sz w:val="20"/>
                <w:szCs w:val="20"/>
                <w:lang w:val="en-GB"/>
              </w:rPr>
            </w:pPr>
            <w:r w:rsidRPr="006C5435">
              <w:rPr>
                <w:sz w:val="20"/>
                <w:szCs w:val="20"/>
                <w:lang w:val="en-GB"/>
              </w:rPr>
              <w:t>S13 Dispose of regulated waste knowing the licensee does not consent</w:t>
            </w:r>
          </w:p>
        </w:tc>
        <w:tc>
          <w:tcPr>
            <w:tcW w:w="851" w:type="dxa"/>
          </w:tcPr>
          <w:p w14:paraId="26F753DF" w14:textId="6316A456"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30</w:t>
            </w:r>
          </w:p>
        </w:tc>
        <w:tc>
          <w:tcPr>
            <w:tcW w:w="567" w:type="dxa"/>
          </w:tcPr>
          <w:p w14:paraId="79595D63" w14:textId="76F47DF5"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No</w:t>
            </w:r>
          </w:p>
        </w:tc>
        <w:tc>
          <w:tcPr>
            <w:tcW w:w="3260" w:type="dxa"/>
          </w:tcPr>
          <w:p w14:paraId="746094D3" w14:textId="17CAE39B"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13, dispose of regulated waste at facility in contravention of a clearly visible sign</w:t>
            </w:r>
          </w:p>
        </w:tc>
        <w:tc>
          <w:tcPr>
            <w:tcW w:w="851" w:type="dxa"/>
          </w:tcPr>
          <w:p w14:paraId="383A5837" w14:textId="5D8A812E"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10</w:t>
            </w:r>
            <w:r>
              <w:rPr>
                <w:sz w:val="20"/>
                <w:szCs w:val="20"/>
                <w:lang w:val="en-GB"/>
              </w:rPr>
              <w:t xml:space="preserve"> ($300)</w:t>
            </w:r>
          </w:p>
        </w:tc>
        <w:tc>
          <w:tcPr>
            <w:tcW w:w="567" w:type="dxa"/>
          </w:tcPr>
          <w:p w14:paraId="31570FAC" w14:textId="258AB3AE"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Yes</w:t>
            </w:r>
          </w:p>
        </w:tc>
        <w:tc>
          <w:tcPr>
            <w:tcW w:w="4394" w:type="dxa"/>
            <w:vMerge w:val="restart"/>
          </w:tcPr>
          <w:p w14:paraId="0B2B6B2A"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 xml:space="preserve">The current provision is considered un-enforceable as there is no way to prove that a the person disposing of the waste knows whether the licensee consents. </w:t>
            </w:r>
          </w:p>
          <w:p w14:paraId="1BBAE621"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p w14:paraId="6C1B387B"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 xml:space="preserve">The proposed new provisions provide confidence to the Territory and clarity to people disposing of waste, that the rules of conduct at waste facilities apply so long as they are properly signposted. </w:t>
            </w:r>
          </w:p>
          <w:p w14:paraId="6B52C53C"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p w14:paraId="6165870E"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 xml:space="preserve">Most of the proposed new offences are of lower penalty unit value than those in the current regulation, and so this does not increase exposure to regulatory risk. </w:t>
            </w:r>
          </w:p>
          <w:p w14:paraId="0EFB1275"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p w14:paraId="7400FD37" w14:textId="50FFDB55"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The one offence which has a higher penalty unit The maximum penalty has been set at 40pu in line with the maximum allowed under the regulation-making power (Act, s 128 (2) (b)), as this is a more serious offence involving regulated waste. Please also note that this is not a strict liability offence and is therefore not suitable for an infringement notice.</w:t>
            </w:r>
          </w:p>
        </w:tc>
      </w:tr>
      <w:tr w:rsidR="006C5435" w14:paraId="162A255A" w14:textId="77777777" w:rsidTr="00D66373">
        <w:tc>
          <w:tcPr>
            <w:cnfStyle w:val="001000000000" w:firstRow="0" w:lastRow="0" w:firstColumn="1" w:lastColumn="0" w:oddVBand="0" w:evenVBand="0" w:oddHBand="0" w:evenHBand="0" w:firstRowFirstColumn="0" w:firstRowLastColumn="0" w:lastRowFirstColumn="0" w:lastRowLastColumn="0"/>
            <w:tcW w:w="2830" w:type="dxa"/>
            <w:vMerge/>
          </w:tcPr>
          <w:p w14:paraId="789CBC53" w14:textId="77777777" w:rsidR="006C5435" w:rsidRPr="006C5435" w:rsidRDefault="006C5435" w:rsidP="006C5435">
            <w:pPr>
              <w:rPr>
                <w:sz w:val="20"/>
                <w:szCs w:val="20"/>
                <w:lang w:val="en-GB"/>
              </w:rPr>
            </w:pPr>
          </w:p>
        </w:tc>
        <w:tc>
          <w:tcPr>
            <w:tcW w:w="851" w:type="dxa"/>
          </w:tcPr>
          <w:p w14:paraId="2FF1A175"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567" w:type="dxa"/>
          </w:tcPr>
          <w:p w14:paraId="63CBDAB2"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3260" w:type="dxa"/>
          </w:tcPr>
          <w:p w14:paraId="1E91CCA9" w14:textId="69F7DDB2"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S24AD</w:t>
            </w:r>
            <w:r>
              <w:rPr>
                <w:sz w:val="20"/>
                <w:szCs w:val="20"/>
                <w:lang w:val="en-GB"/>
              </w:rPr>
              <w:t>,</w:t>
            </w:r>
            <w:r w:rsidRPr="006C5435">
              <w:rPr>
                <w:sz w:val="20"/>
                <w:szCs w:val="20"/>
                <w:lang w:val="en-GB"/>
              </w:rPr>
              <w:t xml:space="preserve"> knowingly dispose of regulated waste at facility which doesn’t accept it</w:t>
            </w:r>
          </w:p>
        </w:tc>
        <w:tc>
          <w:tcPr>
            <w:tcW w:w="851" w:type="dxa"/>
          </w:tcPr>
          <w:p w14:paraId="5A653BBF" w14:textId="01F47D26"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40</w:t>
            </w:r>
            <w:r>
              <w:rPr>
                <w:sz w:val="20"/>
                <w:szCs w:val="20"/>
                <w:lang w:val="en-GB"/>
              </w:rPr>
              <w:t xml:space="preserve"> (up to $6,400)</w:t>
            </w:r>
          </w:p>
        </w:tc>
        <w:tc>
          <w:tcPr>
            <w:tcW w:w="567" w:type="dxa"/>
          </w:tcPr>
          <w:p w14:paraId="78B1EBBF" w14:textId="1B71C6F1"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No</w:t>
            </w:r>
          </w:p>
        </w:tc>
        <w:tc>
          <w:tcPr>
            <w:tcW w:w="4394" w:type="dxa"/>
            <w:vMerge/>
          </w:tcPr>
          <w:p w14:paraId="5CADE4AA" w14:textId="5AFBDBC8"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6C5435" w14:paraId="792BACA9" w14:textId="77777777" w:rsidTr="00D6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4A13583B" w14:textId="77777777" w:rsidR="006C5435" w:rsidRPr="006C5435" w:rsidRDefault="006C5435" w:rsidP="006C5435">
            <w:pPr>
              <w:rPr>
                <w:sz w:val="20"/>
                <w:szCs w:val="20"/>
                <w:lang w:val="en-GB"/>
              </w:rPr>
            </w:pPr>
          </w:p>
        </w:tc>
        <w:tc>
          <w:tcPr>
            <w:tcW w:w="851" w:type="dxa"/>
          </w:tcPr>
          <w:p w14:paraId="632CB256" w14:textId="77777777"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567" w:type="dxa"/>
          </w:tcPr>
          <w:p w14:paraId="44C28474" w14:textId="77777777"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3260" w:type="dxa"/>
          </w:tcPr>
          <w:p w14:paraId="75602F9A" w14:textId="76E9BE80"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S24AE, 1-2 disposing of regulated waste in a container at a waste facility in contravention of a sign that states an offence</w:t>
            </w:r>
          </w:p>
        </w:tc>
        <w:tc>
          <w:tcPr>
            <w:tcW w:w="851" w:type="dxa"/>
          </w:tcPr>
          <w:p w14:paraId="060F2282" w14:textId="003E3921"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20</w:t>
            </w:r>
            <w:r>
              <w:rPr>
                <w:sz w:val="20"/>
                <w:szCs w:val="20"/>
                <w:lang w:val="en-GB"/>
              </w:rPr>
              <w:t xml:space="preserve"> ($600)</w:t>
            </w:r>
          </w:p>
        </w:tc>
        <w:tc>
          <w:tcPr>
            <w:tcW w:w="567" w:type="dxa"/>
          </w:tcPr>
          <w:p w14:paraId="0DAB7693" w14:textId="6E224794"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Yes</w:t>
            </w:r>
          </w:p>
        </w:tc>
        <w:tc>
          <w:tcPr>
            <w:tcW w:w="4394" w:type="dxa"/>
            <w:vMerge/>
          </w:tcPr>
          <w:p w14:paraId="05F0925D" w14:textId="76937442"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6C5435" w14:paraId="4E25D8A7" w14:textId="77777777" w:rsidTr="00D66373">
        <w:tc>
          <w:tcPr>
            <w:cnfStyle w:val="001000000000" w:firstRow="0" w:lastRow="0" w:firstColumn="1" w:lastColumn="0" w:oddVBand="0" w:evenVBand="0" w:oddHBand="0" w:evenHBand="0" w:firstRowFirstColumn="0" w:firstRowLastColumn="0" w:lastRowFirstColumn="0" w:lastRowLastColumn="0"/>
            <w:tcW w:w="2830" w:type="dxa"/>
            <w:vMerge w:val="restart"/>
            <w:hideMark/>
          </w:tcPr>
          <w:p w14:paraId="2C290CC4" w14:textId="77777777" w:rsidR="006C5435" w:rsidRPr="006C5435" w:rsidRDefault="006C5435" w:rsidP="006C5435">
            <w:pPr>
              <w:rPr>
                <w:sz w:val="20"/>
                <w:szCs w:val="20"/>
                <w:lang w:val="en-GB"/>
              </w:rPr>
            </w:pPr>
            <w:r w:rsidRPr="006C5435">
              <w:rPr>
                <w:sz w:val="20"/>
                <w:szCs w:val="20"/>
                <w:lang w:val="en-GB"/>
              </w:rPr>
              <w:t xml:space="preserve">14 Unauthorised conduct at waste facility where the person knows the licensee doesn’t consent to the conduct </w:t>
            </w:r>
          </w:p>
          <w:p w14:paraId="28F3088B" w14:textId="77777777" w:rsidR="006C5435" w:rsidRPr="006C5435" w:rsidRDefault="006C5435" w:rsidP="006C5435">
            <w:pPr>
              <w:rPr>
                <w:rFonts w:ascii="Calibri" w:hAnsi="Calibri" w:cs="Calibri"/>
                <w:sz w:val="20"/>
                <w:szCs w:val="20"/>
                <w:lang w:val="en-GB"/>
              </w:rPr>
            </w:pPr>
          </w:p>
        </w:tc>
        <w:tc>
          <w:tcPr>
            <w:tcW w:w="851" w:type="dxa"/>
            <w:vMerge w:val="restart"/>
            <w:hideMark/>
          </w:tcPr>
          <w:p w14:paraId="0E9B8A20"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567" w:type="dxa"/>
            <w:vMerge w:val="restart"/>
            <w:hideMark/>
          </w:tcPr>
          <w:p w14:paraId="000EB380"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3260" w:type="dxa"/>
            <w:hideMark/>
          </w:tcPr>
          <w:p w14:paraId="4F08E45E" w14:textId="6500F80A"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S24AE(3)</w:t>
            </w:r>
            <w:r>
              <w:rPr>
                <w:sz w:val="20"/>
                <w:szCs w:val="20"/>
                <w:lang w:val="en-GB"/>
              </w:rPr>
              <w:t>,</w:t>
            </w:r>
            <w:r w:rsidRPr="006C5435">
              <w:rPr>
                <w:sz w:val="20"/>
                <w:szCs w:val="20"/>
                <w:lang w:val="en-GB"/>
              </w:rPr>
              <w:t xml:space="preserve"> remove, alter or cover a sign near a waste container without consent</w:t>
            </w:r>
          </w:p>
        </w:tc>
        <w:tc>
          <w:tcPr>
            <w:tcW w:w="851" w:type="dxa"/>
            <w:hideMark/>
          </w:tcPr>
          <w:p w14:paraId="232DC873" w14:textId="0D8E508E"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5</w:t>
            </w:r>
            <w:r>
              <w:rPr>
                <w:sz w:val="20"/>
                <w:szCs w:val="20"/>
                <w:lang w:val="en-GB"/>
              </w:rPr>
              <w:t xml:space="preserve"> ($150)</w:t>
            </w:r>
          </w:p>
        </w:tc>
        <w:tc>
          <w:tcPr>
            <w:tcW w:w="567" w:type="dxa"/>
            <w:hideMark/>
          </w:tcPr>
          <w:p w14:paraId="2E6FA890"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Yes</w:t>
            </w:r>
          </w:p>
        </w:tc>
        <w:tc>
          <w:tcPr>
            <w:tcW w:w="4394" w:type="dxa"/>
            <w:vMerge/>
            <w:hideMark/>
          </w:tcPr>
          <w:p w14:paraId="0CA26C6A"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6C5435" w14:paraId="292D65B0" w14:textId="77777777" w:rsidTr="00D6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tcPr>
          <w:p w14:paraId="2DCA72F0" w14:textId="77777777" w:rsidR="006C5435" w:rsidRPr="006C5435" w:rsidRDefault="006C5435" w:rsidP="006C5435">
            <w:pPr>
              <w:rPr>
                <w:rFonts w:ascii="Calibri" w:hAnsi="Calibri" w:cs="Calibri"/>
                <w:sz w:val="20"/>
                <w:szCs w:val="20"/>
                <w:lang w:val="en-GB"/>
              </w:rPr>
            </w:pPr>
          </w:p>
        </w:tc>
        <w:tc>
          <w:tcPr>
            <w:tcW w:w="851" w:type="dxa"/>
            <w:vMerge/>
          </w:tcPr>
          <w:p w14:paraId="4AA8303D" w14:textId="77777777"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567" w:type="dxa"/>
            <w:vMerge/>
          </w:tcPr>
          <w:p w14:paraId="314F5FD7" w14:textId="77777777"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3260" w:type="dxa"/>
          </w:tcPr>
          <w:p w14:paraId="4D1C801D" w14:textId="71387391"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14(1)</w:t>
            </w:r>
            <w:r>
              <w:rPr>
                <w:sz w:val="20"/>
                <w:szCs w:val="20"/>
                <w:lang w:val="en-GB"/>
              </w:rPr>
              <w:t>,</w:t>
            </w:r>
            <w:r w:rsidRPr="006C5435">
              <w:rPr>
                <w:sz w:val="20"/>
                <w:szCs w:val="20"/>
                <w:lang w:val="en-GB"/>
              </w:rPr>
              <w:t xml:space="preserve"> contaminates waste in a waste facility and makes the waste unsuitable for its intended waste processing</w:t>
            </w:r>
          </w:p>
        </w:tc>
        <w:tc>
          <w:tcPr>
            <w:tcW w:w="851" w:type="dxa"/>
          </w:tcPr>
          <w:p w14:paraId="596BBD8A" w14:textId="28D5774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10 ($300)</w:t>
            </w:r>
          </w:p>
        </w:tc>
        <w:tc>
          <w:tcPr>
            <w:tcW w:w="567" w:type="dxa"/>
          </w:tcPr>
          <w:p w14:paraId="15532B48" w14:textId="6BA5DE1B"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Yes</w:t>
            </w:r>
          </w:p>
        </w:tc>
        <w:tc>
          <w:tcPr>
            <w:tcW w:w="4394" w:type="dxa"/>
            <w:vMerge/>
          </w:tcPr>
          <w:p w14:paraId="32B01BF5"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6C5435" w14:paraId="2DC84403" w14:textId="77777777" w:rsidTr="00D66373">
        <w:tc>
          <w:tcPr>
            <w:cnfStyle w:val="001000000000" w:firstRow="0" w:lastRow="0" w:firstColumn="1" w:lastColumn="0" w:oddVBand="0" w:evenVBand="0" w:oddHBand="0" w:evenHBand="0" w:firstRowFirstColumn="0" w:firstRowLastColumn="0" w:lastRowFirstColumn="0" w:lastRowLastColumn="0"/>
            <w:tcW w:w="2830" w:type="dxa"/>
            <w:vMerge/>
            <w:hideMark/>
          </w:tcPr>
          <w:p w14:paraId="6EAA85E1" w14:textId="77777777" w:rsidR="006C5435" w:rsidRPr="006C5435" w:rsidRDefault="006C5435" w:rsidP="006C5435">
            <w:pPr>
              <w:rPr>
                <w:rFonts w:ascii="Calibri" w:hAnsi="Calibri" w:cs="Calibri"/>
                <w:sz w:val="20"/>
                <w:szCs w:val="20"/>
                <w:lang w:val="en-GB"/>
              </w:rPr>
            </w:pPr>
          </w:p>
        </w:tc>
        <w:tc>
          <w:tcPr>
            <w:tcW w:w="851" w:type="dxa"/>
            <w:vMerge/>
            <w:hideMark/>
          </w:tcPr>
          <w:p w14:paraId="1EDEEE6B"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567" w:type="dxa"/>
            <w:vMerge/>
            <w:hideMark/>
          </w:tcPr>
          <w:p w14:paraId="696D4514"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3260" w:type="dxa"/>
            <w:hideMark/>
          </w:tcPr>
          <w:p w14:paraId="1FFFF1AD" w14:textId="1DB67D03"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14(2b)</w:t>
            </w:r>
            <w:r>
              <w:rPr>
                <w:sz w:val="20"/>
                <w:szCs w:val="20"/>
                <w:lang w:val="en-GB"/>
              </w:rPr>
              <w:t>,</w:t>
            </w:r>
            <w:r w:rsidRPr="006C5435">
              <w:rPr>
                <w:sz w:val="20"/>
                <w:szCs w:val="20"/>
                <w:lang w:val="en-GB"/>
              </w:rPr>
              <w:t xml:space="preserve"> Removing waste from a container</w:t>
            </w:r>
          </w:p>
        </w:tc>
        <w:tc>
          <w:tcPr>
            <w:tcW w:w="851" w:type="dxa"/>
            <w:hideMark/>
          </w:tcPr>
          <w:p w14:paraId="38E7326B" w14:textId="19D7881C"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5 ($150)</w:t>
            </w:r>
          </w:p>
        </w:tc>
        <w:tc>
          <w:tcPr>
            <w:tcW w:w="567" w:type="dxa"/>
            <w:hideMark/>
          </w:tcPr>
          <w:p w14:paraId="18861208"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Yes</w:t>
            </w:r>
          </w:p>
        </w:tc>
        <w:tc>
          <w:tcPr>
            <w:tcW w:w="4394" w:type="dxa"/>
            <w:vMerge/>
            <w:hideMark/>
          </w:tcPr>
          <w:p w14:paraId="6A6E8A9B"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6C5435" w14:paraId="7E30B3C3" w14:textId="77777777" w:rsidTr="00D6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hideMark/>
          </w:tcPr>
          <w:p w14:paraId="6D3DA47B" w14:textId="77777777" w:rsidR="006C5435" w:rsidRPr="006C5435" w:rsidRDefault="006C5435" w:rsidP="006C5435">
            <w:pPr>
              <w:rPr>
                <w:rFonts w:ascii="Calibri" w:hAnsi="Calibri" w:cs="Calibri"/>
                <w:sz w:val="20"/>
                <w:szCs w:val="20"/>
                <w:lang w:val="en-GB"/>
              </w:rPr>
            </w:pPr>
          </w:p>
        </w:tc>
        <w:tc>
          <w:tcPr>
            <w:tcW w:w="851" w:type="dxa"/>
            <w:vMerge/>
            <w:hideMark/>
          </w:tcPr>
          <w:p w14:paraId="70DBF000" w14:textId="77777777"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567" w:type="dxa"/>
            <w:vMerge/>
            <w:hideMark/>
          </w:tcPr>
          <w:p w14:paraId="409330CD" w14:textId="77777777"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3260" w:type="dxa"/>
            <w:hideMark/>
          </w:tcPr>
          <w:p w14:paraId="69C40B9A" w14:textId="7CE68EF6"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14(2c)</w:t>
            </w:r>
            <w:r>
              <w:rPr>
                <w:sz w:val="20"/>
                <w:szCs w:val="20"/>
                <w:lang w:val="en-GB"/>
              </w:rPr>
              <w:t>,</w:t>
            </w:r>
            <w:r w:rsidRPr="006C5435">
              <w:rPr>
                <w:sz w:val="20"/>
                <w:szCs w:val="20"/>
                <w:lang w:val="en-GB"/>
              </w:rPr>
              <w:t xml:space="preserve"> Damage or alter waste container</w:t>
            </w:r>
          </w:p>
        </w:tc>
        <w:tc>
          <w:tcPr>
            <w:tcW w:w="851" w:type="dxa"/>
            <w:hideMark/>
          </w:tcPr>
          <w:p w14:paraId="20FDF8B3" w14:textId="15196974"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5</w:t>
            </w:r>
            <w:r>
              <w:rPr>
                <w:sz w:val="20"/>
                <w:szCs w:val="20"/>
                <w:lang w:val="en-GB"/>
              </w:rPr>
              <w:t xml:space="preserve"> ($150)</w:t>
            </w:r>
          </w:p>
        </w:tc>
        <w:tc>
          <w:tcPr>
            <w:tcW w:w="567" w:type="dxa"/>
            <w:hideMark/>
          </w:tcPr>
          <w:p w14:paraId="4A3AB821"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Yes</w:t>
            </w:r>
          </w:p>
        </w:tc>
        <w:tc>
          <w:tcPr>
            <w:tcW w:w="4394" w:type="dxa"/>
            <w:vMerge/>
            <w:hideMark/>
          </w:tcPr>
          <w:p w14:paraId="49B6A04E"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6C5435" w14:paraId="2BA0BB59" w14:textId="77777777" w:rsidTr="00D66373">
        <w:tc>
          <w:tcPr>
            <w:cnfStyle w:val="001000000000" w:firstRow="0" w:lastRow="0" w:firstColumn="1" w:lastColumn="0" w:oddVBand="0" w:evenVBand="0" w:oddHBand="0" w:evenHBand="0" w:firstRowFirstColumn="0" w:firstRowLastColumn="0" w:lastRowFirstColumn="0" w:lastRowLastColumn="0"/>
            <w:tcW w:w="2830" w:type="dxa"/>
            <w:vMerge/>
            <w:hideMark/>
          </w:tcPr>
          <w:p w14:paraId="5375555C" w14:textId="77777777" w:rsidR="006C5435" w:rsidRPr="006C5435" w:rsidRDefault="006C5435" w:rsidP="006C5435">
            <w:pPr>
              <w:rPr>
                <w:rFonts w:ascii="Calibri" w:hAnsi="Calibri" w:cs="Calibri"/>
                <w:sz w:val="20"/>
                <w:szCs w:val="20"/>
                <w:lang w:val="en-GB"/>
              </w:rPr>
            </w:pPr>
          </w:p>
        </w:tc>
        <w:tc>
          <w:tcPr>
            <w:tcW w:w="851" w:type="dxa"/>
            <w:vMerge/>
            <w:hideMark/>
          </w:tcPr>
          <w:p w14:paraId="5758902C"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567" w:type="dxa"/>
            <w:vMerge/>
            <w:hideMark/>
          </w:tcPr>
          <w:p w14:paraId="7B9FDB72" w14:textId="7777777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3260" w:type="dxa"/>
            <w:hideMark/>
          </w:tcPr>
          <w:p w14:paraId="3EB2A118" w14:textId="34078062"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24AG</w:t>
            </w:r>
            <w:r>
              <w:rPr>
                <w:sz w:val="20"/>
                <w:szCs w:val="20"/>
                <w:lang w:val="en-GB"/>
              </w:rPr>
              <w:t>,</w:t>
            </w:r>
            <w:r w:rsidRPr="006C5435">
              <w:rPr>
                <w:sz w:val="20"/>
                <w:szCs w:val="20"/>
                <w:lang w:val="en-GB"/>
              </w:rPr>
              <w:t xml:space="preserve"> failure to comply with a direction at waste facility</w:t>
            </w:r>
          </w:p>
        </w:tc>
        <w:tc>
          <w:tcPr>
            <w:tcW w:w="851" w:type="dxa"/>
            <w:hideMark/>
          </w:tcPr>
          <w:p w14:paraId="65DAF926" w14:textId="1B3F814E"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10</w:t>
            </w:r>
            <w:r>
              <w:rPr>
                <w:sz w:val="20"/>
                <w:szCs w:val="20"/>
                <w:lang w:val="en-GB"/>
              </w:rPr>
              <w:t xml:space="preserve"> ($300)</w:t>
            </w:r>
          </w:p>
        </w:tc>
        <w:tc>
          <w:tcPr>
            <w:tcW w:w="567" w:type="dxa"/>
            <w:hideMark/>
          </w:tcPr>
          <w:p w14:paraId="1C950212"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4D2753">
              <w:rPr>
                <w:sz w:val="20"/>
                <w:szCs w:val="20"/>
                <w:lang w:val="en-GB"/>
              </w:rPr>
              <w:t>Yes</w:t>
            </w:r>
          </w:p>
        </w:tc>
        <w:tc>
          <w:tcPr>
            <w:tcW w:w="4394" w:type="dxa"/>
            <w:vMerge/>
            <w:hideMark/>
          </w:tcPr>
          <w:p w14:paraId="1B7D2929"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6C5435" w14:paraId="1EB4E9F6" w14:textId="77777777" w:rsidTr="00D6637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830" w:type="dxa"/>
            <w:hideMark/>
          </w:tcPr>
          <w:p w14:paraId="3A8A84A7" w14:textId="1A930944" w:rsidR="006C5435" w:rsidRPr="006C5435" w:rsidRDefault="006C5435" w:rsidP="006C5435">
            <w:pPr>
              <w:rPr>
                <w:rFonts w:ascii="Calibri" w:hAnsi="Calibri" w:cs="Calibri"/>
                <w:sz w:val="20"/>
                <w:szCs w:val="20"/>
                <w:lang w:val="en-GB"/>
              </w:rPr>
            </w:pPr>
            <w:r w:rsidRPr="006C5435">
              <w:rPr>
                <w:rFonts w:ascii="Calibri" w:hAnsi="Calibri" w:cs="Calibri"/>
                <w:sz w:val="20"/>
                <w:szCs w:val="20"/>
                <w:lang w:val="en-GB"/>
              </w:rPr>
              <w:t>15 Waste Transporter must comply with directions etc at waste facility</w:t>
            </w:r>
          </w:p>
        </w:tc>
        <w:tc>
          <w:tcPr>
            <w:tcW w:w="851" w:type="dxa"/>
            <w:hideMark/>
          </w:tcPr>
          <w:p w14:paraId="6F0FCDE9" w14:textId="4F8E61D5"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5435">
              <w:rPr>
                <w:rFonts w:ascii="Calibri" w:hAnsi="Calibri" w:cs="Calibri"/>
                <w:sz w:val="20"/>
                <w:szCs w:val="20"/>
                <w:lang w:val="en-GB"/>
              </w:rPr>
              <w:t>10</w:t>
            </w:r>
          </w:p>
        </w:tc>
        <w:tc>
          <w:tcPr>
            <w:tcW w:w="567" w:type="dxa"/>
            <w:hideMark/>
          </w:tcPr>
          <w:p w14:paraId="4C5B5C47" w14:textId="16A9E5BB"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5435">
              <w:rPr>
                <w:rFonts w:ascii="Calibri" w:hAnsi="Calibri" w:cs="Calibri"/>
                <w:sz w:val="20"/>
                <w:szCs w:val="20"/>
                <w:lang w:val="en-GB"/>
              </w:rPr>
              <w:t>No</w:t>
            </w:r>
          </w:p>
        </w:tc>
        <w:tc>
          <w:tcPr>
            <w:tcW w:w="3260" w:type="dxa"/>
            <w:hideMark/>
          </w:tcPr>
          <w:p w14:paraId="67EFFAB7" w14:textId="1ED503C0" w:rsidR="006C5435" w:rsidRPr="006C5435"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6C5435">
              <w:rPr>
                <w:sz w:val="20"/>
                <w:szCs w:val="20"/>
                <w:lang w:val="en-GB"/>
              </w:rPr>
              <w:t>15</w:t>
            </w:r>
            <w:r>
              <w:rPr>
                <w:sz w:val="20"/>
                <w:szCs w:val="20"/>
                <w:lang w:val="en-GB"/>
              </w:rPr>
              <w:t>,</w:t>
            </w:r>
            <w:r w:rsidRPr="006C5435">
              <w:rPr>
                <w:sz w:val="20"/>
                <w:szCs w:val="20"/>
                <w:lang w:val="en-GB"/>
              </w:rPr>
              <w:t xml:space="preserve"> Waste transporter must give information about waste being disposed of.</w:t>
            </w:r>
          </w:p>
        </w:tc>
        <w:tc>
          <w:tcPr>
            <w:tcW w:w="851" w:type="dxa"/>
            <w:hideMark/>
          </w:tcPr>
          <w:p w14:paraId="7C722009" w14:textId="1A1AC2FC"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highlight w:val="yellow"/>
                <w:lang w:val="en-GB"/>
              </w:rPr>
            </w:pPr>
            <w:r w:rsidRPr="004D2753">
              <w:rPr>
                <w:sz w:val="20"/>
                <w:szCs w:val="20"/>
                <w:lang w:val="en-GB"/>
              </w:rPr>
              <w:t>10</w:t>
            </w:r>
            <w:r>
              <w:rPr>
                <w:sz w:val="20"/>
                <w:szCs w:val="20"/>
                <w:lang w:val="en-GB"/>
              </w:rPr>
              <w:t xml:space="preserve"> ($300)</w:t>
            </w:r>
          </w:p>
        </w:tc>
        <w:tc>
          <w:tcPr>
            <w:tcW w:w="567" w:type="dxa"/>
            <w:hideMark/>
          </w:tcPr>
          <w:p w14:paraId="4143E624"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highlight w:val="yellow"/>
                <w:lang w:val="en-GB"/>
              </w:rPr>
            </w:pPr>
            <w:r w:rsidRPr="004D2753">
              <w:rPr>
                <w:sz w:val="20"/>
                <w:szCs w:val="20"/>
                <w:lang w:val="en-GB"/>
              </w:rPr>
              <w:t>Yes</w:t>
            </w:r>
          </w:p>
        </w:tc>
        <w:tc>
          <w:tcPr>
            <w:tcW w:w="4394" w:type="dxa"/>
            <w:hideMark/>
          </w:tcPr>
          <w:p w14:paraId="64E0CA11" w14:textId="6091D1ED"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Pr>
                <w:rFonts w:ascii="Calibri" w:hAnsi="Calibri" w:cs="Calibri"/>
                <w:sz w:val="20"/>
                <w:szCs w:val="20"/>
                <w:lang w:val="en-GB"/>
              </w:rPr>
              <w:t xml:space="preserve">This new offence will ensure that waste facility operators can obtain information about material brought to them. </w:t>
            </w:r>
          </w:p>
        </w:tc>
      </w:tr>
      <w:tr w:rsidR="006C5435" w14:paraId="764611DC" w14:textId="77777777" w:rsidTr="00D66373">
        <w:tc>
          <w:tcPr>
            <w:cnfStyle w:val="001000000000" w:firstRow="0" w:lastRow="0" w:firstColumn="1" w:lastColumn="0" w:oddVBand="0" w:evenVBand="0" w:oddHBand="0" w:evenHBand="0" w:firstRowFirstColumn="0" w:firstRowLastColumn="0" w:lastRowFirstColumn="0" w:lastRowLastColumn="0"/>
            <w:tcW w:w="2830" w:type="dxa"/>
            <w:vMerge w:val="restart"/>
          </w:tcPr>
          <w:p w14:paraId="5B05EC7C" w14:textId="5C374594" w:rsidR="006C5435" w:rsidRPr="006C5435" w:rsidRDefault="006C5435" w:rsidP="006C5435">
            <w:pPr>
              <w:rPr>
                <w:sz w:val="20"/>
                <w:szCs w:val="20"/>
                <w:lang w:val="en-GB"/>
              </w:rPr>
            </w:pPr>
            <w:r w:rsidRPr="006C5435">
              <w:rPr>
                <w:sz w:val="20"/>
                <w:szCs w:val="20"/>
                <w:lang w:val="en-GB"/>
              </w:rPr>
              <w:t>16 Waste escaping from a vehicle</w:t>
            </w:r>
          </w:p>
        </w:tc>
        <w:tc>
          <w:tcPr>
            <w:tcW w:w="851" w:type="dxa"/>
          </w:tcPr>
          <w:p w14:paraId="0D4E2F89" w14:textId="5BE730D7"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20</w:t>
            </w:r>
          </w:p>
        </w:tc>
        <w:tc>
          <w:tcPr>
            <w:tcW w:w="567" w:type="dxa"/>
          </w:tcPr>
          <w:p w14:paraId="0B82501F" w14:textId="528F2CA3"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No</w:t>
            </w:r>
          </w:p>
        </w:tc>
        <w:tc>
          <w:tcPr>
            <w:tcW w:w="3260" w:type="dxa"/>
            <w:hideMark/>
          </w:tcPr>
          <w:p w14:paraId="21487554" w14:textId="6CFD8F8D" w:rsidR="006C5435" w:rsidRP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sidRPr="006C5435">
              <w:rPr>
                <w:sz w:val="20"/>
                <w:szCs w:val="20"/>
                <w:lang w:val="en-GB"/>
              </w:rPr>
              <w:t>24A</w:t>
            </w:r>
            <w:r>
              <w:rPr>
                <w:sz w:val="20"/>
                <w:szCs w:val="20"/>
                <w:lang w:val="en-GB"/>
              </w:rPr>
              <w:t>,</w:t>
            </w:r>
            <w:r w:rsidRPr="006C5435">
              <w:rPr>
                <w:sz w:val="20"/>
                <w:szCs w:val="20"/>
                <w:lang w:val="en-GB"/>
              </w:rPr>
              <w:t xml:space="preserve">I Vehicle related offences at waste facilities – certain listed offences are taken to involve a vehicle for the purpose of provision </w:t>
            </w:r>
            <w:r w:rsidRPr="006C5435">
              <w:rPr>
                <w:sz w:val="20"/>
                <w:szCs w:val="20"/>
                <w:lang w:val="en-GB"/>
              </w:rPr>
              <w:lastRenderedPageBreak/>
              <w:t xml:space="preserve">for vehicles related offences in the Magistrates Court Act </w:t>
            </w:r>
          </w:p>
        </w:tc>
        <w:tc>
          <w:tcPr>
            <w:tcW w:w="851" w:type="dxa"/>
          </w:tcPr>
          <w:p w14:paraId="73C9D69A"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567" w:type="dxa"/>
          </w:tcPr>
          <w:p w14:paraId="213ACFE7" w14:textId="77777777" w:rsidR="006C5435" w:rsidRPr="004D2753"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394" w:type="dxa"/>
          </w:tcPr>
          <w:p w14:paraId="753D4A78" w14:textId="77777777" w:rsidR="006C5435" w:rsidRDefault="006C5435" w:rsidP="006C5435">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Offences relate to:</w:t>
            </w:r>
          </w:p>
          <w:p w14:paraId="45ECBD50" w14:textId="77777777" w:rsidR="006C5435" w:rsidRDefault="006C5435" w:rsidP="006C5435">
            <w:pPr>
              <w:pStyle w:val="ListParagraph"/>
              <w:numPr>
                <w:ilvl w:val="0"/>
                <w:numId w:val="46"/>
              </w:numPr>
              <w:ind w:left="179" w:hanging="218"/>
              <w:cnfStyle w:val="000000000000" w:firstRow="0" w:lastRow="0" w:firstColumn="0" w:lastColumn="0" w:oddVBand="0" w:evenVBand="0" w:oddHBand="0" w:evenHBand="0" w:firstRowFirstColumn="0" w:firstRowLastColumn="0" w:lastRowFirstColumn="0" w:lastRowLastColumn="0"/>
              <w:rPr>
                <w:sz w:val="20"/>
                <w:szCs w:val="20"/>
                <w:lang w:val="en-GB"/>
              </w:rPr>
            </w:pPr>
            <w:r w:rsidRPr="000239CF">
              <w:rPr>
                <w:sz w:val="20"/>
                <w:szCs w:val="20"/>
                <w:lang w:val="en-GB"/>
              </w:rPr>
              <w:t>24AC(1) disposal of regulated waste</w:t>
            </w:r>
            <w:r>
              <w:rPr>
                <w:sz w:val="20"/>
                <w:szCs w:val="20"/>
                <w:lang w:val="en-GB"/>
              </w:rPr>
              <w:t xml:space="preserve">, </w:t>
            </w:r>
          </w:p>
          <w:p w14:paraId="081914C4" w14:textId="77777777" w:rsidR="006C5435" w:rsidRDefault="006C5435" w:rsidP="006C5435">
            <w:pPr>
              <w:pStyle w:val="ListParagraph"/>
              <w:numPr>
                <w:ilvl w:val="0"/>
                <w:numId w:val="46"/>
              </w:numPr>
              <w:ind w:left="179" w:hanging="218"/>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24AE(1) or (3) Disposal of waste in contravention of a sign, </w:t>
            </w:r>
          </w:p>
          <w:p w14:paraId="1946DB7A" w14:textId="77777777" w:rsidR="006C5435" w:rsidRDefault="006C5435" w:rsidP="006C5435">
            <w:pPr>
              <w:pStyle w:val="ListParagraph"/>
              <w:numPr>
                <w:ilvl w:val="0"/>
                <w:numId w:val="46"/>
              </w:numPr>
              <w:ind w:left="179" w:hanging="218"/>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 xml:space="preserve">24AF(1), (2a), (2b) or (2c) Interfering with waste </w:t>
            </w:r>
          </w:p>
          <w:p w14:paraId="6846916E" w14:textId="2B689738" w:rsidR="006C5435" w:rsidRPr="000239CF" w:rsidRDefault="006C5435" w:rsidP="006C5435">
            <w:pPr>
              <w:pStyle w:val="ListParagraph"/>
              <w:numPr>
                <w:ilvl w:val="0"/>
                <w:numId w:val="46"/>
              </w:numPr>
              <w:ind w:left="179" w:hanging="218"/>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lastRenderedPageBreak/>
              <w:t xml:space="preserve">24AG(1) Failure to comply with a direction. </w:t>
            </w:r>
          </w:p>
        </w:tc>
      </w:tr>
      <w:tr w:rsidR="006C5435" w14:paraId="4E8AB39C" w14:textId="77777777" w:rsidTr="00D66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hideMark/>
          </w:tcPr>
          <w:p w14:paraId="101A3CEF" w14:textId="7B7F42EC" w:rsidR="006C5435" w:rsidRPr="004D2753" w:rsidRDefault="006C5435" w:rsidP="006C5435">
            <w:pPr>
              <w:rPr>
                <w:sz w:val="20"/>
                <w:szCs w:val="20"/>
                <w:lang w:val="en-GB"/>
              </w:rPr>
            </w:pPr>
          </w:p>
        </w:tc>
        <w:tc>
          <w:tcPr>
            <w:tcW w:w="851" w:type="dxa"/>
            <w:hideMark/>
          </w:tcPr>
          <w:p w14:paraId="59A04A4E"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20</w:t>
            </w:r>
          </w:p>
        </w:tc>
        <w:tc>
          <w:tcPr>
            <w:tcW w:w="567" w:type="dxa"/>
            <w:hideMark/>
          </w:tcPr>
          <w:p w14:paraId="754F75FD"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No</w:t>
            </w:r>
          </w:p>
        </w:tc>
        <w:tc>
          <w:tcPr>
            <w:tcW w:w="3260" w:type="dxa"/>
            <w:hideMark/>
          </w:tcPr>
          <w:p w14:paraId="046E5B15" w14:textId="5678F3E8"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23G</w:t>
            </w:r>
            <w:r>
              <w:rPr>
                <w:sz w:val="20"/>
                <w:szCs w:val="20"/>
                <w:lang w:val="en-GB"/>
              </w:rPr>
              <w:t>,</w:t>
            </w:r>
            <w:r w:rsidRPr="004D2753">
              <w:rPr>
                <w:sz w:val="20"/>
                <w:szCs w:val="20"/>
                <w:lang w:val="en-GB"/>
              </w:rPr>
              <w:t xml:space="preserve"> Waste escaping from vehicle or equipment </w:t>
            </w:r>
          </w:p>
        </w:tc>
        <w:tc>
          <w:tcPr>
            <w:tcW w:w="851" w:type="dxa"/>
            <w:hideMark/>
          </w:tcPr>
          <w:p w14:paraId="18A8E4F6"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20</w:t>
            </w:r>
          </w:p>
        </w:tc>
        <w:tc>
          <w:tcPr>
            <w:tcW w:w="567" w:type="dxa"/>
            <w:hideMark/>
          </w:tcPr>
          <w:p w14:paraId="22646AEA"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r w:rsidRPr="004D2753">
              <w:rPr>
                <w:sz w:val="20"/>
                <w:szCs w:val="20"/>
                <w:lang w:val="en-GB"/>
              </w:rPr>
              <w:t xml:space="preserve">No </w:t>
            </w:r>
          </w:p>
        </w:tc>
        <w:tc>
          <w:tcPr>
            <w:tcW w:w="4394" w:type="dxa"/>
          </w:tcPr>
          <w:p w14:paraId="016659AB" w14:textId="77777777" w:rsidR="006C5435" w:rsidRPr="004D2753" w:rsidRDefault="006C5435" w:rsidP="006C5435">
            <w:pPr>
              <w:cnfStyle w:val="000000100000" w:firstRow="0" w:lastRow="0" w:firstColumn="0" w:lastColumn="0" w:oddVBand="0" w:evenVBand="0" w:oddHBand="1" w:evenHBand="0" w:firstRowFirstColumn="0" w:firstRowLastColumn="0" w:lastRowFirstColumn="0" w:lastRowLastColumn="0"/>
              <w:rPr>
                <w:sz w:val="20"/>
                <w:szCs w:val="20"/>
                <w:lang w:val="en-GB"/>
              </w:rPr>
            </w:pPr>
          </w:p>
        </w:tc>
      </w:tr>
    </w:tbl>
    <w:p w14:paraId="306B257F" w14:textId="77777777" w:rsidR="00D07223" w:rsidRDefault="00D07223" w:rsidP="005F7ECC">
      <w:pPr>
        <w:sectPr w:rsidR="00D07223" w:rsidSect="00D07223">
          <w:pgSz w:w="16838" w:h="11906" w:orient="landscape"/>
          <w:pgMar w:top="1440" w:right="1440" w:bottom="1440" w:left="1440" w:header="708" w:footer="708" w:gutter="0"/>
          <w:cols w:space="708"/>
          <w:docGrid w:linePitch="360"/>
        </w:sectPr>
      </w:pPr>
    </w:p>
    <w:p w14:paraId="5A6DFC7B" w14:textId="10C3539B" w:rsidR="009817CE" w:rsidRDefault="009817CE" w:rsidP="005F7ECC"/>
    <w:p w14:paraId="1DACD51B" w14:textId="19543B63" w:rsidR="00D2740C" w:rsidRDefault="00296997" w:rsidP="005F7ECC">
      <w:pPr>
        <w:pStyle w:val="Heading3"/>
      </w:pPr>
      <w:bookmarkStart w:id="103" w:name="_Toc78374709"/>
      <w:bookmarkStart w:id="104" w:name="_Toc79490219"/>
      <w:r>
        <w:t>9</w:t>
      </w:r>
      <w:r w:rsidR="005F7ECC">
        <w:t xml:space="preserve">.5a </w:t>
      </w:r>
      <w:r w:rsidR="00D2740C">
        <w:t>Vehicle related offences</w:t>
      </w:r>
      <w:bookmarkEnd w:id="103"/>
      <w:bookmarkEnd w:id="104"/>
    </w:p>
    <w:p w14:paraId="6C0F82D8" w14:textId="6B76B459" w:rsidR="00F7313E" w:rsidRDefault="00F7313E" w:rsidP="005F7ECC">
      <w:pPr>
        <w:rPr>
          <w:sz w:val="24"/>
          <w:szCs w:val="24"/>
        </w:rPr>
      </w:pPr>
      <w:r>
        <w:rPr>
          <w:sz w:val="24"/>
          <w:szCs w:val="24"/>
        </w:rPr>
        <w:t xml:space="preserve">This section describes the proposed new provisions intended to enable waste regulators to connect vehicle registration numbers with their operators, to support the enforcement of offences at unstaffed waste facilities. </w:t>
      </w:r>
    </w:p>
    <w:p w14:paraId="0A7829E1" w14:textId="4D3E5A00" w:rsidR="00D2740C" w:rsidRPr="00C40A64" w:rsidRDefault="00D2740C" w:rsidP="005F7ECC">
      <w:pPr>
        <w:rPr>
          <w:sz w:val="24"/>
          <w:szCs w:val="24"/>
        </w:rPr>
      </w:pPr>
      <w:r w:rsidRPr="00C40A64">
        <w:rPr>
          <w:sz w:val="24"/>
          <w:szCs w:val="24"/>
        </w:rPr>
        <w:t xml:space="preserve">In accordance with S117 of the </w:t>
      </w:r>
      <w:r w:rsidRPr="00192EB6">
        <w:rPr>
          <w:i/>
          <w:iCs/>
          <w:sz w:val="24"/>
          <w:szCs w:val="24"/>
        </w:rPr>
        <w:t>Magistrates Court Act 1930</w:t>
      </w:r>
      <w:r w:rsidRPr="00C40A64">
        <w:rPr>
          <w:sz w:val="24"/>
          <w:szCs w:val="24"/>
        </w:rPr>
        <w:t>, a vehicle-related offence means an infringement notice offence that (a) involves a vehicle; and (b) is declared by regulation to be an offence to which division 3.8.3 applies.</w:t>
      </w:r>
    </w:p>
    <w:p w14:paraId="3EEB51A3" w14:textId="68551C3D" w:rsidR="00D2740C" w:rsidRPr="00C40A64" w:rsidRDefault="00D2740C" w:rsidP="005F7ECC">
      <w:pPr>
        <w:rPr>
          <w:sz w:val="24"/>
          <w:szCs w:val="24"/>
        </w:rPr>
      </w:pPr>
      <w:r w:rsidRPr="00C40A64">
        <w:rPr>
          <w:sz w:val="24"/>
          <w:szCs w:val="24"/>
        </w:rPr>
        <w:t xml:space="preserve">In accordance with S131B of the </w:t>
      </w:r>
      <w:r w:rsidRPr="00192EB6">
        <w:rPr>
          <w:i/>
          <w:iCs/>
          <w:sz w:val="24"/>
          <w:szCs w:val="24"/>
        </w:rPr>
        <w:t>Magistrates Court Act 1930,</w:t>
      </w:r>
      <w:r w:rsidRPr="00C40A64">
        <w:rPr>
          <w:sz w:val="24"/>
          <w:szCs w:val="24"/>
        </w:rPr>
        <w:t xml:space="preserve"> if an authorised person believes, on reasonable grounds, that a vehicle-related offence has been committed, the </w:t>
      </w:r>
      <w:r w:rsidR="00D421F5" w:rsidRPr="00C40A64">
        <w:rPr>
          <w:sz w:val="24"/>
          <w:szCs w:val="24"/>
        </w:rPr>
        <w:t>authorised person</w:t>
      </w:r>
      <w:r w:rsidRPr="00C40A64">
        <w:rPr>
          <w:sz w:val="24"/>
          <w:szCs w:val="24"/>
        </w:rPr>
        <w:t xml:space="preserve"> may serve an infringement notice for the offence on the responsible person for the vehicle at the time of the offence, or if there is more than one person responsible for the vehicle at that time, each or any of them.</w:t>
      </w:r>
    </w:p>
    <w:p w14:paraId="64A7BD31" w14:textId="77777777" w:rsidR="00D2740C" w:rsidRPr="00C40A64" w:rsidRDefault="00D2740C" w:rsidP="005F7ECC">
      <w:pPr>
        <w:rPr>
          <w:sz w:val="24"/>
          <w:szCs w:val="24"/>
        </w:rPr>
      </w:pPr>
      <w:r w:rsidRPr="00C40A64">
        <w:rPr>
          <w:sz w:val="24"/>
          <w:szCs w:val="24"/>
        </w:rPr>
        <w:t xml:space="preserve">In accordance with S10 of the </w:t>
      </w:r>
      <w:r w:rsidRPr="00192EB6">
        <w:rPr>
          <w:i/>
          <w:iCs/>
          <w:sz w:val="24"/>
          <w:szCs w:val="24"/>
        </w:rPr>
        <w:t>Road Transport (General) Act 1999</w:t>
      </w:r>
      <w:r w:rsidRPr="00C40A64">
        <w:rPr>
          <w:sz w:val="24"/>
          <w:szCs w:val="24"/>
        </w:rPr>
        <w:t xml:space="preserve">, a responsible person for a vehicle: </w:t>
      </w:r>
    </w:p>
    <w:p w14:paraId="1211FEFC" w14:textId="14173D16" w:rsidR="00D2740C" w:rsidRPr="00C40A64" w:rsidRDefault="00D2740C" w:rsidP="0039556A">
      <w:pPr>
        <w:pStyle w:val="ReportList1"/>
      </w:pPr>
      <w:r w:rsidRPr="00C40A64">
        <w:t>for a registered vehicle a registered operator of the vehicle, unless the vehicle has been disposed of by the operator</w:t>
      </w:r>
      <w:r w:rsidR="00643857">
        <w:t>,</w:t>
      </w:r>
      <w:r w:rsidRPr="00C40A64">
        <w:t xml:space="preserve"> </w:t>
      </w:r>
    </w:p>
    <w:p w14:paraId="576FB887" w14:textId="40F0B6B0" w:rsidR="00D2740C" w:rsidRPr="00C40A64" w:rsidRDefault="00D2740C" w:rsidP="0039556A">
      <w:pPr>
        <w:pStyle w:val="ReportList1"/>
      </w:pPr>
      <w:r w:rsidRPr="00C40A64">
        <w:t xml:space="preserve">for an unregistered vehicle to which a trader’s plate is attached, the person to whom the trader’s plate is issued under the </w:t>
      </w:r>
      <w:r w:rsidRPr="00192EB6">
        <w:rPr>
          <w:i/>
          <w:iCs/>
        </w:rPr>
        <w:t>Road Transport (Vehicle Registration) Act 1999</w:t>
      </w:r>
      <w:r w:rsidR="00643857">
        <w:rPr>
          <w:i/>
          <w:iCs/>
        </w:rPr>
        <w:t>,</w:t>
      </w:r>
      <w:r w:rsidRPr="00C40A64">
        <w:t xml:space="preserve"> </w:t>
      </w:r>
    </w:p>
    <w:p w14:paraId="7406E89C" w14:textId="32CB694D" w:rsidR="00D2740C" w:rsidRPr="00C40A64" w:rsidRDefault="00D2740C" w:rsidP="0039556A">
      <w:pPr>
        <w:pStyle w:val="ReportList1"/>
      </w:pPr>
      <w:r w:rsidRPr="00C40A64">
        <w:t>for an unregistered vehicle to which no trader’s plate is attached, a person who was last recorded as a registered operator of the vehicle</w:t>
      </w:r>
      <w:r w:rsidR="00643857">
        <w:t>, and</w:t>
      </w:r>
      <w:r w:rsidRPr="00C40A64">
        <w:t xml:space="preserve"> </w:t>
      </w:r>
    </w:p>
    <w:p w14:paraId="48169325" w14:textId="77777777" w:rsidR="00D2740C" w:rsidRPr="00C40A64" w:rsidRDefault="00D2740C" w:rsidP="0039556A">
      <w:pPr>
        <w:pStyle w:val="ReportList1"/>
      </w:pPr>
      <w:r w:rsidRPr="00C40A64">
        <w:t>for a light rail vehicle, the rail transport operator for the light rail vehicle.</w:t>
      </w:r>
    </w:p>
    <w:p w14:paraId="62968731" w14:textId="77777777" w:rsidR="00D421F5" w:rsidRDefault="00D2740C" w:rsidP="005F7ECC">
      <w:pPr>
        <w:rPr>
          <w:sz w:val="24"/>
          <w:szCs w:val="24"/>
        </w:rPr>
      </w:pPr>
      <w:r w:rsidRPr="00C40A64">
        <w:rPr>
          <w:sz w:val="24"/>
          <w:szCs w:val="24"/>
        </w:rPr>
        <w:t xml:space="preserve">The proposal in the Amendment Regulation is to use provisions for identifying the offender and issuing fines for a vehicle related offence under the </w:t>
      </w:r>
      <w:r w:rsidRPr="00192EB6">
        <w:rPr>
          <w:i/>
          <w:iCs/>
          <w:sz w:val="24"/>
          <w:szCs w:val="24"/>
        </w:rPr>
        <w:t>Magistrates Court Act 1930</w:t>
      </w:r>
      <w:r w:rsidRPr="00C40A64">
        <w:rPr>
          <w:sz w:val="24"/>
          <w:szCs w:val="24"/>
        </w:rPr>
        <w:t xml:space="preserve">. New clauses in the Amendment Regulation and the </w:t>
      </w:r>
      <w:r w:rsidRPr="00192EB6">
        <w:rPr>
          <w:i/>
          <w:iCs/>
          <w:sz w:val="24"/>
          <w:szCs w:val="24"/>
        </w:rPr>
        <w:t>Magistrate’s Court (Waste Management and Resource Recovery Infringement Notices) Regulation 2021</w:t>
      </w:r>
      <w:r w:rsidRPr="00C40A64">
        <w:rPr>
          <w:sz w:val="24"/>
          <w:szCs w:val="24"/>
        </w:rPr>
        <w:t xml:space="preserve"> will work together to introduce new vehicle related offences to apply where offences are committed in such close proximity to a vehicle that it is appropriate to use the vehicle to take enforcement action. </w:t>
      </w:r>
    </w:p>
    <w:p w14:paraId="2517D0A1" w14:textId="59C44317" w:rsidR="00D2740C" w:rsidRPr="00C40A64" w:rsidRDefault="00D2740C" w:rsidP="005F7ECC">
      <w:pPr>
        <w:rPr>
          <w:sz w:val="24"/>
          <w:szCs w:val="24"/>
        </w:rPr>
      </w:pPr>
      <w:r w:rsidRPr="00C40A64">
        <w:rPr>
          <w:sz w:val="24"/>
          <w:szCs w:val="24"/>
        </w:rPr>
        <w:t xml:space="preserve">This includes an offence committed either near a vehicle, before entering a vehicle or after exiting a vehicle. An incidental vehicle offence is </w:t>
      </w:r>
      <w:r w:rsidR="008537B6">
        <w:rPr>
          <w:sz w:val="24"/>
          <w:szCs w:val="24"/>
        </w:rPr>
        <w:t>a type of</w:t>
      </w:r>
      <w:r w:rsidRPr="00C40A64">
        <w:rPr>
          <w:sz w:val="24"/>
          <w:szCs w:val="24"/>
        </w:rPr>
        <w:t xml:space="preserve"> vehicle related offence in </w:t>
      </w:r>
      <w:r w:rsidR="008537B6">
        <w:rPr>
          <w:sz w:val="24"/>
          <w:szCs w:val="24"/>
        </w:rPr>
        <w:t>which</w:t>
      </w:r>
      <w:r w:rsidR="008537B6" w:rsidRPr="00C40A64">
        <w:rPr>
          <w:sz w:val="24"/>
          <w:szCs w:val="24"/>
        </w:rPr>
        <w:t xml:space="preserve"> </w:t>
      </w:r>
      <w:r w:rsidRPr="00C40A64">
        <w:rPr>
          <w:sz w:val="24"/>
          <w:szCs w:val="24"/>
        </w:rPr>
        <w:t>the vehicle is not actually used in the process of committing the offence, however it is in such close proximity to justify using the registration details of the vehicle to identify the offender and issue an infringement notice.</w:t>
      </w:r>
    </w:p>
    <w:p w14:paraId="1DAB7054" w14:textId="594EA943" w:rsidR="00D2740C" w:rsidRPr="00C40A64" w:rsidRDefault="00D2740C" w:rsidP="005F7ECC">
      <w:pPr>
        <w:rPr>
          <w:sz w:val="24"/>
          <w:szCs w:val="24"/>
        </w:rPr>
      </w:pPr>
      <w:r w:rsidRPr="00C40A64">
        <w:rPr>
          <w:sz w:val="24"/>
          <w:szCs w:val="24"/>
        </w:rPr>
        <w:t xml:space="preserve">This offence </w:t>
      </w:r>
      <w:r w:rsidR="008537B6">
        <w:rPr>
          <w:sz w:val="24"/>
          <w:szCs w:val="24"/>
        </w:rPr>
        <w:t>is</w:t>
      </w:r>
      <w:r w:rsidRPr="00C40A64">
        <w:rPr>
          <w:sz w:val="24"/>
          <w:szCs w:val="24"/>
        </w:rPr>
        <w:t xml:space="preserve"> a vehicle related offence with respect to issuing an infringement notice and can only apply to strict liability offences. An example of this is where a person unloads material which is not domestic recycling material at an RDOC before entering a car and</w:t>
      </w:r>
      <w:r w:rsidR="00D421F5">
        <w:rPr>
          <w:sz w:val="24"/>
          <w:szCs w:val="24"/>
        </w:rPr>
        <w:t xml:space="preserve"> exiting the facility</w:t>
      </w:r>
      <w:r w:rsidRPr="00C40A64">
        <w:rPr>
          <w:sz w:val="24"/>
          <w:szCs w:val="24"/>
        </w:rPr>
        <w:t xml:space="preserve">. In waste facilities where authorised persons are present, they would </w:t>
      </w:r>
      <w:r w:rsidRPr="00C40A64">
        <w:rPr>
          <w:sz w:val="24"/>
          <w:szCs w:val="24"/>
        </w:rPr>
        <w:lastRenderedPageBreak/>
        <w:t>attempt to stop the person and inform them that an offence was committed. However, this provision can be used if there is no authorised officer present – such as at RDOCs, or at the RMCs, where contractors run facilities and cannot be authorised persons. In cases where a person refuses to give their name before driving off</w:t>
      </w:r>
      <w:r w:rsidR="00D421F5">
        <w:rPr>
          <w:sz w:val="24"/>
          <w:szCs w:val="24"/>
        </w:rPr>
        <w:t>,</w:t>
      </w:r>
      <w:r w:rsidRPr="00C40A64">
        <w:rPr>
          <w:sz w:val="24"/>
          <w:szCs w:val="24"/>
        </w:rPr>
        <w:t xml:space="preserve"> or in these other situations where an authorised person cannot stop the offender or does not feel safe to do so. </w:t>
      </w:r>
    </w:p>
    <w:p w14:paraId="55011710" w14:textId="77777777" w:rsidR="00D2740C" w:rsidRPr="00C40A64" w:rsidRDefault="00D2740C" w:rsidP="005F7ECC">
      <w:pPr>
        <w:rPr>
          <w:sz w:val="24"/>
          <w:szCs w:val="24"/>
        </w:rPr>
      </w:pPr>
      <w:r w:rsidRPr="00C40A64">
        <w:rPr>
          <w:sz w:val="24"/>
          <w:szCs w:val="24"/>
        </w:rPr>
        <w:t>Although dumping litter is included as an incidental vehicle offence it is intended that this is only for small items such as cigarettes that would normally be carried on a person. The situation where large items are carried in a car and then a person gets out to deposit/dump the litter would be classified as vehicle related offence and not an incidental offence because the vehicle is used to carry out an element of the offence.</w:t>
      </w:r>
    </w:p>
    <w:p w14:paraId="25DEA4C5" w14:textId="3850B032" w:rsidR="00D2740C" w:rsidRPr="00C40A64" w:rsidRDefault="00D2740C" w:rsidP="005F7ECC">
      <w:pPr>
        <w:rPr>
          <w:sz w:val="24"/>
          <w:szCs w:val="24"/>
        </w:rPr>
      </w:pPr>
      <w:r w:rsidRPr="00C40A64">
        <w:rPr>
          <w:sz w:val="24"/>
          <w:szCs w:val="24"/>
        </w:rPr>
        <w:t xml:space="preserve">The </w:t>
      </w:r>
      <w:r w:rsidRPr="00192EB6">
        <w:rPr>
          <w:i/>
          <w:iCs/>
          <w:sz w:val="24"/>
          <w:szCs w:val="24"/>
        </w:rPr>
        <w:t>Magistrates Court Act 1930</w:t>
      </w:r>
      <w:r w:rsidRPr="00C40A64">
        <w:rPr>
          <w:sz w:val="24"/>
          <w:szCs w:val="24"/>
        </w:rPr>
        <w:t xml:space="preserve"> allows infringement notices to be issued to the registered owner of a motor vehicle as determined by the registration details of the vehicle. When in control of a vehicle</w:t>
      </w:r>
      <w:r w:rsidR="00D421F5">
        <w:rPr>
          <w:sz w:val="24"/>
          <w:szCs w:val="24"/>
        </w:rPr>
        <w:t>,</w:t>
      </w:r>
      <w:r w:rsidRPr="00C40A64">
        <w:rPr>
          <w:sz w:val="24"/>
          <w:szCs w:val="24"/>
        </w:rPr>
        <w:t xml:space="preserve"> a driver has responsibility for the passengers within the vehicle and their behaviour. This</w:t>
      </w:r>
      <w:r w:rsidR="00D421F5">
        <w:rPr>
          <w:sz w:val="24"/>
          <w:szCs w:val="24"/>
        </w:rPr>
        <w:t xml:space="preserve"> </w:t>
      </w:r>
      <w:r w:rsidRPr="00C40A64">
        <w:rPr>
          <w:sz w:val="24"/>
          <w:szCs w:val="24"/>
        </w:rPr>
        <w:t xml:space="preserve">does not apply once the passengers are outside the vehicle. </w:t>
      </w:r>
      <w:r w:rsidR="00D421F5">
        <w:rPr>
          <w:sz w:val="24"/>
          <w:szCs w:val="24"/>
        </w:rPr>
        <w:t>S</w:t>
      </w:r>
      <w:r w:rsidRPr="00C40A64">
        <w:rPr>
          <w:sz w:val="24"/>
          <w:szCs w:val="24"/>
        </w:rPr>
        <w:t>afeguards have been introduced that only the driver of a vehicle can be issued an infringement notice under an incidental vehicle offence. This prevents a driver receiving a fine if a person drops</w:t>
      </w:r>
      <w:r w:rsidR="00D421F5">
        <w:rPr>
          <w:sz w:val="24"/>
          <w:szCs w:val="24"/>
        </w:rPr>
        <w:t>/</w:t>
      </w:r>
      <w:r w:rsidRPr="00C40A64">
        <w:rPr>
          <w:sz w:val="24"/>
          <w:szCs w:val="24"/>
        </w:rPr>
        <w:t xml:space="preserve"> deposits litter and then gets in the passenger seat before the vehicle is driven away.</w:t>
      </w:r>
    </w:p>
    <w:p w14:paraId="6963D8E1" w14:textId="287912FE" w:rsidR="00D2740C" w:rsidRPr="00C40A64" w:rsidRDefault="00D421F5" w:rsidP="005F7ECC">
      <w:pPr>
        <w:rPr>
          <w:sz w:val="24"/>
          <w:szCs w:val="24"/>
        </w:rPr>
      </w:pPr>
      <w:r>
        <w:rPr>
          <w:sz w:val="24"/>
          <w:szCs w:val="24"/>
        </w:rPr>
        <w:t>W</w:t>
      </w:r>
      <w:r w:rsidR="00D2740C" w:rsidRPr="00C40A64">
        <w:rPr>
          <w:sz w:val="24"/>
          <w:szCs w:val="24"/>
        </w:rPr>
        <w:t xml:space="preserve">hile the proposed amendments will set up the capacity to act on these vehicle-related offences, </w:t>
      </w:r>
      <w:r>
        <w:rPr>
          <w:sz w:val="24"/>
          <w:szCs w:val="24"/>
        </w:rPr>
        <w:t xml:space="preserve">it is noted that </w:t>
      </w:r>
      <w:r w:rsidR="00D2740C" w:rsidRPr="00C40A64">
        <w:rPr>
          <w:sz w:val="24"/>
          <w:szCs w:val="24"/>
        </w:rPr>
        <w:t xml:space="preserve">further work will be needed before the offence provisions can be applied. </w:t>
      </w:r>
      <w:r>
        <w:rPr>
          <w:sz w:val="24"/>
          <w:szCs w:val="24"/>
        </w:rPr>
        <w:t xml:space="preserve">A </w:t>
      </w:r>
      <w:r w:rsidR="00D2740C" w:rsidRPr="00C40A64">
        <w:rPr>
          <w:sz w:val="24"/>
          <w:szCs w:val="24"/>
        </w:rPr>
        <w:t>separate</w:t>
      </w:r>
      <w:r>
        <w:rPr>
          <w:sz w:val="24"/>
          <w:szCs w:val="24"/>
        </w:rPr>
        <w:t xml:space="preserve"> and future</w:t>
      </w:r>
      <w:r w:rsidR="00D2740C" w:rsidRPr="00C40A64">
        <w:rPr>
          <w:sz w:val="24"/>
          <w:szCs w:val="24"/>
        </w:rPr>
        <w:t xml:space="preserve"> process</w:t>
      </w:r>
      <w:r>
        <w:rPr>
          <w:sz w:val="24"/>
          <w:szCs w:val="24"/>
        </w:rPr>
        <w:t xml:space="preserve"> will need to be conducted to enable</w:t>
      </w:r>
      <w:r w:rsidR="00D2740C" w:rsidRPr="00C40A64">
        <w:rPr>
          <w:sz w:val="24"/>
          <w:szCs w:val="24"/>
        </w:rPr>
        <w:t xml:space="preserve"> authorised persons under the WMRR Act to obtain access to RegoACT to conduct vehicle registration checks. This will require amendments to Memoranda of Understandings </w:t>
      </w:r>
      <w:r>
        <w:rPr>
          <w:sz w:val="24"/>
          <w:szCs w:val="24"/>
        </w:rPr>
        <w:t xml:space="preserve">(MoU) </w:t>
      </w:r>
      <w:r w:rsidR="00D2740C" w:rsidRPr="00C40A64">
        <w:rPr>
          <w:sz w:val="24"/>
          <w:szCs w:val="24"/>
        </w:rPr>
        <w:t xml:space="preserve">that are in place with ACT Government Agencies and the </w:t>
      </w:r>
      <w:r>
        <w:rPr>
          <w:sz w:val="24"/>
          <w:szCs w:val="24"/>
        </w:rPr>
        <w:t>D</w:t>
      </w:r>
      <w:r w:rsidR="00D2740C" w:rsidRPr="00C40A64">
        <w:rPr>
          <w:sz w:val="24"/>
          <w:szCs w:val="24"/>
        </w:rPr>
        <w:t>irectorate which looks after RegoACT. There are also audits involved</w:t>
      </w:r>
      <w:r>
        <w:rPr>
          <w:sz w:val="24"/>
          <w:szCs w:val="24"/>
        </w:rPr>
        <w:t xml:space="preserve"> </w:t>
      </w:r>
      <w:r w:rsidR="00D2740C" w:rsidRPr="00C40A64">
        <w:rPr>
          <w:sz w:val="24"/>
          <w:szCs w:val="24"/>
        </w:rPr>
        <w:t>so arrangements will need to be made to ensure suitable processes are in place.</w:t>
      </w:r>
    </w:p>
    <w:p w14:paraId="2F694C72" w14:textId="47DA6F2B" w:rsidR="005C26B0" w:rsidRDefault="00DC1B47" w:rsidP="005F7ECC">
      <w:pPr>
        <w:pStyle w:val="Heading2"/>
      </w:pPr>
      <w:bookmarkStart w:id="105" w:name="_Toc78374710"/>
      <w:bookmarkStart w:id="106" w:name="_Toc79490220"/>
      <w:r>
        <w:t>9</w:t>
      </w:r>
      <w:r w:rsidR="005F7ECC">
        <w:t>.6</w:t>
      </w:r>
      <w:r w:rsidR="002F7C2B">
        <w:tab/>
      </w:r>
      <w:r w:rsidR="00D421F5">
        <w:t xml:space="preserve">         Consideration of h</w:t>
      </w:r>
      <w:r w:rsidR="005C26B0">
        <w:t>uman rights</w:t>
      </w:r>
      <w:bookmarkEnd w:id="105"/>
      <w:bookmarkEnd w:id="106"/>
    </w:p>
    <w:p w14:paraId="5B50FE39" w14:textId="172C3C78" w:rsidR="00610C9F" w:rsidRDefault="00610C9F" w:rsidP="005F7ECC">
      <w:pPr>
        <w:pStyle w:val="CS-Paragraphnumbering"/>
        <w:numPr>
          <w:ilvl w:val="0"/>
          <w:numId w:val="0"/>
        </w:numPr>
      </w:pPr>
      <w:r>
        <w:t>It is arguable</w:t>
      </w:r>
      <w:r w:rsidR="004724B7">
        <w:t xml:space="preserve"> </w:t>
      </w:r>
      <w:r>
        <w:t>that the introduction of new strict liability offences to improve the Regulation’s enforceability at waste facilities</w:t>
      </w:r>
      <w:r w:rsidR="004724B7">
        <w:t xml:space="preserve"> may affect the right to equality.</w:t>
      </w:r>
      <w:r>
        <w:t xml:space="preserve"> This is because people who cannot read signs, access the internet or otherwise become acquainted with restrictions at waste facilities may not be aware of rules before they break them. This would be </w:t>
      </w:r>
      <w:r w:rsidR="00D421F5">
        <w:t>particularly</w:t>
      </w:r>
      <w:r>
        <w:t xml:space="preserve"> so if unapproved wastes are allowed to build up at waste facilities, and this is interpreted as meaning that such wastes are allowed. </w:t>
      </w:r>
    </w:p>
    <w:p w14:paraId="6D4FBE68" w14:textId="17188C28" w:rsidR="00610C9F" w:rsidRDefault="00610C9F" w:rsidP="005F7ECC">
      <w:pPr>
        <w:pStyle w:val="ReportList1"/>
      </w:pPr>
      <w:r>
        <w:t xml:space="preserve">The </w:t>
      </w:r>
      <w:r w:rsidR="00D421F5">
        <w:t>G</w:t>
      </w:r>
      <w:r>
        <w:t>overnment has</w:t>
      </w:r>
      <w:r w:rsidR="00D421F5">
        <w:t xml:space="preserve"> developed a strategy to</w:t>
      </w:r>
      <w:r>
        <w:t xml:space="preserve"> counter most of these risks,</w:t>
      </w:r>
      <w:r w:rsidR="0048799E">
        <w:t xml:space="preserve"> making the amendments reasonable and justifiable, and therefore making it compatible with Human Rights.</w:t>
      </w:r>
      <w:r>
        <w:t xml:space="preserve"> </w:t>
      </w:r>
      <w:r w:rsidR="0048799E">
        <w:t>These include:</w:t>
      </w:r>
      <w:r>
        <w:t xml:space="preserve"> </w:t>
      </w:r>
      <w:r w:rsidR="008C6718">
        <w:t xml:space="preserve">examining options </w:t>
      </w:r>
      <w:r>
        <w:t>for best practice signage, including</w:t>
      </w:r>
      <w:r w:rsidR="008C6718">
        <w:t xml:space="preserve"> visual options to relay m</w:t>
      </w:r>
      <w:r>
        <w:t>essages</w:t>
      </w:r>
      <w:r>
        <w:rPr>
          <w:rStyle w:val="FootnoteReference"/>
        </w:rPr>
        <w:footnoteReference w:id="23"/>
      </w:r>
      <w:r w:rsidR="00C42420">
        <w:t>,</w:t>
      </w:r>
    </w:p>
    <w:p w14:paraId="0068C395" w14:textId="356C07F2" w:rsidR="00FB14B4" w:rsidRDefault="00643857" w:rsidP="005F7ECC">
      <w:pPr>
        <w:pStyle w:val="ReportList1"/>
      </w:pPr>
      <w:r>
        <w:lastRenderedPageBreak/>
        <w:t>m</w:t>
      </w:r>
      <w:r w:rsidR="00FB14B4">
        <w:t>any of the offences relate to instructions given by facility operators, which again do not rely on literacy</w:t>
      </w:r>
      <w:r w:rsidR="007A45B3">
        <w:t xml:space="preserve"> but instead on listening and responding to face-to-face instructions</w:t>
      </w:r>
      <w:r w:rsidR="00C42420">
        <w:t>,</w:t>
      </w:r>
      <w:r>
        <w:t xml:space="preserve"> and</w:t>
      </w:r>
      <w:r w:rsidR="00FB14B4">
        <w:t xml:space="preserve"> </w:t>
      </w:r>
    </w:p>
    <w:p w14:paraId="66AD305B" w14:textId="647FFACC" w:rsidR="00FB14B4" w:rsidRDefault="00643857" w:rsidP="005F7ECC">
      <w:pPr>
        <w:pStyle w:val="ReportList1"/>
      </w:pPr>
      <w:r>
        <w:t>i</w:t>
      </w:r>
      <w:r w:rsidR="00FB14B4">
        <w:t xml:space="preserve">ntroduction of technological solutions such as modern CCTV technology at waste facilities, combined with effective enforcement would reduce the build-up of unapproved waste in facilities, and minimise unintended messaging around which wastes were allowed. </w:t>
      </w:r>
    </w:p>
    <w:p w14:paraId="00B347A5" w14:textId="6E0DC713" w:rsidR="007A0F92" w:rsidRPr="0048799E" w:rsidRDefault="00C800BF" w:rsidP="005F7ECC">
      <w:pPr>
        <w:pStyle w:val="CS-Paragraphnumbering"/>
        <w:numPr>
          <w:ilvl w:val="0"/>
          <w:numId w:val="0"/>
        </w:numPr>
      </w:pPr>
      <w:r>
        <w:t>T</w:t>
      </w:r>
      <w:r w:rsidR="00FB14B4">
        <w:t xml:space="preserve">hat the proposed new vehicle offences may impinge on the HR Act’s </w:t>
      </w:r>
      <w:r w:rsidR="007A0F92" w:rsidRPr="001D3F20">
        <w:t>S12</w:t>
      </w:r>
      <w:r w:rsidR="00C42420">
        <w:t> </w:t>
      </w:r>
      <w:r w:rsidR="007A0F92" w:rsidRPr="001D3F20">
        <w:t xml:space="preserve">(a) </w:t>
      </w:r>
      <w:r w:rsidR="00FB14B4">
        <w:t>provision</w:t>
      </w:r>
      <w:r w:rsidR="007A0F92" w:rsidRPr="001D3F20">
        <w:t xml:space="preserve"> that everyone has the right to not have their privacy interfered with unlawfully</w:t>
      </w:r>
      <w:r w:rsidR="004724B7">
        <w:t xml:space="preserve"> </w:t>
      </w:r>
      <w:r w:rsidR="007A0F92" w:rsidRPr="001D3F20">
        <w:t>or arbitrability</w:t>
      </w:r>
      <w:r w:rsidR="004724B7">
        <w:t xml:space="preserve"> </w:t>
      </w:r>
      <w:r w:rsidR="007A0F92">
        <w:t>The Amendment Regulation proposes to introduce a new capacity for regulators to identify owners of vehicles that are identified as being involved in non-compliance at waste facilities</w:t>
      </w:r>
      <w:r w:rsidR="00FE5EB9">
        <w:t xml:space="preserve">, however </w:t>
      </w:r>
      <w:r w:rsidR="00FB14B4">
        <w:t xml:space="preserve">the administrative arrangements required to put these provisions into action would ensure that they could only be used to obtain personal information in response to clear offences, and not for arbitrary purposes. </w:t>
      </w:r>
      <w:r w:rsidR="00B11042">
        <w:t>Territory legislation</w:t>
      </w:r>
      <w:r w:rsidR="0048799E">
        <w:t xml:space="preserve"> including </w:t>
      </w:r>
      <w:r w:rsidR="00B11042">
        <w:t xml:space="preserve">the </w:t>
      </w:r>
      <w:r w:rsidR="00B11042" w:rsidRPr="0048799E">
        <w:rPr>
          <w:i/>
          <w:iCs/>
        </w:rPr>
        <w:t>Privacy Act 1988</w:t>
      </w:r>
      <w:r w:rsidR="00FB14B4">
        <w:t xml:space="preserve"> </w:t>
      </w:r>
      <w:r w:rsidR="00B11042">
        <w:t xml:space="preserve"> and the </w:t>
      </w:r>
      <w:r w:rsidR="00B11042" w:rsidRPr="0048799E">
        <w:rPr>
          <w:i/>
          <w:iCs/>
        </w:rPr>
        <w:t>A</w:t>
      </w:r>
      <w:r w:rsidR="0048799E" w:rsidRPr="0048799E">
        <w:rPr>
          <w:i/>
          <w:iCs/>
        </w:rPr>
        <w:t>rchives Act 1983</w:t>
      </w:r>
      <w:r w:rsidR="0048799E">
        <w:rPr>
          <w:i/>
          <w:iCs/>
        </w:rPr>
        <w:t xml:space="preserve"> </w:t>
      </w:r>
      <w:r w:rsidR="0048799E">
        <w:t xml:space="preserve">are applicable in regards to storing and archiving information. Policy development will provide strict requirements around what the information can be used for in-line with the offence provisions. </w:t>
      </w:r>
    </w:p>
    <w:p w14:paraId="3433D43F" w14:textId="77777777" w:rsidR="001E3E1C" w:rsidRPr="001E3E1C" w:rsidRDefault="001E3E1C" w:rsidP="005F7ECC"/>
    <w:p w14:paraId="75A66BEE" w14:textId="2F2AC1D2" w:rsidR="005C26B0" w:rsidRDefault="00DC1B47" w:rsidP="005F7ECC">
      <w:pPr>
        <w:pStyle w:val="Heading2"/>
      </w:pPr>
      <w:bookmarkStart w:id="107" w:name="_Toc78374711"/>
      <w:bookmarkStart w:id="108" w:name="_Toc79490221"/>
      <w:r>
        <w:t>9</w:t>
      </w:r>
      <w:r w:rsidR="005F7ECC">
        <w:t>.7</w:t>
      </w:r>
      <w:r w:rsidR="005C26B0">
        <w:t xml:space="preserve"> </w:t>
      </w:r>
      <w:r w:rsidR="002F7C2B">
        <w:tab/>
      </w:r>
      <w:r w:rsidR="005C26B0">
        <w:t xml:space="preserve">Impact </w:t>
      </w:r>
      <w:r w:rsidR="001F4AFA">
        <w:t xml:space="preserve">and cost-benefit </w:t>
      </w:r>
      <w:r w:rsidR="005C26B0">
        <w:t>analysis</w:t>
      </w:r>
      <w:bookmarkEnd w:id="107"/>
      <w:bookmarkEnd w:id="108"/>
    </w:p>
    <w:p w14:paraId="38D3A3AA" w14:textId="49A33078" w:rsidR="00E46A28" w:rsidRPr="00844CFC" w:rsidRDefault="00E46A28" w:rsidP="005F7ECC">
      <w:pPr>
        <w:rPr>
          <w:sz w:val="24"/>
          <w:szCs w:val="24"/>
        </w:rPr>
      </w:pPr>
      <w:r w:rsidRPr="00844CFC">
        <w:rPr>
          <w:sz w:val="24"/>
          <w:szCs w:val="24"/>
        </w:rPr>
        <w:t xml:space="preserve">The regulatory impact of the proposed changes can in part be measured in estimates of the number of infringement notices that may be expected to be issued in any given year. This is estimated at approximately </w:t>
      </w:r>
      <w:r w:rsidR="00104610">
        <w:rPr>
          <w:sz w:val="24"/>
          <w:szCs w:val="24"/>
        </w:rPr>
        <w:t>48</w:t>
      </w:r>
      <w:r>
        <w:rPr>
          <w:sz w:val="24"/>
          <w:szCs w:val="24"/>
        </w:rPr>
        <w:t xml:space="preserve"> per year</w:t>
      </w:r>
      <w:r w:rsidR="00350D85">
        <w:rPr>
          <w:sz w:val="24"/>
          <w:szCs w:val="24"/>
        </w:rPr>
        <w:t xml:space="preserve">. It could be assumed that half may be at the five-penalty-unit rate ($150), and the other half at the 10-penalty unit rate ($300) suggesting that approximately $10,800 might be paid in infringements per year at the peak. </w:t>
      </w:r>
      <w:r w:rsidRPr="00844CFC">
        <w:rPr>
          <w:sz w:val="24"/>
          <w:szCs w:val="24"/>
        </w:rPr>
        <w:t xml:space="preserve">The following factors have been considered in providing this estimate: </w:t>
      </w:r>
    </w:p>
    <w:p w14:paraId="2A3A8E45" w14:textId="5733D5F2" w:rsidR="00E46A28" w:rsidRDefault="00643857" w:rsidP="005F7ECC">
      <w:pPr>
        <w:pStyle w:val="ReportList1"/>
      </w:pPr>
      <w:r>
        <w:t>i</w:t>
      </w:r>
      <w:r w:rsidR="00E46A28">
        <w:t>ssue of infringement notices would not be expected to be linear and consistent</w:t>
      </w:r>
      <w:r w:rsidR="00350D85">
        <w:t xml:space="preserve"> but instead to build up over the 2022-2023 and drop off afterwards. This is because:</w:t>
      </w:r>
      <w:r w:rsidR="00E46A28">
        <w:t xml:space="preserve"> </w:t>
      </w:r>
    </w:p>
    <w:p w14:paraId="62F36F79" w14:textId="4763D77B" w:rsidR="00104610" w:rsidRDefault="00643857" w:rsidP="005F7ECC">
      <w:pPr>
        <w:pStyle w:val="ReportList2"/>
      </w:pPr>
      <w:r>
        <w:t>i</w:t>
      </w:r>
      <w:r w:rsidR="00350D85">
        <w:t>nfringements</w:t>
      </w:r>
      <w:r w:rsidR="00E46A28">
        <w:t xml:space="preserve"> would not commence immediately on regulation updates</w:t>
      </w:r>
      <w:r w:rsidR="00FE5EB9">
        <w:t xml:space="preserve"> </w:t>
      </w:r>
      <w:r w:rsidR="00E46A28">
        <w:t xml:space="preserve">but would follow the establishment of administrative systems and an </w:t>
      </w:r>
      <w:r w:rsidR="000E74F9">
        <w:t>infringement notice scheme</w:t>
      </w:r>
      <w:r w:rsidR="00104610">
        <w:t xml:space="preserve"> generally, and specific arrangements for vehicle-related offences</w:t>
      </w:r>
      <w:r w:rsidR="00E46A28">
        <w:t xml:space="preserve"> to support the work</w:t>
      </w:r>
      <w:r w:rsidR="00C42420">
        <w:t>,</w:t>
      </w:r>
      <w:r w:rsidR="00104610">
        <w:t xml:space="preserve"> </w:t>
      </w:r>
    </w:p>
    <w:p w14:paraId="2370BAEB" w14:textId="46135FF0" w:rsidR="00E46A28" w:rsidRDefault="00643857" w:rsidP="005F7ECC">
      <w:pPr>
        <w:pStyle w:val="ReportList2"/>
      </w:pPr>
      <w:r>
        <w:t>c</w:t>
      </w:r>
      <w:r w:rsidR="00E46A28">
        <w:t xml:space="preserve">onfirmation </w:t>
      </w:r>
      <w:r w:rsidR="00104610">
        <w:t xml:space="preserve">would be needed </w:t>
      </w:r>
      <w:r w:rsidR="00E46A28">
        <w:t>that signage at all relevant facilities was clear and specific about expectations and offences</w:t>
      </w:r>
      <w:r w:rsidR="007C5C08">
        <w:t xml:space="preserve"> prior to issuing any infringements</w:t>
      </w:r>
      <w:r w:rsidR="00C42420">
        <w:t>,</w:t>
      </w:r>
      <w:r w:rsidR="008C6718">
        <w:t xml:space="preserve"> </w:t>
      </w:r>
      <w:r>
        <w:t>and</w:t>
      </w:r>
    </w:p>
    <w:p w14:paraId="4CF40FEA" w14:textId="7B4E0AB6" w:rsidR="002E0A6E" w:rsidRDefault="00643857" w:rsidP="005F7ECC">
      <w:pPr>
        <w:pStyle w:val="ReportList2"/>
      </w:pPr>
      <w:r>
        <w:t>e</w:t>
      </w:r>
      <w:r w:rsidR="002E0A6E">
        <w:t xml:space="preserve">ffective security camera systems would need to be installed before offences could readily be proven. </w:t>
      </w:r>
    </w:p>
    <w:p w14:paraId="6F4FD285" w14:textId="661B4601" w:rsidR="00E46A28" w:rsidRDefault="00643857" w:rsidP="005F7ECC">
      <w:pPr>
        <w:pStyle w:val="ReportList1"/>
      </w:pPr>
      <w:r>
        <w:lastRenderedPageBreak/>
        <w:t>t</w:t>
      </w:r>
      <w:r w:rsidR="00E46A28">
        <w:t>he WHS reporting includes an average of six apparent offences per year over five years. We could assume that each incident of this magnitude may result in the issue of an infringement notice</w:t>
      </w:r>
      <w:r w:rsidR="00C42420">
        <w:t>,</w:t>
      </w:r>
    </w:p>
    <w:p w14:paraId="16F143DE" w14:textId="672198D3" w:rsidR="00104610" w:rsidRDefault="00643857" w:rsidP="005F7ECC">
      <w:pPr>
        <w:pStyle w:val="ReportList1"/>
      </w:pPr>
      <w:r>
        <w:t>i</w:t>
      </w:r>
      <w:r w:rsidR="00104610">
        <w:t>nspections at RDOCs indicate that waste management offences are being committed very regularly at several facilities at present, sometimes at rates of more than one per day</w:t>
      </w:r>
      <w:r w:rsidR="00C42420">
        <w:t>,</w:t>
      </w:r>
      <w:r>
        <w:t xml:space="preserve"> and</w:t>
      </w:r>
      <w:r w:rsidR="00104610">
        <w:t xml:space="preserve"> </w:t>
      </w:r>
    </w:p>
    <w:p w14:paraId="76FB9343" w14:textId="6B3F19E2" w:rsidR="007C5C08" w:rsidRDefault="00643857" w:rsidP="005F7ECC">
      <w:pPr>
        <w:pStyle w:val="ReportList1"/>
      </w:pPr>
      <w:r>
        <w:t>i</w:t>
      </w:r>
      <w:r w:rsidR="007C5C08">
        <w:t xml:space="preserve">f successful in leading to greater awareness and compliance, the occurrence of offences and the need to issue infringements notices would be expected to drop off over time. </w:t>
      </w:r>
    </w:p>
    <w:p w14:paraId="28720669" w14:textId="77777777" w:rsidR="00E46A28" w:rsidRDefault="00E46A28" w:rsidP="005F7ECC"/>
    <w:p w14:paraId="35C658BF" w14:textId="37C6ED0F" w:rsidR="00B013EB" w:rsidRPr="00C248FB" w:rsidRDefault="00B013EB" w:rsidP="005F7ECC">
      <w:pPr>
        <w:pStyle w:val="Caption"/>
      </w:pPr>
      <w:bookmarkStart w:id="109" w:name="_Toc78275039"/>
      <w:r>
        <w:t xml:space="preserve">Table </w:t>
      </w:r>
      <w:r w:rsidR="000150F9">
        <w:fldChar w:fldCharType="begin"/>
      </w:r>
      <w:r w:rsidR="000150F9">
        <w:instrText xml:space="preserve"> SEQ Table \* ARABIC </w:instrText>
      </w:r>
      <w:r w:rsidR="000150F9">
        <w:fldChar w:fldCharType="separate"/>
      </w:r>
      <w:r w:rsidR="002C4D5A">
        <w:rPr>
          <w:noProof/>
        </w:rPr>
        <w:t>9</w:t>
      </w:r>
      <w:r w:rsidR="000150F9">
        <w:rPr>
          <w:noProof/>
        </w:rPr>
        <w:fldChar w:fldCharType="end"/>
      </w:r>
      <w:r>
        <w:t xml:space="preserve"> </w:t>
      </w:r>
      <w:r w:rsidRPr="00477098">
        <w:t>Enforceability of appropriate uses of waste facilities</w:t>
      </w:r>
      <w:r>
        <w:t xml:space="preserve"> summary of impacts</w:t>
      </w:r>
      <w:bookmarkEnd w:id="109"/>
    </w:p>
    <w:tbl>
      <w:tblPr>
        <w:tblStyle w:val="GridTable5Dark-Accent1"/>
        <w:tblW w:w="0" w:type="auto"/>
        <w:tblLook w:val="04A0" w:firstRow="1" w:lastRow="0" w:firstColumn="1" w:lastColumn="0" w:noHBand="0" w:noVBand="1"/>
      </w:tblPr>
      <w:tblGrid>
        <w:gridCol w:w="2972"/>
        <w:gridCol w:w="6044"/>
      </w:tblGrid>
      <w:tr w:rsidR="001F4AFA" w14:paraId="5418E908" w14:textId="77777777" w:rsidTr="00533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8D01DD" w14:textId="77777777" w:rsidR="001F4AFA" w:rsidRDefault="001F4AFA" w:rsidP="005F7ECC">
            <w:r>
              <w:t>Type of impact</w:t>
            </w:r>
          </w:p>
        </w:tc>
        <w:tc>
          <w:tcPr>
            <w:tcW w:w="6044" w:type="dxa"/>
          </w:tcPr>
          <w:p w14:paraId="7C8D4EE7" w14:textId="77777777" w:rsidR="001F4AFA" w:rsidRDefault="001F4AFA" w:rsidP="005F7ECC">
            <w:pPr>
              <w:cnfStyle w:val="100000000000" w:firstRow="1" w:lastRow="0" w:firstColumn="0" w:lastColumn="0" w:oddVBand="0" w:evenVBand="0" w:oddHBand="0" w:evenHBand="0" w:firstRowFirstColumn="0" w:firstRowLastColumn="0" w:lastRowFirstColumn="0" w:lastRowLastColumn="0"/>
            </w:pPr>
            <w:r>
              <w:t>Summary of impact</w:t>
            </w:r>
          </w:p>
        </w:tc>
      </w:tr>
      <w:tr w:rsidR="001F4AFA" w14:paraId="29174417" w14:textId="77777777" w:rsidTr="00533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0AE26" w14:textId="77777777" w:rsidR="001F4AFA" w:rsidRDefault="001F4AFA" w:rsidP="005F7ECC">
            <w:r>
              <w:t>Benefits of amendments</w:t>
            </w:r>
          </w:p>
        </w:tc>
        <w:tc>
          <w:tcPr>
            <w:tcW w:w="6044" w:type="dxa"/>
          </w:tcPr>
          <w:p w14:paraId="4715C444" w14:textId="442B6A2D" w:rsidR="001F4AFA" w:rsidRDefault="00680928" w:rsidP="005F7ECC">
            <w:pPr>
              <w:pStyle w:val="ListParagraph"/>
              <w:numPr>
                <w:ilvl w:val="0"/>
                <w:numId w:val="35"/>
              </w:numPr>
              <w:ind w:left="181" w:hanging="219"/>
              <w:cnfStyle w:val="000000100000" w:firstRow="0" w:lastRow="0" w:firstColumn="0" w:lastColumn="0" w:oddVBand="0" w:evenVBand="0" w:oddHBand="1" w:evenHBand="0" w:firstRowFirstColumn="0" w:firstRowLastColumn="0" w:lastRowFirstColumn="0" w:lastRowLastColumn="0"/>
            </w:pPr>
            <w:r>
              <w:t>The amendments establish</w:t>
            </w:r>
            <w:r w:rsidR="006A3511" w:rsidRPr="006A3511">
              <w:t xml:space="preserve"> clear waste management practices </w:t>
            </w:r>
            <w:r>
              <w:t>in line with</w:t>
            </w:r>
            <w:r w:rsidR="006A3511" w:rsidRPr="006A3511">
              <w:t xml:space="preserve"> expectations of members of public. This creates the ability to produce on-the-spot fines as necessary.</w:t>
            </w:r>
          </w:p>
        </w:tc>
      </w:tr>
      <w:tr w:rsidR="001F4AFA" w14:paraId="511E3B65" w14:textId="77777777" w:rsidTr="0053340C">
        <w:tc>
          <w:tcPr>
            <w:cnfStyle w:val="001000000000" w:firstRow="0" w:lastRow="0" w:firstColumn="1" w:lastColumn="0" w:oddVBand="0" w:evenVBand="0" w:oddHBand="0" w:evenHBand="0" w:firstRowFirstColumn="0" w:firstRowLastColumn="0" w:lastRowFirstColumn="0" w:lastRowLastColumn="0"/>
            <w:tcW w:w="2972" w:type="dxa"/>
          </w:tcPr>
          <w:p w14:paraId="7C9BE298" w14:textId="77777777" w:rsidR="001F4AFA" w:rsidRDefault="001F4AFA" w:rsidP="005F7ECC">
            <w:r>
              <w:t>Impact of not making amendments</w:t>
            </w:r>
          </w:p>
        </w:tc>
        <w:tc>
          <w:tcPr>
            <w:tcW w:w="6044" w:type="dxa"/>
          </w:tcPr>
          <w:p w14:paraId="5A1956B6" w14:textId="7B9F0D27" w:rsidR="001F4AFA" w:rsidRDefault="00680928" w:rsidP="005F7ECC">
            <w:pPr>
              <w:pStyle w:val="ListParagraph"/>
              <w:numPr>
                <w:ilvl w:val="0"/>
                <w:numId w:val="35"/>
              </w:numPr>
              <w:ind w:left="181" w:hanging="219"/>
              <w:cnfStyle w:val="000000000000" w:firstRow="0" w:lastRow="0" w:firstColumn="0" w:lastColumn="0" w:oddVBand="0" w:evenVBand="0" w:oddHBand="0" w:evenHBand="0" w:firstRowFirstColumn="0" w:firstRowLastColumn="0" w:lastRowFirstColumn="0" w:lastRowLastColumn="0"/>
            </w:pPr>
            <w:r>
              <w:t xml:space="preserve">Without the amendments, effective regulation of breaches at waste facilities is unlikely because it will be too difficult to show that offenders were aware that facility operators do not consent to inappropriate use of facilities. </w:t>
            </w:r>
          </w:p>
          <w:p w14:paraId="0350E2EC" w14:textId="5AA23071" w:rsidR="00680928" w:rsidRDefault="00504E1C" w:rsidP="005F7ECC">
            <w:pPr>
              <w:pStyle w:val="ListParagraph"/>
              <w:numPr>
                <w:ilvl w:val="0"/>
                <w:numId w:val="35"/>
              </w:numPr>
              <w:ind w:left="181" w:hanging="219"/>
              <w:cnfStyle w:val="000000000000" w:firstRow="0" w:lastRow="0" w:firstColumn="0" w:lastColumn="0" w:oddVBand="0" w:evenVBand="0" w:oddHBand="0" w:evenHBand="0" w:firstRowFirstColumn="0" w:firstRowLastColumn="0" w:lastRowFirstColumn="0" w:lastRowLastColumn="0"/>
            </w:pPr>
            <w:r>
              <w:t>If vehicle offences are not introduced then it severely limits the government’s capacity to respond to offences committed at unstaffed facilities.</w:t>
            </w:r>
          </w:p>
        </w:tc>
      </w:tr>
      <w:tr w:rsidR="001F4AFA" w14:paraId="6EDE67BF" w14:textId="77777777" w:rsidTr="00533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FD96C5C" w14:textId="77777777" w:rsidR="001F4AFA" w:rsidRDefault="001F4AFA" w:rsidP="005F7ECC">
            <w:r>
              <w:t>Amendments which may impose some cost</w:t>
            </w:r>
          </w:p>
        </w:tc>
        <w:tc>
          <w:tcPr>
            <w:tcW w:w="6044" w:type="dxa"/>
          </w:tcPr>
          <w:p w14:paraId="231EC7A9" w14:textId="5DDEAB19" w:rsidR="001F4AFA" w:rsidRDefault="00350D85" w:rsidP="005F7ECC">
            <w:pPr>
              <w:pStyle w:val="ListParagraph"/>
              <w:numPr>
                <w:ilvl w:val="0"/>
                <w:numId w:val="35"/>
              </w:numPr>
              <w:ind w:left="181" w:hanging="219"/>
              <w:cnfStyle w:val="000000100000" w:firstRow="0" w:lastRow="0" w:firstColumn="0" w:lastColumn="0" w:oddVBand="0" w:evenVBand="0" w:oddHBand="1" w:evenHBand="0" w:firstRowFirstColumn="0" w:firstRowLastColumn="0" w:lastRowFirstColumn="0" w:lastRowLastColumn="0"/>
            </w:pPr>
            <w:r>
              <w:t>Costs associated with infringements are estimated at a potential total cost to community, and income to government peaking at $10,800 per year in about 2023 and reducing thereafter.</w:t>
            </w:r>
          </w:p>
        </w:tc>
      </w:tr>
      <w:tr w:rsidR="001F4AFA" w14:paraId="625947E7" w14:textId="77777777" w:rsidTr="0053340C">
        <w:tc>
          <w:tcPr>
            <w:cnfStyle w:val="001000000000" w:firstRow="0" w:lastRow="0" w:firstColumn="1" w:lastColumn="0" w:oddVBand="0" w:evenVBand="0" w:oddHBand="0" w:evenHBand="0" w:firstRowFirstColumn="0" w:firstRowLastColumn="0" w:lastRowFirstColumn="0" w:lastRowLastColumn="0"/>
            <w:tcW w:w="2972" w:type="dxa"/>
          </w:tcPr>
          <w:p w14:paraId="653F03EB" w14:textId="77777777" w:rsidR="001F4AFA" w:rsidRDefault="001F4AFA" w:rsidP="005F7ECC">
            <w:r>
              <w:t>Amendments which will not impose any appreciable costs</w:t>
            </w:r>
          </w:p>
        </w:tc>
        <w:tc>
          <w:tcPr>
            <w:tcW w:w="6044" w:type="dxa"/>
          </w:tcPr>
          <w:p w14:paraId="3D864030" w14:textId="28542671" w:rsidR="001F4AFA" w:rsidRDefault="00C07C83" w:rsidP="005F7ECC">
            <w:pPr>
              <w:pStyle w:val="ListParagraph"/>
              <w:numPr>
                <w:ilvl w:val="0"/>
                <w:numId w:val="35"/>
              </w:numPr>
              <w:ind w:left="181" w:hanging="219"/>
              <w:cnfStyle w:val="000000000000" w:firstRow="0" w:lastRow="0" w:firstColumn="0" w:lastColumn="0" w:oddVBand="0" w:evenVBand="0" w:oddHBand="0" w:evenHBand="0" w:firstRowFirstColumn="0" w:firstRowLastColumn="0" w:lastRowFirstColumn="0" w:lastRowLastColumn="0"/>
            </w:pPr>
            <w:r>
              <w:t xml:space="preserve">There is no real change to the scope of the offence provisions, just additional clarity and enforceability. </w:t>
            </w:r>
          </w:p>
        </w:tc>
      </w:tr>
    </w:tbl>
    <w:p w14:paraId="65BA50D5" w14:textId="77777777" w:rsidR="001F4AFA" w:rsidRDefault="001F4AFA" w:rsidP="005F7ECC"/>
    <w:p w14:paraId="04DC0646" w14:textId="5BF45AB5" w:rsidR="00127724" w:rsidRDefault="00E0116D" w:rsidP="005F7ECC">
      <w:pPr>
        <w:pStyle w:val="Heading1"/>
      </w:pPr>
      <w:bookmarkStart w:id="110" w:name="_Toc78374712"/>
      <w:bookmarkStart w:id="111" w:name="_Toc79490222"/>
      <w:r>
        <w:t>Increasing flexibility for</w:t>
      </w:r>
      <w:r w:rsidR="004A5BA8">
        <w:t xml:space="preserve"> </w:t>
      </w:r>
      <w:r w:rsidR="00127724">
        <w:t xml:space="preserve">Container Deposit Scheme </w:t>
      </w:r>
      <w:r w:rsidR="00937189">
        <w:t>collection</w:t>
      </w:r>
      <w:r>
        <w:t xml:space="preserve"> points</w:t>
      </w:r>
      <w:bookmarkEnd w:id="110"/>
      <w:bookmarkEnd w:id="111"/>
    </w:p>
    <w:p w14:paraId="45ECF99D" w14:textId="2D11B919" w:rsidR="005C26B0" w:rsidRDefault="005F7ECC" w:rsidP="005F7ECC">
      <w:pPr>
        <w:pStyle w:val="Heading2"/>
      </w:pPr>
      <w:bookmarkStart w:id="112" w:name="_Toc78374713"/>
      <w:bookmarkStart w:id="113" w:name="_Toc79490223"/>
      <w:r>
        <w:t>1</w:t>
      </w:r>
      <w:r w:rsidR="00690C94">
        <w:t>0</w:t>
      </w:r>
      <w:r>
        <w:t>.1</w:t>
      </w:r>
      <w:r w:rsidR="005C26B0">
        <w:t xml:space="preserve"> </w:t>
      </w:r>
      <w:r w:rsidR="002F7C2B">
        <w:tab/>
      </w:r>
      <w:r w:rsidR="005C26B0">
        <w:t>Problem</w:t>
      </w:r>
      <w:bookmarkEnd w:id="112"/>
      <w:bookmarkEnd w:id="113"/>
    </w:p>
    <w:p w14:paraId="6C3B91FA" w14:textId="20EF05A0" w:rsidR="00A3190F" w:rsidRPr="008670BC" w:rsidRDefault="004217BF" w:rsidP="005F7ECC">
      <w:pPr>
        <w:rPr>
          <w:sz w:val="24"/>
          <w:szCs w:val="24"/>
        </w:rPr>
      </w:pPr>
      <w:r w:rsidRPr="008670BC">
        <w:rPr>
          <w:sz w:val="24"/>
          <w:szCs w:val="24"/>
        </w:rPr>
        <w:t xml:space="preserve">Division 4A of the Regulation provides for the administration of the ACT CDS. </w:t>
      </w:r>
      <w:r w:rsidR="006A3511" w:rsidRPr="008670BC">
        <w:rPr>
          <w:sz w:val="24"/>
          <w:szCs w:val="24"/>
        </w:rPr>
        <w:t xml:space="preserve">There </w:t>
      </w:r>
      <w:r w:rsidR="00E0116D" w:rsidRPr="008670BC">
        <w:rPr>
          <w:sz w:val="24"/>
          <w:szCs w:val="24"/>
        </w:rPr>
        <w:t xml:space="preserve">are two clauses </w:t>
      </w:r>
      <w:r w:rsidRPr="008670BC">
        <w:rPr>
          <w:sz w:val="24"/>
          <w:szCs w:val="24"/>
        </w:rPr>
        <w:t xml:space="preserve">which currently limit the flexibility available for approving </w:t>
      </w:r>
      <w:r w:rsidR="00E0116D" w:rsidRPr="008670BC">
        <w:rPr>
          <w:sz w:val="24"/>
          <w:szCs w:val="24"/>
        </w:rPr>
        <w:t xml:space="preserve">CDS </w:t>
      </w:r>
      <w:r w:rsidR="00937189" w:rsidRPr="008670BC">
        <w:rPr>
          <w:sz w:val="24"/>
          <w:szCs w:val="24"/>
        </w:rPr>
        <w:t>collection point</w:t>
      </w:r>
      <w:r w:rsidRPr="008670BC">
        <w:rPr>
          <w:sz w:val="24"/>
          <w:szCs w:val="24"/>
        </w:rPr>
        <w:t>s</w:t>
      </w:r>
      <w:r w:rsidR="00FE5EB9">
        <w:rPr>
          <w:sz w:val="24"/>
          <w:szCs w:val="24"/>
        </w:rPr>
        <w:t xml:space="preserve"> (locations</w:t>
      </w:r>
      <w:r w:rsidRPr="008670BC">
        <w:rPr>
          <w:sz w:val="24"/>
          <w:szCs w:val="24"/>
        </w:rPr>
        <w:t xml:space="preserve"> that containers are taken for redemption of the 10c payment per container</w:t>
      </w:r>
      <w:r w:rsidR="00FE5EB9">
        <w:rPr>
          <w:sz w:val="24"/>
          <w:szCs w:val="24"/>
        </w:rPr>
        <w:t>).</w:t>
      </w:r>
      <w:r w:rsidRPr="008670BC">
        <w:rPr>
          <w:sz w:val="24"/>
          <w:szCs w:val="24"/>
        </w:rPr>
        <w:t xml:space="preserve"> </w:t>
      </w:r>
      <w:r w:rsidR="00A3190F" w:rsidRPr="008670BC">
        <w:rPr>
          <w:sz w:val="24"/>
          <w:szCs w:val="24"/>
        </w:rPr>
        <w:t xml:space="preserve">The </w:t>
      </w:r>
      <w:r w:rsidRPr="008670BC">
        <w:rPr>
          <w:sz w:val="24"/>
          <w:szCs w:val="24"/>
        </w:rPr>
        <w:t>clauses</w:t>
      </w:r>
      <w:r w:rsidR="00A3190F" w:rsidRPr="008670BC">
        <w:rPr>
          <w:sz w:val="24"/>
          <w:szCs w:val="24"/>
        </w:rPr>
        <w:t xml:space="preserve"> were written </w:t>
      </w:r>
      <w:r w:rsidR="00C83460" w:rsidRPr="008670BC">
        <w:rPr>
          <w:sz w:val="24"/>
          <w:szCs w:val="24"/>
        </w:rPr>
        <w:t xml:space="preserve">prior to CDS commencement </w:t>
      </w:r>
      <w:r w:rsidR="00A3190F" w:rsidRPr="008670BC">
        <w:rPr>
          <w:sz w:val="24"/>
          <w:szCs w:val="24"/>
        </w:rPr>
        <w:t xml:space="preserve">with the goal of initiating the </w:t>
      </w:r>
      <w:r w:rsidR="00FE5EB9">
        <w:rPr>
          <w:sz w:val="24"/>
          <w:szCs w:val="24"/>
        </w:rPr>
        <w:t>S</w:t>
      </w:r>
      <w:r w:rsidR="00C83460" w:rsidRPr="008670BC">
        <w:rPr>
          <w:sz w:val="24"/>
          <w:szCs w:val="24"/>
        </w:rPr>
        <w:t>cheme. They reflect the</w:t>
      </w:r>
      <w:r w:rsidR="00A3190F" w:rsidRPr="008670BC">
        <w:rPr>
          <w:sz w:val="24"/>
          <w:szCs w:val="24"/>
        </w:rPr>
        <w:t xml:space="preserve"> start-up phase</w:t>
      </w:r>
      <w:r w:rsidR="00C83460" w:rsidRPr="008670BC">
        <w:rPr>
          <w:sz w:val="24"/>
          <w:szCs w:val="24"/>
        </w:rPr>
        <w:t xml:space="preserve"> in which they were drafted</w:t>
      </w:r>
      <w:r w:rsidR="00A3190F" w:rsidRPr="008670BC">
        <w:rPr>
          <w:sz w:val="24"/>
          <w:szCs w:val="24"/>
        </w:rPr>
        <w:t xml:space="preserve"> rather than providing </w:t>
      </w:r>
      <w:r w:rsidR="00E0116D" w:rsidRPr="008670BC">
        <w:rPr>
          <w:sz w:val="24"/>
          <w:szCs w:val="24"/>
        </w:rPr>
        <w:t xml:space="preserve">flexible options for the continuous improvement of </w:t>
      </w:r>
      <w:r w:rsidR="00C83460" w:rsidRPr="008670BC">
        <w:rPr>
          <w:sz w:val="24"/>
          <w:szCs w:val="24"/>
        </w:rPr>
        <w:t xml:space="preserve">the </w:t>
      </w:r>
      <w:r w:rsidR="00A3190F" w:rsidRPr="008670BC">
        <w:rPr>
          <w:sz w:val="24"/>
          <w:szCs w:val="24"/>
        </w:rPr>
        <w:t xml:space="preserve">mature scheme. </w:t>
      </w:r>
      <w:r w:rsidRPr="008670BC">
        <w:rPr>
          <w:sz w:val="24"/>
          <w:szCs w:val="24"/>
        </w:rPr>
        <w:t>One of the clauses</w:t>
      </w:r>
      <w:r w:rsidR="00A3190F" w:rsidRPr="008670BC">
        <w:rPr>
          <w:sz w:val="24"/>
          <w:szCs w:val="24"/>
        </w:rPr>
        <w:t xml:space="preserve"> is </w:t>
      </w:r>
      <w:r w:rsidRPr="008670BC">
        <w:rPr>
          <w:sz w:val="24"/>
          <w:szCs w:val="24"/>
        </w:rPr>
        <w:t>inconsistent</w:t>
      </w:r>
      <w:r w:rsidR="00A3190F" w:rsidRPr="008670BC">
        <w:rPr>
          <w:sz w:val="24"/>
          <w:szCs w:val="24"/>
        </w:rPr>
        <w:t xml:space="preserve"> with the Act following </w:t>
      </w:r>
      <w:r w:rsidR="00BD2DB1" w:rsidRPr="008670BC">
        <w:rPr>
          <w:sz w:val="24"/>
          <w:szCs w:val="24"/>
        </w:rPr>
        <w:t xml:space="preserve">some recent </w:t>
      </w:r>
      <w:r w:rsidR="00A3190F" w:rsidRPr="008670BC">
        <w:rPr>
          <w:sz w:val="24"/>
          <w:szCs w:val="24"/>
        </w:rPr>
        <w:t xml:space="preserve">amendments. </w:t>
      </w:r>
    </w:p>
    <w:p w14:paraId="02C5EA82" w14:textId="574897B2" w:rsidR="00A3190F" w:rsidRPr="008670BC" w:rsidRDefault="004217BF" w:rsidP="005F7ECC">
      <w:pPr>
        <w:rPr>
          <w:sz w:val="24"/>
          <w:szCs w:val="24"/>
        </w:rPr>
      </w:pPr>
      <w:r w:rsidRPr="008670BC">
        <w:rPr>
          <w:sz w:val="24"/>
          <w:szCs w:val="24"/>
        </w:rPr>
        <w:lastRenderedPageBreak/>
        <w:t xml:space="preserve">Section </w:t>
      </w:r>
      <w:r w:rsidR="006A3511" w:rsidRPr="008670BC">
        <w:rPr>
          <w:sz w:val="24"/>
          <w:szCs w:val="24"/>
        </w:rPr>
        <w:t xml:space="preserve">24P </w:t>
      </w:r>
      <w:r w:rsidR="00E0116D" w:rsidRPr="008670BC">
        <w:rPr>
          <w:sz w:val="24"/>
          <w:szCs w:val="24"/>
        </w:rPr>
        <w:t xml:space="preserve">constrains flexibility in the mature </w:t>
      </w:r>
      <w:r w:rsidR="00FE5EB9">
        <w:rPr>
          <w:sz w:val="24"/>
          <w:szCs w:val="24"/>
        </w:rPr>
        <w:t>S</w:t>
      </w:r>
      <w:r w:rsidR="00E0116D" w:rsidRPr="008670BC">
        <w:rPr>
          <w:sz w:val="24"/>
          <w:szCs w:val="24"/>
        </w:rPr>
        <w:t>cheme</w:t>
      </w:r>
      <w:r w:rsidRPr="008670BC">
        <w:rPr>
          <w:sz w:val="24"/>
          <w:szCs w:val="24"/>
        </w:rPr>
        <w:t xml:space="preserve"> by being overly prescriptive about the characteristics of </w:t>
      </w:r>
      <w:r w:rsidR="007A45B3">
        <w:rPr>
          <w:sz w:val="24"/>
          <w:szCs w:val="24"/>
        </w:rPr>
        <w:t xml:space="preserve">all </w:t>
      </w:r>
      <w:r w:rsidR="00937189" w:rsidRPr="008670BC">
        <w:rPr>
          <w:sz w:val="24"/>
          <w:szCs w:val="24"/>
        </w:rPr>
        <w:t>collection point</w:t>
      </w:r>
      <w:r w:rsidRPr="008670BC">
        <w:rPr>
          <w:sz w:val="24"/>
          <w:szCs w:val="24"/>
        </w:rPr>
        <w:t>s</w:t>
      </w:r>
      <w:r w:rsidR="00E0116D" w:rsidRPr="008670BC">
        <w:rPr>
          <w:sz w:val="24"/>
          <w:szCs w:val="24"/>
        </w:rPr>
        <w:t xml:space="preserve">. </w:t>
      </w:r>
      <w:r w:rsidRPr="008670BC">
        <w:rPr>
          <w:sz w:val="24"/>
          <w:szCs w:val="24"/>
        </w:rPr>
        <w:t xml:space="preserve">Its initial goal was to ensure the provision of </w:t>
      </w:r>
      <w:r w:rsidR="007A45B3">
        <w:rPr>
          <w:sz w:val="24"/>
          <w:szCs w:val="24"/>
        </w:rPr>
        <w:t xml:space="preserve">a sufficient set of </w:t>
      </w:r>
      <w:r w:rsidRPr="008670BC">
        <w:rPr>
          <w:sz w:val="24"/>
          <w:szCs w:val="24"/>
        </w:rPr>
        <w:t xml:space="preserve">accessible </w:t>
      </w:r>
      <w:r w:rsidR="00937189" w:rsidRPr="008670BC">
        <w:rPr>
          <w:sz w:val="24"/>
          <w:szCs w:val="24"/>
        </w:rPr>
        <w:t>collection</w:t>
      </w:r>
      <w:r w:rsidRPr="008670BC">
        <w:rPr>
          <w:sz w:val="24"/>
          <w:szCs w:val="24"/>
        </w:rPr>
        <w:t xml:space="preserve"> points throughout the Territory, however now that such points have been made available, it is constraining the establishment of additional points which could meet other needs. </w:t>
      </w:r>
      <w:r w:rsidR="00E0116D" w:rsidRPr="008670BC">
        <w:rPr>
          <w:sz w:val="24"/>
          <w:szCs w:val="24"/>
        </w:rPr>
        <w:t xml:space="preserve">For </w:t>
      </w:r>
      <w:r w:rsidR="00FE5EB9">
        <w:rPr>
          <w:sz w:val="24"/>
          <w:szCs w:val="24"/>
        </w:rPr>
        <w:t>example,</w:t>
      </w:r>
      <w:r w:rsidR="00E0116D" w:rsidRPr="008670BC">
        <w:rPr>
          <w:sz w:val="24"/>
          <w:szCs w:val="24"/>
        </w:rPr>
        <w:t xml:space="preserve"> </w:t>
      </w:r>
      <w:r w:rsidRPr="008670BC">
        <w:rPr>
          <w:sz w:val="24"/>
          <w:szCs w:val="24"/>
        </w:rPr>
        <w:t xml:space="preserve">S24P(d)(i) </w:t>
      </w:r>
      <w:r w:rsidR="006A3511" w:rsidRPr="008670BC">
        <w:rPr>
          <w:sz w:val="24"/>
          <w:szCs w:val="24"/>
        </w:rPr>
        <w:t xml:space="preserve">requires </w:t>
      </w:r>
      <w:r w:rsidR="00A3190F" w:rsidRPr="008670BC">
        <w:rPr>
          <w:sz w:val="24"/>
          <w:szCs w:val="24"/>
        </w:rPr>
        <w:t xml:space="preserve">that all </w:t>
      </w:r>
      <w:r w:rsidR="00937189" w:rsidRPr="008670BC">
        <w:rPr>
          <w:sz w:val="24"/>
          <w:szCs w:val="24"/>
        </w:rPr>
        <w:t>collection point</w:t>
      </w:r>
      <w:r w:rsidR="00A3190F" w:rsidRPr="008670BC">
        <w:rPr>
          <w:sz w:val="24"/>
          <w:szCs w:val="24"/>
        </w:rPr>
        <w:t xml:space="preserve">s be open for </w:t>
      </w:r>
      <w:r w:rsidR="00C83460" w:rsidRPr="008670BC">
        <w:rPr>
          <w:sz w:val="24"/>
          <w:szCs w:val="24"/>
        </w:rPr>
        <w:t>at least</w:t>
      </w:r>
      <w:r w:rsidR="00192EB6">
        <w:rPr>
          <w:sz w:val="24"/>
          <w:szCs w:val="24"/>
        </w:rPr>
        <w:t xml:space="preserve"> seven</w:t>
      </w:r>
      <w:r w:rsidR="00A3190F" w:rsidRPr="008670BC">
        <w:rPr>
          <w:sz w:val="24"/>
          <w:szCs w:val="24"/>
        </w:rPr>
        <w:t xml:space="preserve"> hours, seven days of the week</w:t>
      </w:r>
      <w:r w:rsidR="00C83460" w:rsidRPr="008670BC">
        <w:rPr>
          <w:sz w:val="24"/>
          <w:szCs w:val="24"/>
        </w:rPr>
        <w:t xml:space="preserve"> between the hours of 7am and 7pm</w:t>
      </w:r>
      <w:r w:rsidR="00A3190F" w:rsidRPr="008670BC">
        <w:rPr>
          <w:sz w:val="24"/>
          <w:szCs w:val="24"/>
        </w:rPr>
        <w:t>, including on all but two public holidays. This excludes many potentially useful collection points such as those located at charity shops</w:t>
      </w:r>
      <w:r w:rsidR="00E0116D" w:rsidRPr="008670BC">
        <w:rPr>
          <w:sz w:val="24"/>
          <w:szCs w:val="24"/>
        </w:rPr>
        <w:t xml:space="preserve"> as their volunteer staff are not able to keep the stores open for such long hours</w:t>
      </w:r>
      <w:r w:rsidR="00A3190F" w:rsidRPr="008670BC">
        <w:rPr>
          <w:sz w:val="24"/>
          <w:szCs w:val="24"/>
        </w:rPr>
        <w:t>.</w:t>
      </w:r>
      <w:r w:rsidR="00E0116D" w:rsidRPr="008670BC">
        <w:rPr>
          <w:sz w:val="24"/>
          <w:szCs w:val="24"/>
        </w:rPr>
        <w:t xml:space="preserve"> </w:t>
      </w:r>
      <w:r w:rsidRPr="008670BC">
        <w:rPr>
          <w:sz w:val="24"/>
          <w:szCs w:val="24"/>
        </w:rPr>
        <w:t>There are also</w:t>
      </w:r>
      <w:r w:rsidR="00E0116D" w:rsidRPr="008670BC">
        <w:rPr>
          <w:sz w:val="24"/>
          <w:szCs w:val="24"/>
        </w:rPr>
        <w:t xml:space="preserve"> overly prescriptive requirements for receipt of bulk deliveries, sizes of residential catchment areas, travel times from other collection points and so on. </w:t>
      </w:r>
    </w:p>
    <w:p w14:paraId="391AEEF2" w14:textId="2839B58D" w:rsidR="006A3511" w:rsidRPr="006A3511" w:rsidRDefault="00BD2DB1" w:rsidP="005F7ECC">
      <w:r w:rsidRPr="008670BC">
        <w:rPr>
          <w:sz w:val="24"/>
          <w:szCs w:val="24"/>
        </w:rPr>
        <w:t xml:space="preserve">Section </w:t>
      </w:r>
      <w:r w:rsidR="006A3511" w:rsidRPr="008670BC">
        <w:rPr>
          <w:sz w:val="24"/>
          <w:szCs w:val="24"/>
        </w:rPr>
        <w:t xml:space="preserve">24Q implies that licences are required for all </w:t>
      </w:r>
      <w:r w:rsidR="00937189" w:rsidRPr="008670BC">
        <w:rPr>
          <w:sz w:val="24"/>
          <w:szCs w:val="24"/>
        </w:rPr>
        <w:t>collection point</w:t>
      </w:r>
      <w:r w:rsidR="006A3511" w:rsidRPr="008670BC">
        <w:rPr>
          <w:sz w:val="24"/>
          <w:szCs w:val="24"/>
        </w:rPr>
        <w:t>s</w:t>
      </w:r>
      <w:r w:rsidR="004217BF" w:rsidRPr="008670BC">
        <w:rPr>
          <w:sz w:val="24"/>
          <w:szCs w:val="24"/>
        </w:rPr>
        <w:t xml:space="preserve"> which was an early expectation for the scheme but has proven to be unnecessary as many popular </w:t>
      </w:r>
      <w:r w:rsidR="00937189" w:rsidRPr="008670BC">
        <w:rPr>
          <w:sz w:val="24"/>
          <w:szCs w:val="24"/>
        </w:rPr>
        <w:t>collection point</w:t>
      </w:r>
      <w:r w:rsidR="004217BF" w:rsidRPr="008670BC">
        <w:rPr>
          <w:sz w:val="24"/>
          <w:szCs w:val="24"/>
        </w:rPr>
        <w:t>s are provided as additional services within shopping centres and charity shops. These sites are not waste facilities and do not hold waste facility licences. T</w:t>
      </w:r>
      <w:r w:rsidRPr="008670BC">
        <w:rPr>
          <w:sz w:val="24"/>
          <w:szCs w:val="24"/>
        </w:rPr>
        <w:t xml:space="preserve">he Act </w:t>
      </w:r>
      <w:r w:rsidR="004217BF" w:rsidRPr="008670BC">
        <w:rPr>
          <w:sz w:val="24"/>
          <w:szCs w:val="24"/>
        </w:rPr>
        <w:t xml:space="preserve">was amended via the </w:t>
      </w:r>
      <w:r w:rsidR="004217BF" w:rsidRPr="00192EB6">
        <w:rPr>
          <w:i/>
          <w:iCs/>
          <w:sz w:val="24"/>
          <w:szCs w:val="24"/>
        </w:rPr>
        <w:t>Planning and Environment Legislation Amendment Bill 2020</w:t>
      </w:r>
      <w:r w:rsidRPr="00192EB6">
        <w:rPr>
          <w:i/>
          <w:iCs/>
          <w:sz w:val="24"/>
          <w:szCs w:val="24"/>
        </w:rPr>
        <w:t xml:space="preserve"> </w:t>
      </w:r>
      <w:r w:rsidRPr="008670BC">
        <w:rPr>
          <w:sz w:val="24"/>
          <w:szCs w:val="24"/>
        </w:rPr>
        <w:t xml:space="preserve">to </w:t>
      </w:r>
      <w:r w:rsidR="00937189" w:rsidRPr="008670BC">
        <w:rPr>
          <w:sz w:val="24"/>
          <w:szCs w:val="24"/>
        </w:rPr>
        <w:t xml:space="preserve">make it explicit that </w:t>
      </w:r>
      <w:r w:rsidR="00937189" w:rsidRPr="00192EB6">
        <w:rPr>
          <w:sz w:val="24"/>
          <w:szCs w:val="24"/>
        </w:rPr>
        <w:t xml:space="preserve">collection points </w:t>
      </w:r>
      <w:r w:rsidR="00192EB6" w:rsidRPr="00192EB6">
        <w:rPr>
          <w:sz w:val="24"/>
          <w:szCs w:val="24"/>
        </w:rPr>
        <w:t>are not required to</w:t>
      </w:r>
      <w:r w:rsidRPr="00192EB6">
        <w:rPr>
          <w:sz w:val="24"/>
          <w:szCs w:val="24"/>
        </w:rPr>
        <w:t xml:space="preserve"> be licensed waste facilities. </w:t>
      </w:r>
      <w:r w:rsidR="00937189" w:rsidRPr="00192EB6">
        <w:rPr>
          <w:sz w:val="24"/>
          <w:szCs w:val="24"/>
        </w:rPr>
        <w:t>The Regulation was not</w:t>
      </w:r>
      <w:r w:rsidR="00937189" w:rsidRPr="008670BC">
        <w:rPr>
          <w:sz w:val="24"/>
          <w:szCs w:val="24"/>
        </w:rPr>
        <w:t xml:space="preserve"> amended in conjunction with the Bill and so an inconsistency has remained where the Regulation still requires </w:t>
      </w:r>
      <w:r w:rsidR="00FE5EB9">
        <w:rPr>
          <w:sz w:val="24"/>
          <w:szCs w:val="24"/>
        </w:rPr>
        <w:t>evidence</w:t>
      </w:r>
      <w:r w:rsidR="00AB7E2E">
        <w:rPr>
          <w:sz w:val="24"/>
          <w:szCs w:val="24"/>
        </w:rPr>
        <w:t xml:space="preserve"> of a waste facility licence for</w:t>
      </w:r>
      <w:r w:rsidR="00937189" w:rsidRPr="008670BC">
        <w:rPr>
          <w:sz w:val="24"/>
          <w:szCs w:val="24"/>
        </w:rPr>
        <w:t xml:space="preserve"> collection point applications</w:t>
      </w:r>
      <w:r w:rsidR="00AB7E2E">
        <w:rPr>
          <w:sz w:val="24"/>
          <w:szCs w:val="24"/>
        </w:rPr>
        <w:t>.</w:t>
      </w:r>
      <w:r w:rsidR="00937189" w:rsidRPr="008670BC">
        <w:rPr>
          <w:sz w:val="24"/>
          <w:szCs w:val="24"/>
        </w:rPr>
        <w:t xml:space="preserve"> </w:t>
      </w:r>
    </w:p>
    <w:p w14:paraId="2F30C71D" w14:textId="656F121B" w:rsidR="005C26B0" w:rsidRDefault="005F7ECC" w:rsidP="005F7ECC">
      <w:pPr>
        <w:pStyle w:val="Heading2"/>
      </w:pPr>
      <w:bookmarkStart w:id="114" w:name="_Toc78374714"/>
      <w:bookmarkStart w:id="115" w:name="_Toc79490224"/>
      <w:r>
        <w:t>1</w:t>
      </w:r>
      <w:r w:rsidR="00690C94">
        <w:t>0</w:t>
      </w:r>
      <w:r>
        <w:t>.2</w:t>
      </w:r>
      <w:r w:rsidR="005C26B0">
        <w:t xml:space="preserve"> </w:t>
      </w:r>
      <w:r w:rsidR="002F7C2B">
        <w:tab/>
      </w:r>
      <w:r w:rsidR="005C26B0">
        <w:t>Objectives</w:t>
      </w:r>
      <w:bookmarkEnd w:id="114"/>
      <w:bookmarkEnd w:id="115"/>
    </w:p>
    <w:p w14:paraId="0A0A5A88" w14:textId="3FDCA5A0" w:rsidR="006A3511" w:rsidRPr="008670BC" w:rsidRDefault="006A3511" w:rsidP="005F7ECC">
      <w:pPr>
        <w:rPr>
          <w:sz w:val="24"/>
          <w:szCs w:val="24"/>
        </w:rPr>
      </w:pPr>
      <w:r w:rsidRPr="008670BC">
        <w:rPr>
          <w:sz w:val="24"/>
          <w:szCs w:val="24"/>
        </w:rPr>
        <w:t>The objective</w:t>
      </w:r>
      <w:r w:rsidR="00BD2DB1" w:rsidRPr="008670BC">
        <w:rPr>
          <w:sz w:val="24"/>
          <w:szCs w:val="24"/>
        </w:rPr>
        <w:t>s</w:t>
      </w:r>
      <w:r w:rsidRPr="008670BC">
        <w:rPr>
          <w:sz w:val="24"/>
          <w:szCs w:val="24"/>
        </w:rPr>
        <w:t xml:space="preserve"> of amendments </w:t>
      </w:r>
      <w:r w:rsidR="00BD2DB1" w:rsidRPr="008670BC">
        <w:rPr>
          <w:sz w:val="24"/>
          <w:szCs w:val="24"/>
        </w:rPr>
        <w:t>are</w:t>
      </w:r>
      <w:r w:rsidRPr="008670BC">
        <w:rPr>
          <w:sz w:val="24"/>
          <w:szCs w:val="24"/>
        </w:rPr>
        <w:t xml:space="preserve"> to </w:t>
      </w:r>
      <w:r w:rsidR="004217BF" w:rsidRPr="008670BC">
        <w:rPr>
          <w:sz w:val="24"/>
          <w:szCs w:val="24"/>
        </w:rPr>
        <w:t>increase flexibility in approvals for</w:t>
      </w:r>
      <w:r w:rsidR="00BD2DB1" w:rsidRPr="008670BC">
        <w:rPr>
          <w:sz w:val="24"/>
          <w:szCs w:val="24"/>
        </w:rPr>
        <w:t xml:space="preserve"> CDS </w:t>
      </w:r>
      <w:r w:rsidR="00937189" w:rsidRPr="008670BC">
        <w:rPr>
          <w:sz w:val="24"/>
          <w:szCs w:val="24"/>
        </w:rPr>
        <w:t>collection point</w:t>
      </w:r>
      <w:r w:rsidR="004217BF" w:rsidRPr="008670BC">
        <w:rPr>
          <w:sz w:val="24"/>
          <w:szCs w:val="24"/>
        </w:rPr>
        <w:t xml:space="preserve">s </w:t>
      </w:r>
      <w:r w:rsidR="00937189" w:rsidRPr="008670BC">
        <w:rPr>
          <w:sz w:val="24"/>
          <w:szCs w:val="24"/>
        </w:rPr>
        <w:t>and</w:t>
      </w:r>
      <w:r w:rsidR="004217BF" w:rsidRPr="008670BC">
        <w:rPr>
          <w:sz w:val="24"/>
          <w:szCs w:val="24"/>
        </w:rPr>
        <w:t xml:space="preserve"> remov</w:t>
      </w:r>
      <w:r w:rsidR="00937189" w:rsidRPr="008670BC">
        <w:rPr>
          <w:sz w:val="24"/>
          <w:szCs w:val="24"/>
        </w:rPr>
        <w:t>e</w:t>
      </w:r>
      <w:r w:rsidR="004217BF" w:rsidRPr="008670BC">
        <w:rPr>
          <w:sz w:val="24"/>
          <w:szCs w:val="24"/>
        </w:rPr>
        <w:t xml:space="preserve"> an</w:t>
      </w:r>
      <w:r w:rsidR="00BD2DB1" w:rsidRPr="008670BC">
        <w:rPr>
          <w:sz w:val="24"/>
          <w:szCs w:val="24"/>
        </w:rPr>
        <w:t xml:space="preserve"> inconsistenc</w:t>
      </w:r>
      <w:r w:rsidR="004217BF" w:rsidRPr="008670BC">
        <w:rPr>
          <w:sz w:val="24"/>
          <w:szCs w:val="24"/>
        </w:rPr>
        <w:t>y</w:t>
      </w:r>
      <w:r w:rsidR="00BD2DB1" w:rsidRPr="008670BC">
        <w:rPr>
          <w:sz w:val="24"/>
          <w:szCs w:val="24"/>
        </w:rPr>
        <w:t xml:space="preserve"> between the Act and Regulation.</w:t>
      </w:r>
      <w:r w:rsidRPr="008670BC">
        <w:rPr>
          <w:sz w:val="24"/>
          <w:szCs w:val="24"/>
        </w:rPr>
        <w:t xml:space="preserve">   </w:t>
      </w:r>
    </w:p>
    <w:p w14:paraId="7D537D85" w14:textId="05082202" w:rsidR="005C26B0" w:rsidRDefault="005F7ECC" w:rsidP="005F7ECC">
      <w:pPr>
        <w:pStyle w:val="Heading2"/>
      </w:pPr>
      <w:bookmarkStart w:id="116" w:name="_Toc78374715"/>
      <w:bookmarkStart w:id="117" w:name="_Toc79490225"/>
      <w:r>
        <w:t>1</w:t>
      </w:r>
      <w:r w:rsidR="00690C94">
        <w:t>0</w:t>
      </w:r>
      <w:r>
        <w:t>.3</w:t>
      </w:r>
      <w:r w:rsidR="005C26B0">
        <w:t xml:space="preserve"> </w:t>
      </w:r>
      <w:r w:rsidR="002F7C2B">
        <w:tab/>
      </w:r>
      <w:r w:rsidR="005C26B0">
        <w:t>Approaches from other jurisdictions</w:t>
      </w:r>
      <w:bookmarkEnd w:id="116"/>
      <w:bookmarkEnd w:id="117"/>
    </w:p>
    <w:p w14:paraId="7C1B425D" w14:textId="48F6B04C" w:rsidR="00BD2DB1" w:rsidRPr="008670BC" w:rsidRDefault="00BD2DB1" w:rsidP="005F7ECC">
      <w:pPr>
        <w:rPr>
          <w:sz w:val="24"/>
          <w:szCs w:val="24"/>
        </w:rPr>
      </w:pPr>
      <w:r w:rsidRPr="008670BC">
        <w:rPr>
          <w:sz w:val="24"/>
          <w:szCs w:val="24"/>
        </w:rPr>
        <w:t xml:space="preserve">Other jurisdictions have also adjusted statutory CDS provisions over time as </w:t>
      </w:r>
      <w:r w:rsidR="00AB7E2E">
        <w:rPr>
          <w:sz w:val="24"/>
          <w:szCs w:val="24"/>
        </w:rPr>
        <w:t>S</w:t>
      </w:r>
      <w:r w:rsidRPr="008670BC">
        <w:rPr>
          <w:sz w:val="24"/>
          <w:szCs w:val="24"/>
        </w:rPr>
        <w:t xml:space="preserve">chemes move from start-up to mature phases. </w:t>
      </w:r>
    </w:p>
    <w:p w14:paraId="07035D4B" w14:textId="22848CDC" w:rsidR="005C26B0" w:rsidRDefault="005F7ECC" w:rsidP="005F7ECC">
      <w:pPr>
        <w:pStyle w:val="Heading2"/>
      </w:pPr>
      <w:bookmarkStart w:id="118" w:name="_Toc78374716"/>
      <w:bookmarkStart w:id="119" w:name="_Toc79490226"/>
      <w:r>
        <w:t>1</w:t>
      </w:r>
      <w:r w:rsidR="00690C94">
        <w:t>0</w:t>
      </w:r>
      <w:r>
        <w:t>.4</w:t>
      </w:r>
      <w:r w:rsidR="005C26B0">
        <w:t xml:space="preserve"> </w:t>
      </w:r>
      <w:r w:rsidR="002F7C2B">
        <w:tab/>
      </w:r>
      <w:r w:rsidR="005C26B0">
        <w:t>Options</w:t>
      </w:r>
      <w:r w:rsidR="00BF17DA">
        <w:t xml:space="preserve"> and summary of amendments</w:t>
      </w:r>
      <w:bookmarkEnd w:id="118"/>
      <w:bookmarkEnd w:id="119"/>
    </w:p>
    <w:p w14:paraId="21A8BE5C" w14:textId="4727149A" w:rsidR="00BD2DB1" w:rsidRPr="008670BC" w:rsidRDefault="002D6EBA" w:rsidP="005F7ECC">
      <w:pPr>
        <w:rPr>
          <w:sz w:val="24"/>
          <w:szCs w:val="24"/>
        </w:rPr>
      </w:pPr>
      <w:r w:rsidRPr="008670BC">
        <w:rPr>
          <w:sz w:val="24"/>
          <w:szCs w:val="24"/>
        </w:rPr>
        <w:t>The option of leaving CDS provisions as they are would</w:t>
      </w:r>
      <w:r w:rsidR="00937189" w:rsidRPr="008670BC">
        <w:rPr>
          <w:sz w:val="24"/>
          <w:szCs w:val="24"/>
        </w:rPr>
        <w:t xml:space="preserve"> continue to</w:t>
      </w:r>
      <w:r w:rsidRPr="008670BC">
        <w:rPr>
          <w:sz w:val="24"/>
          <w:szCs w:val="24"/>
        </w:rPr>
        <w:t xml:space="preserve"> </w:t>
      </w:r>
      <w:r w:rsidR="00937189" w:rsidRPr="008670BC">
        <w:rPr>
          <w:sz w:val="24"/>
          <w:szCs w:val="24"/>
        </w:rPr>
        <w:t>limit options for collection points to be established in safe</w:t>
      </w:r>
      <w:r w:rsidR="00AB7E2E">
        <w:rPr>
          <w:sz w:val="24"/>
          <w:szCs w:val="24"/>
        </w:rPr>
        <w:t xml:space="preserve"> and</w:t>
      </w:r>
      <w:r w:rsidR="00937189" w:rsidRPr="008670BC">
        <w:rPr>
          <w:sz w:val="24"/>
          <w:szCs w:val="24"/>
        </w:rPr>
        <w:t xml:space="preserve"> </w:t>
      </w:r>
      <w:r w:rsidR="00AB7E2E" w:rsidRPr="008670BC">
        <w:rPr>
          <w:sz w:val="24"/>
          <w:szCs w:val="24"/>
        </w:rPr>
        <w:t>convenient</w:t>
      </w:r>
      <w:r w:rsidR="00937189" w:rsidRPr="008670BC">
        <w:rPr>
          <w:sz w:val="24"/>
          <w:szCs w:val="24"/>
        </w:rPr>
        <w:t xml:space="preserve"> locations which cannot meet the prescriptive S24P requirements for opening hours, access and other features. They would also maintain a legacy</w:t>
      </w:r>
      <w:r w:rsidRPr="008670BC">
        <w:rPr>
          <w:sz w:val="24"/>
          <w:szCs w:val="24"/>
        </w:rPr>
        <w:t xml:space="preserve"> inconsistenc</w:t>
      </w:r>
      <w:r w:rsidR="00937189" w:rsidRPr="008670BC">
        <w:rPr>
          <w:sz w:val="24"/>
          <w:szCs w:val="24"/>
        </w:rPr>
        <w:t>y</w:t>
      </w:r>
      <w:r w:rsidRPr="008670BC">
        <w:rPr>
          <w:sz w:val="24"/>
          <w:szCs w:val="24"/>
        </w:rPr>
        <w:t xml:space="preserve"> between the Act and Regulation. </w:t>
      </w:r>
    </w:p>
    <w:p w14:paraId="67493AE8" w14:textId="77777777" w:rsidR="00BF17DA" w:rsidRPr="008670BC" w:rsidRDefault="00937189" w:rsidP="005F7ECC">
      <w:pPr>
        <w:rPr>
          <w:sz w:val="24"/>
          <w:szCs w:val="24"/>
        </w:rPr>
      </w:pPr>
      <w:r w:rsidRPr="008670BC">
        <w:rPr>
          <w:sz w:val="24"/>
          <w:szCs w:val="24"/>
        </w:rPr>
        <w:t xml:space="preserve">The selected option for </w:t>
      </w:r>
      <w:r w:rsidR="00BF17DA" w:rsidRPr="008670BC">
        <w:rPr>
          <w:sz w:val="24"/>
          <w:szCs w:val="24"/>
        </w:rPr>
        <w:t>improving</w:t>
      </w:r>
      <w:r w:rsidRPr="008670BC">
        <w:rPr>
          <w:sz w:val="24"/>
          <w:szCs w:val="24"/>
        </w:rPr>
        <w:t xml:space="preserve"> S24P is to </w:t>
      </w:r>
      <w:r w:rsidR="00BF17DA" w:rsidRPr="008670BC">
        <w:rPr>
          <w:sz w:val="24"/>
          <w:szCs w:val="24"/>
        </w:rPr>
        <w:t>retain</w:t>
      </w:r>
      <w:r w:rsidRPr="008670BC">
        <w:rPr>
          <w:sz w:val="24"/>
          <w:szCs w:val="24"/>
        </w:rPr>
        <w:t xml:space="preserve"> the full set of factors indicated there, but to express them as information to be provided to support a S24T decision about acceptance of the proposed collection point</w:t>
      </w:r>
      <w:r w:rsidR="00BF17DA" w:rsidRPr="008670BC">
        <w:rPr>
          <w:sz w:val="24"/>
          <w:szCs w:val="24"/>
        </w:rPr>
        <w:t>, rather than maintain each prescriptive requirement</w:t>
      </w:r>
      <w:r w:rsidRPr="008670BC">
        <w:rPr>
          <w:sz w:val="24"/>
          <w:szCs w:val="24"/>
        </w:rPr>
        <w:t xml:space="preserve">. An alternative was considered, which would have removed all detail from S24P and shift the </w:t>
      </w:r>
      <w:r w:rsidR="00BF17DA" w:rsidRPr="008670BC">
        <w:rPr>
          <w:sz w:val="24"/>
          <w:szCs w:val="24"/>
        </w:rPr>
        <w:t>collection point features</w:t>
      </w:r>
      <w:r w:rsidRPr="008670BC">
        <w:rPr>
          <w:sz w:val="24"/>
          <w:szCs w:val="24"/>
        </w:rPr>
        <w:t xml:space="preserve"> out of the Regulation and into the contractual, Network Operator Agreement.</w:t>
      </w:r>
      <w:r w:rsidR="002D6EBA" w:rsidRPr="008670BC">
        <w:rPr>
          <w:sz w:val="24"/>
          <w:szCs w:val="24"/>
        </w:rPr>
        <w:t xml:space="preserve"> This was rejected because waste regulators have </w:t>
      </w:r>
      <w:r w:rsidRPr="008670BC">
        <w:rPr>
          <w:sz w:val="24"/>
          <w:szCs w:val="24"/>
        </w:rPr>
        <w:t xml:space="preserve">found it helpful for the regulation to establish </w:t>
      </w:r>
      <w:r w:rsidR="00BF17DA" w:rsidRPr="008670BC">
        <w:rPr>
          <w:sz w:val="24"/>
          <w:szCs w:val="24"/>
        </w:rPr>
        <w:t xml:space="preserve">high expectations for access and quality of collection points. </w:t>
      </w:r>
      <w:r w:rsidRPr="008670BC">
        <w:rPr>
          <w:sz w:val="24"/>
          <w:szCs w:val="24"/>
        </w:rPr>
        <w:t xml:space="preserve"> </w:t>
      </w:r>
    </w:p>
    <w:p w14:paraId="42FE2647" w14:textId="414E3814" w:rsidR="005C26B0" w:rsidRPr="008670BC" w:rsidRDefault="00BF17DA" w:rsidP="005F7ECC">
      <w:pPr>
        <w:rPr>
          <w:sz w:val="24"/>
          <w:szCs w:val="24"/>
        </w:rPr>
      </w:pPr>
      <w:r w:rsidRPr="008670BC">
        <w:rPr>
          <w:sz w:val="24"/>
          <w:szCs w:val="24"/>
        </w:rPr>
        <w:t xml:space="preserve">To remove inconsistencies with the Act, the current requirement for each collection point application to provide a waste facility licence has been removed. The replacement clause </w:t>
      </w:r>
      <w:r w:rsidRPr="008670BC">
        <w:rPr>
          <w:sz w:val="24"/>
          <w:szCs w:val="24"/>
        </w:rPr>
        <w:lastRenderedPageBreak/>
        <w:t xml:space="preserve">requires that a waste facility licence be provided only if the collection point is required to hold one. </w:t>
      </w:r>
    </w:p>
    <w:p w14:paraId="5F7A4EE1" w14:textId="70CA32D3" w:rsidR="005C26B0" w:rsidRDefault="005F7ECC" w:rsidP="005F7ECC">
      <w:pPr>
        <w:pStyle w:val="Heading2"/>
      </w:pPr>
      <w:bookmarkStart w:id="120" w:name="_Toc78374717"/>
      <w:bookmarkStart w:id="121" w:name="_Toc79490227"/>
      <w:r>
        <w:t>1</w:t>
      </w:r>
      <w:r w:rsidR="00690C94">
        <w:t>0</w:t>
      </w:r>
      <w:r>
        <w:t>.</w:t>
      </w:r>
      <w:r w:rsidR="00296997">
        <w:t>5</w:t>
      </w:r>
      <w:r w:rsidR="005C26B0">
        <w:t xml:space="preserve"> </w:t>
      </w:r>
      <w:r w:rsidR="002F7C2B">
        <w:tab/>
      </w:r>
      <w:r w:rsidR="00AB7E2E">
        <w:t>Consideration of h</w:t>
      </w:r>
      <w:r w:rsidR="005C26B0">
        <w:t>uman rights</w:t>
      </w:r>
      <w:bookmarkEnd w:id="120"/>
      <w:bookmarkEnd w:id="121"/>
    </w:p>
    <w:p w14:paraId="1FE52800" w14:textId="099C5DAA" w:rsidR="00BF17DA" w:rsidRPr="008670BC" w:rsidRDefault="00BF17DA" w:rsidP="00BF17DA">
      <w:pPr>
        <w:rPr>
          <w:sz w:val="24"/>
          <w:szCs w:val="24"/>
        </w:rPr>
      </w:pPr>
      <w:r w:rsidRPr="008670BC">
        <w:rPr>
          <w:sz w:val="24"/>
          <w:szCs w:val="24"/>
        </w:rPr>
        <w:t>The S24P requirements have been included in the Regulation to provide for good collection point access for all Canberrans. By retaining the government’s obligation to consider the full range of accessibility matters, the amendment will prevent a reduction of CDS collection point accessibility. It will also increase the potential for CDS Network Operator</w:t>
      </w:r>
      <w:r w:rsidR="00AB7E2E">
        <w:rPr>
          <w:sz w:val="24"/>
          <w:szCs w:val="24"/>
        </w:rPr>
        <w:t>s</w:t>
      </w:r>
      <w:r w:rsidRPr="008670BC">
        <w:rPr>
          <w:sz w:val="24"/>
          <w:szCs w:val="24"/>
        </w:rPr>
        <w:t xml:space="preserve"> to continue opening small</w:t>
      </w:r>
      <w:r w:rsidR="00AB7E2E">
        <w:rPr>
          <w:sz w:val="24"/>
          <w:szCs w:val="24"/>
        </w:rPr>
        <w:t xml:space="preserve"> and </w:t>
      </w:r>
      <w:r w:rsidRPr="008670BC">
        <w:rPr>
          <w:sz w:val="24"/>
          <w:szCs w:val="24"/>
        </w:rPr>
        <w:t xml:space="preserve">convenient collection points which may not meet </w:t>
      </w:r>
      <w:r w:rsidR="00AB7E2E" w:rsidRPr="008670BC">
        <w:rPr>
          <w:sz w:val="24"/>
          <w:szCs w:val="24"/>
        </w:rPr>
        <w:t>all</w:t>
      </w:r>
      <w:r w:rsidRPr="008670BC">
        <w:rPr>
          <w:sz w:val="24"/>
          <w:szCs w:val="24"/>
        </w:rPr>
        <w:t xml:space="preserve"> the prescriptive requirements. </w:t>
      </w:r>
      <w:r w:rsidR="00D135EB" w:rsidRPr="008670BC">
        <w:rPr>
          <w:sz w:val="24"/>
          <w:szCs w:val="24"/>
        </w:rPr>
        <w:t>In doing so</w:t>
      </w:r>
      <w:r w:rsidR="00AB7E2E">
        <w:rPr>
          <w:sz w:val="24"/>
          <w:szCs w:val="24"/>
        </w:rPr>
        <w:t>,</w:t>
      </w:r>
      <w:r w:rsidR="00D135EB" w:rsidRPr="008670BC">
        <w:rPr>
          <w:sz w:val="24"/>
          <w:szCs w:val="24"/>
        </w:rPr>
        <w:t xml:space="preserve"> the changes will increase access to the scheme and its benefits. </w:t>
      </w:r>
      <w:r w:rsidRPr="008670BC">
        <w:rPr>
          <w:sz w:val="24"/>
          <w:szCs w:val="24"/>
        </w:rPr>
        <w:t xml:space="preserve"> </w:t>
      </w:r>
    </w:p>
    <w:p w14:paraId="7230F8CF" w14:textId="52C643ED" w:rsidR="005C26B0" w:rsidRDefault="005F7ECC" w:rsidP="005F7ECC">
      <w:pPr>
        <w:pStyle w:val="Heading2"/>
      </w:pPr>
      <w:bookmarkStart w:id="122" w:name="_Toc78374718"/>
      <w:bookmarkStart w:id="123" w:name="_Toc79490228"/>
      <w:r>
        <w:t>1</w:t>
      </w:r>
      <w:r w:rsidR="00690C94">
        <w:t>0</w:t>
      </w:r>
      <w:r>
        <w:t>.</w:t>
      </w:r>
      <w:r w:rsidR="00296997">
        <w:t>6</w:t>
      </w:r>
      <w:r w:rsidR="005C26B0">
        <w:t xml:space="preserve"> </w:t>
      </w:r>
      <w:r w:rsidR="002F7C2B">
        <w:tab/>
      </w:r>
      <w:r w:rsidR="005C26B0">
        <w:t xml:space="preserve">Impact </w:t>
      </w:r>
      <w:r w:rsidR="001F4AFA">
        <w:t xml:space="preserve">and cost-benefit </w:t>
      </w:r>
      <w:r w:rsidR="005C26B0">
        <w:t>analysis</w:t>
      </w:r>
      <w:bookmarkEnd w:id="122"/>
      <w:bookmarkEnd w:id="123"/>
    </w:p>
    <w:p w14:paraId="02E73DB0" w14:textId="0471920E" w:rsidR="00B013EB" w:rsidRPr="008670BC" w:rsidRDefault="001F4AFA" w:rsidP="005F7ECC">
      <w:pPr>
        <w:rPr>
          <w:sz w:val="24"/>
          <w:szCs w:val="24"/>
        </w:rPr>
      </w:pPr>
      <w:r w:rsidRPr="008670BC">
        <w:rPr>
          <w:sz w:val="24"/>
          <w:szCs w:val="24"/>
        </w:rPr>
        <w:t>There will be some impacts from the implementation of the amendments</w:t>
      </w:r>
      <w:r w:rsidR="00AB7E2E">
        <w:rPr>
          <w:sz w:val="24"/>
          <w:szCs w:val="24"/>
        </w:rPr>
        <w:t>,</w:t>
      </w:r>
      <w:r w:rsidRPr="008670BC">
        <w:rPr>
          <w:sz w:val="24"/>
          <w:szCs w:val="24"/>
        </w:rPr>
        <w:t xml:space="preserve"> </w:t>
      </w:r>
      <w:r w:rsidR="00AB7E2E">
        <w:rPr>
          <w:sz w:val="24"/>
          <w:szCs w:val="24"/>
        </w:rPr>
        <w:t>h</w:t>
      </w:r>
      <w:r w:rsidRPr="008670BC">
        <w:rPr>
          <w:sz w:val="24"/>
          <w:szCs w:val="24"/>
        </w:rPr>
        <w:t xml:space="preserve">owever the benefits of the proposed amendments are expected to outweigh both the costs of not making amendments, and the costs associated with the amendments. </w:t>
      </w:r>
      <w:r w:rsidR="008670BC">
        <w:rPr>
          <w:sz w:val="24"/>
          <w:szCs w:val="24"/>
        </w:rPr>
        <w:t>T</w:t>
      </w:r>
      <w:r w:rsidRPr="008670BC">
        <w:rPr>
          <w:sz w:val="24"/>
          <w:szCs w:val="24"/>
        </w:rPr>
        <w:t xml:space="preserve">able </w:t>
      </w:r>
      <w:r w:rsidR="008670BC">
        <w:rPr>
          <w:sz w:val="24"/>
          <w:szCs w:val="24"/>
        </w:rPr>
        <w:t>1</w:t>
      </w:r>
      <w:r w:rsidR="002C4D5A">
        <w:rPr>
          <w:sz w:val="24"/>
          <w:szCs w:val="24"/>
        </w:rPr>
        <w:t>0</w:t>
      </w:r>
      <w:r w:rsidR="008670BC">
        <w:rPr>
          <w:sz w:val="24"/>
          <w:szCs w:val="24"/>
        </w:rPr>
        <w:t xml:space="preserve"> </w:t>
      </w:r>
      <w:r w:rsidRPr="008670BC">
        <w:rPr>
          <w:sz w:val="24"/>
          <w:szCs w:val="24"/>
        </w:rPr>
        <w:t>below provides the assessment</w:t>
      </w:r>
      <w:r w:rsidR="008670BC">
        <w:rPr>
          <w:sz w:val="24"/>
          <w:szCs w:val="24"/>
        </w:rPr>
        <w:t>.</w:t>
      </w:r>
    </w:p>
    <w:p w14:paraId="4FD612DD" w14:textId="70EBC710" w:rsidR="001F4AFA" w:rsidRPr="00C248FB" w:rsidRDefault="00B013EB" w:rsidP="005F7ECC">
      <w:pPr>
        <w:pStyle w:val="Caption"/>
      </w:pPr>
      <w:bookmarkStart w:id="124" w:name="_Toc78275040"/>
      <w:r>
        <w:t xml:space="preserve">Table </w:t>
      </w:r>
      <w:r w:rsidR="000150F9">
        <w:fldChar w:fldCharType="begin"/>
      </w:r>
      <w:r w:rsidR="000150F9">
        <w:instrText xml:space="preserve"> SEQ Table \* </w:instrText>
      </w:r>
      <w:r w:rsidR="000150F9">
        <w:instrText xml:space="preserve">ARABIC </w:instrText>
      </w:r>
      <w:r w:rsidR="000150F9">
        <w:fldChar w:fldCharType="separate"/>
      </w:r>
      <w:r w:rsidR="002C4D5A">
        <w:rPr>
          <w:noProof/>
        </w:rPr>
        <w:t>10</w:t>
      </w:r>
      <w:r w:rsidR="000150F9">
        <w:rPr>
          <w:noProof/>
        </w:rPr>
        <w:fldChar w:fldCharType="end"/>
      </w:r>
      <w:r>
        <w:t xml:space="preserve"> Container </w:t>
      </w:r>
      <w:r w:rsidR="008C6718">
        <w:t>D</w:t>
      </w:r>
      <w:r>
        <w:t xml:space="preserve">eposit </w:t>
      </w:r>
      <w:r w:rsidR="008C6718">
        <w:t>S</w:t>
      </w:r>
      <w:r>
        <w:t>cheme simplification summary of impacts</w:t>
      </w:r>
      <w:bookmarkEnd w:id="124"/>
      <w:r w:rsidR="001F4AFA">
        <w:t xml:space="preserve"> </w:t>
      </w:r>
    </w:p>
    <w:tbl>
      <w:tblPr>
        <w:tblStyle w:val="GridTable5Dark-Accent1"/>
        <w:tblW w:w="0" w:type="auto"/>
        <w:tblLook w:val="04A0" w:firstRow="1" w:lastRow="0" w:firstColumn="1" w:lastColumn="0" w:noHBand="0" w:noVBand="1"/>
      </w:tblPr>
      <w:tblGrid>
        <w:gridCol w:w="2972"/>
        <w:gridCol w:w="6044"/>
      </w:tblGrid>
      <w:tr w:rsidR="001F4AFA" w14:paraId="60F24B3A" w14:textId="77777777" w:rsidTr="00533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29E790E" w14:textId="77777777" w:rsidR="001F4AFA" w:rsidRDefault="001F4AFA" w:rsidP="005F7ECC">
            <w:r>
              <w:t>Type of impact</w:t>
            </w:r>
          </w:p>
        </w:tc>
        <w:tc>
          <w:tcPr>
            <w:tcW w:w="6044" w:type="dxa"/>
          </w:tcPr>
          <w:p w14:paraId="749706F1" w14:textId="77777777" w:rsidR="001F4AFA" w:rsidRDefault="001F4AFA" w:rsidP="005F7ECC">
            <w:pPr>
              <w:cnfStyle w:val="100000000000" w:firstRow="1" w:lastRow="0" w:firstColumn="0" w:lastColumn="0" w:oddVBand="0" w:evenVBand="0" w:oddHBand="0" w:evenHBand="0" w:firstRowFirstColumn="0" w:firstRowLastColumn="0" w:lastRowFirstColumn="0" w:lastRowLastColumn="0"/>
            </w:pPr>
            <w:r>
              <w:t>Summary of impact</w:t>
            </w:r>
          </w:p>
        </w:tc>
      </w:tr>
      <w:tr w:rsidR="001F4AFA" w14:paraId="6B144CF3" w14:textId="77777777" w:rsidTr="00533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3CDDB1" w14:textId="77777777" w:rsidR="001F4AFA" w:rsidRDefault="001F4AFA" w:rsidP="005F7ECC">
            <w:r>
              <w:t>Benefits of amendments</w:t>
            </w:r>
          </w:p>
        </w:tc>
        <w:tc>
          <w:tcPr>
            <w:tcW w:w="6044" w:type="dxa"/>
          </w:tcPr>
          <w:p w14:paraId="3EA23041" w14:textId="77777777" w:rsidR="00D135EB" w:rsidRDefault="006A3511" w:rsidP="00D135EB">
            <w:pPr>
              <w:pStyle w:val="ListParagraph"/>
              <w:numPr>
                <w:ilvl w:val="0"/>
                <w:numId w:val="35"/>
              </w:numPr>
              <w:ind w:left="181" w:hanging="219"/>
              <w:cnfStyle w:val="000000100000" w:firstRow="0" w:lastRow="0" w:firstColumn="0" w:lastColumn="0" w:oddVBand="0" w:evenVBand="0" w:oddHBand="1" w:evenHBand="0" w:firstRowFirstColumn="0" w:firstRowLastColumn="0" w:lastRowFirstColumn="0" w:lastRowLastColumn="0"/>
            </w:pPr>
            <w:r w:rsidRPr="006A3511">
              <w:t xml:space="preserve">Provides more flexibility </w:t>
            </w:r>
            <w:r w:rsidR="00D135EB">
              <w:t xml:space="preserve">in collection point approvals. </w:t>
            </w:r>
          </w:p>
          <w:p w14:paraId="116E341B" w14:textId="77777777" w:rsidR="00D135EB" w:rsidRDefault="00D135EB" w:rsidP="00D135EB">
            <w:pPr>
              <w:pStyle w:val="ListParagraph"/>
              <w:numPr>
                <w:ilvl w:val="0"/>
                <w:numId w:val="35"/>
              </w:numPr>
              <w:ind w:left="181" w:hanging="219"/>
              <w:cnfStyle w:val="000000100000" w:firstRow="0" w:lastRow="0" w:firstColumn="0" w:lastColumn="0" w:oddVBand="0" w:evenVBand="0" w:oddHBand="1" w:evenHBand="0" w:firstRowFirstColumn="0" w:firstRowLastColumn="0" w:lastRowFirstColumn="0" w:lastRowLastColumn="0"/>
            </w:pPr>
            <w:r>
              <w:t xml:space="preserve">Retains a focus on accessibility of collection points across the Territory. </w:t>
            </w:r>
          </w:p>
          <w:p w14:paraId="1C119F2D" w14:textId="48926774" w:rsidR="001F4AFA" w:rsidRDefault="00D135EB" w:rsidP="00D135EB">
            <w:pPr>
              <w:pStyle w:val="ListParagraph"/>
              <w:numPr>
                <w:ilvl w:val="0"/>
                <w:numId w:val="35"/>
              </w:numPr>
              <w:ind w:left="181" w:hanging="219"/>
              <w:cnfStyle w:val="000000100000" w:firstRow="0" w:lastRow="0" w:firstColumn="0" w:lastColumn="0" w:oddVBand="0" w:evenVBand="0" w:oddHBand="1" w:evenHBand="0" w:firstRowFirstColumn="0" w:firstRowLastColumn="0" w:lastRowFirstColumn="0" w:lastRowLastColumn="0"/>
            </w:pPr>
            <w:r>
              <w:t>Removes a legacy inconsistency between the Regulation and the Act</w:t>
            </w:r>
            <w:r w:rsidR="006A3511" w:rsidRPr="006A3511">
              <w:t>.</w:t>
            </w:r>
          </w:p>
        </w:tc>
      </w:tr>
      <w:tr w:rsidR="001F4AFA" w14:paraId="4ABCFD03" w14:textId="77777777" w:rsidTr="0053340C">
        <w:tc>
          <w:tcPr>
            <w:cnfStyle w:val="001000000000" w:firstRow="0" w:lastRow="0" w:firstColumn="1" w:lastColumn="0" w:oddVBand="0" w:evenVBand="0" w:oddHBand="0" w:evenHBand="0" w:firstRowFirstColumn="0" w:firstRowLastColumn="0" w:lastRowFirstColumn="0" w:lastRowLastColumn="0"/>
            <w:tcW w:w="2972" w:type="dxa"/>
          </w:tcPr>
          <w:p w14:paraId="04D8EAAF" w14:textId="77777777" w:rsidR="001F4AFA" w:rsidRDefault="001F4AFA" w:rsidP="005F7ECC">
            <w:r>
              <w:t>Impact of not making amendments</w:t>
            </w:r>
          </w:p>
        </w:tc>
        <w:tc>
          <w:tcPr>
            <w:tcW w:w="6044" w:type="dxa"/>
          </w:tcPr>
          <w:p w14:paraId="36AAE97D" w14:textId="77777777" w:rsidR="001F4AFA" w:rsidRDefault="00D135EB" w:rsidP="00D135EB">
            <w:pPr>
              <w:pStyle w:val="ListParagraph"/>
              <w:numPr>
                <w:ilvl w:val="0"/>
                <w:numId w:val="35"/>
              </w:numPr>
              <w:ind w:left="181" w:hanging="219"/>
              <w:cnfStyle w:val="000000000000" w:firstRow="0" w:lastRow="0" w:firstColumn="0" w:lastColumn="0" w:oddVBand="0" w:evenVBand="0" w:oddHBand="0" w:evenHBand="0" w:firstRowFirstColumn="0" w:firstRowLastColumn="0" w:lastRowFirstColumn="0" w:lastRowLastColumn="0"/>
            </w:pPr>
            <w:r>
              <w:t xml:space="preserve">Some convenient collection points would need to be rejected because they do not meet prescriptive requirements. </w:t>
            </w:r>
          </w:p>
          <w:p w14:paraId="10AFFE57" w14:textId="0D8F559D" w:rsidR="00D135EB" w:rsidRDefault="00D135EB" w:rsidP="00D135EB">
            <w:pPr>
              <w:pStyle w:val="ListParagraph"/>
              <w:numPr>
                <w:ilvl w:val="0"/>
                <w:numId w:val="35"/>
              </w:numPr>
              <w:ind w:left="181" w:hanging="219"/>
              <w:cnfStyle w:val="000000000000" w:firstRow="0" w:lastRow="0" w:firstColumn="0" w:lastColumn="0" w:oddVBand="0" w:evenVBand="0" w:oddHBand="0" w:evenHBand="0" w:firstRowFirstColumn="0" w:firstRowLastColumn="0" w:lastRowFirstColumn="0" w:lastRowLastColumn="0"/>
            </w:pPr>
            <w:r>
              <w:t>An inconsistency would remain between the Act and Regulation.</w:t>
            </w:r>
          </w:p>
        </w:tc>
      </w:tr>
      <w:tr w:rsidR="001F4AFA" w14:paraId="71705295" w14:textId="77777777" w:rsidTr="00533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4338C7" w14:textId="77777777" w:rsidR="001F4AFA" w:rsidRDefault="001F4AFA" w:rsidP="005F7ECC">
            <w:r>
              <w:t>Amendments which may impose some cost</w:t>
            </w:r>
          </w:p>
        </w:tc>
        <w:tc>
          <w:tcPr>
            <w:tcW w:w="6044" w:type="dxa"/>
          </w:tcPr>
          <w:p w14:paraId="60E5F837" w14:textId="01A14267" w:rsidR="001F4AFA" w:rsidRDefault="00D135EB" w:rsidP="00D135EB">
            <w:pPr>
              <w:pStyle w:val="ListParagraph"/>
              <w:numPr>
                <w:ilvl w:val="0"/>
                <w:numId w:val="35"/>
              </w:numPr>
              <w:ind w:left="181" w:hanging="219"/>
              <w:cnfStyle w:val="000000100000" w:firstRow="0" w:lastRow="0" w:firstColumn="0" w:lastColumn="0" w:oddVBand="0" w:evenVBand="0" w:oddHBand="1" w:evenHBand="0" w:firstRowFirstColumn="0" w:firstRowLastColumn="0" w:lastRowFirstColumn="0" w:lastRowLastColumn="0"/>
            </w:pPr>
            <w:r>
              <w:t xml:space="preserve">There are no costs associated with these amendments. </w:t>
            </w:r>
          </w:p>
        </w:tc>
      </w:tr>
      <w:tr w:rsidR="001F4AFA" w14:paraId="6F275899" w14:textId="77777777" w:rsidTr="0053340C">
        <w:tc>
          <w:tcPr>
            <w:cnfStyle w:val="001000000000" w:firstRow="0" w:lastRow="0" w:firstColumn="1" w:lastColumn="0" w:oddVBand="0" w:evenVBand="0" w:oddHBand="0" w:evenHBand="0" w:firstRowFirstColumn="0" w:firstRowLastColumn="0" w:lastRowFirstColumn="0" w:lastRowLastColumn="0"/>
            <w:tcW w:w="2972" w:type="dxa"/>
          </w:tcPr>
          <w:p w14:paraId="7D1D20F3" w14:textId="77777777" w:rsidR="001F4AFA" w:rsidRDefault="001F4AFA" w:rsidP="005F7ECC">
            <w:r>
              <w:t>Amendments which will not impose any appreciable costs</w:t>
            </w:r>
          </w:p>
        </w:tc>
        <w:tc>
          <w:tcPr>
            <w:tcW w:w="6044" w:type="dxa"/>
          </w:tcPr>
          <w:p w14:paraId="6186102C" w14:textId="643F4202" w:rsidR="001F4AFA" w:rsidRDefault="00D135EB" w:rsidP="00D135EB">
            <w:pPr>
              <w:pStyle w:val="ListParagraph"/>
              <w:numPr>
                <w:ilvl w:val="0"/>
                <w:numId w:val="35"/>
              </w:numPr>
              <w:ind w:left="181" w:hanging="219"/>
              <w:cnfStyle w:val="000000000000" w:firstRow="0" w:lastRow="0" w:firstColumn="0" w:lastColumn="0" w:oddVBand="0" w:evenVBand="0" w:oddHBand="0" w:evenHBand="0" w:firstRowFirstColumn="0" w:firstRowLastColumn="0" w:lastRowFirstColumn="0" w:lastRowLastColumn="0"/>
            </w:pPr>
            <w:r>
              <w:t xml:space="preserve">There are no costs associated with these amendments. </w:t>
            </w:r>
          </w:p>
        </w:tc>
      </w:tr>
    </w:tbl>
    <w:p w14:paraId="251C758B" w14:textId="77777777" w:rsidR="001F4AFA" w:rsidRPr="001F4AFA" w:rsidRDefault="001F4AFA" w:rsidP="005F7ECC"/>
    <w:p w14:paraId="0BAA9B98" w14:textId="619F220D" w:rsidR="00127724" w:rsidRDefault="003753B0" w:rsidP="00C208A1">
      <w:pPr>
        <w:pStyle w:val="Heading1"/>
        <w:ind w:left="993" w:hanging="636"/>
      </w:pPr>
      <w:bookmarkStart w:id="125" w:name="_Toc78374719"/>
      <w:bookmarkStart w:id="126" w:name="_Toc79490229"/>
      <w:r>
        <w:t>Improving</w:t>
      </w:r>
      <w:r w:rsidR="004A5BA8">
        <w:t xml:space="preserve"> </w:t>
      </w:r>
      <w:r>
        <w:t xml:space="preserve">and modernising </w:t>
      </w:r>
      <w:r w:rsidR="004A5BA8">
        <w:t>w</w:t>
      </w:r>
      <w:r w:rsidR="00127724">
        <w:t xml:space="preserve">aste definitions </w:t>
      </w:r>
      <w:r>
        <w:t>and</w:t>
      </w:r>
      <w:r w:rsidR="00C208A1">
        <w:t xml:space="preserve"> </w:t>
      </w:r>
      <w:r w:rsidR="00127724">
        <w:t>reporting</w:t>
      </w:r>
      <w:bookmarkEnd w:id="125"/>
      <w:bookmarkEnd w:id="126"/>
    </w:p>
    <w:p w14:paraId="57E1C6EE" w14:textId="204FB310" w:rsidR="005C26B0" w:rsidRDefault="005F7ECC" w:rsidP="005F7ECC">
      <w:pPr>
        <w:pStyle w:val="Heading2"/>
      </w:pPr>
      <w:bookmarkStart w:id="127" w:name="_Toc78374720"/>
      <w:bookmarkStart w:id="128" w:name="_Toc79490230"/>
      <w:r>
        <w:t>1</w:t>
      </w:r>
      <w:r w:rsidR="00690C94">
        <w:t>1</w:t>
      </w:r>
      <w:r>
        <w:t>.1</w:t>
      </w:r>
      <w:r w:rsidR="005C26B0">
        <w:t xml:space="preserve"> </w:t>
      </w:r>
      <w:r w:rsidR="002F7C2B">
        <w:tab/>
      </w:r>
      <w:r w:rsidR="005C26B0">
        <w:t>Problem</w:t>
      </w:r>
      <w:r w:rsidR="00093405">
        <w:t>s and objectives</w:t>
      </w:r>
      <w:bookmarkEnd w:id="127"/>
      <w:bookmarkEnd w:id="128"/>
    </w:p>
    <w:p w14:paraId="4DBADD04" w14:textId="1FD777A9" w:rsidR="00093405" w:rsidRDefault="00215347" w:rsidP="005F7ECC">
      <w:pPr>
        <w:rPr>
          <w:sz w:val="24"/>
          <w:szCs w:val="24"/>
        </w:rPr>
      </w:pPr>
      <w:r w:rsidRPr="008670BC">
        <w:rPr>
          <w:sz w:val="24"/>
          <w:szCs w:val="24"/>
        </w:rPr>
        <w:t xml:space="preserve">There are several problems associated with definitions of waste which appear in the Regulation. </w:t>
      </w:r>
      <w:r w:rsidR="00093405">
        <w:rPr>
          <w:sz w:val="24"/>
          <w:szCs w:val="24"/>
        </w:rPr>
        <w:t>An objective for proposed changes is associated with each of these problems</w:t>
      </w:r>
      <w:r w:rsidR="002C4D5A">
        <w:rPr>
          <w:sz w:val="24"/>
          <w:szCs w:val="24"/>
        </w:rPr>
        <w:t xml:space="preserve"> as shown</w:t>
      </w:r>
      <w:r w:rsidR="00AB7E2E">
        <w:rPr>
          <w:sz w:val="24"/>
          <w:szCs w:val="24"/>
        </w:rPr>
        <w:t xml:space="preserve"> in</w:t>
      </w:r>
      <w:r w:rsidR="00093405">
        <w:rPr>
          <w:sz w:val="24"/>
          <w:szCs w:val="24"/>
        </w:rPr>
        <w:t xml:space="preserve"> Table 1</w:t>
      </w:r>
      <w:r w:rsidR="002C4D5A">
        <w:rPr>
          <w:sz w:val="24"/>
          <w:szCs w:val="24"/>
        </w:rPr>
        <w:t>1</w:t>
      </w:r>
      <w:r w:rsidR="00093405">
        <w:rPr>
          <w:sz w:val="24"/>
          <w:szCs w:val="24"/>
        </w:rPr>
        <w:t xml:space="preserve"> below. </w:t>
      </w:r>
    </w:p>
    <w:p w14:paraId="3BC51913" w14:textId="60798660" w:rsidR="002C4D5A" w:rsidRDefault="002C4D5A" w:rsidP="007A45B3">
      <w:pPr>
        <w:pStyle w:val="Caption"/>
        <w:keepNext/>
      </w:pPr>
      <w:bookmarkStart w:id="129" w:name="_Toc78275041"/>
      <w:r>
        <w:lastRenderedPageBreak/>
        <w:t xml:space="preserve">Table </w:t>
      </w:r>
      <w:r w:rsidR="000150F9">
        <w:fldChar w:fldCharType="begin"/>
      </w:r>
      <w:r w:rsidR="000150F9">
        <w:instrText xml:space="preserve"> SEQ Table \* ARABIC </w:instrText>
      </w:r>
      <w:r w:rsidR="000150F9">
        <w:fldChar w:fldCharType="separate"/>
      </w:r>
      <w:r>
        <w:rPr>
          <w:noProof/>
        </w:rPr>
        <w:t>11</w:t>
      </w:r>
      <w:r w:rsidR="000150F9">
        <w:rPr>
          <w:noProof/>
        </w:rPr>
        <w:fldChar w:fldCharType="end"/>
      </w:r>
      <w:r>
        <w:t xml:space="preserve"> Problems and objectives in waste definitions and reporting</w:t>
      </w:r>
      <w:bookmarkEnd w:id="129"/>
    </w:p>
    <w:tbl>
      <w:tblPr>
        <w:tblStyle w:val="GridTable4-Accent1"/>
        <w:tblW w:w="0" w:type="auto"/>
        <w:tblLook w:val="04A0" w:firstRow="1" w:lastRow="0" w:firstColumn="1" w:lastColumn="0" w:noHBand="0" w:noVBand="1"/>
      </w:tblPr>
      <w:tblGrid>
        <w:gridCol w:w="4508"/>
        <w:gridCol w:w="4508"/>
      </w:tblGrid>
      <w:tr w:rsidR="00093405" w14:paraId="25C153C2" w14:textId="77777777" w:rsidTr="00093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CE1E308" w14:textId="436FDA34" w:rsidR="00093405" w:rsidRDefault="00093405" w:rsidP="007A45B3">
            <w:pPr>
              <w:keepNext/>
              <w:rPr>
                <w:sz w:val="24"/>
                <w:szCs w:val="24"/>
              </w:rPr>
            </w:pPr>
            <w:r>
              <w:rPr>
                <w:sz w:val="24"/>
                <w:szCs w:val="24"/>
              </w:rPr>
              <w:t>Problem</w:t>
            </w:r>
          </w:p>
        </w:tc>
        <w:tc>
          <w:tcPr>
            <w:tcW w:w="4508" w:type="dxa"/>
          </w:tcPr>
          <w:p w14:paraId="30CF8F83" w14:textId="532B897D" w:rsidR="00093405" w:rsidRDefault="00093405" w:rsidP="007A45B3">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Objective of changes</w:t>
            </w:r>
          </w:p>
        </w:tc>
      </w:tr>
      <w:tr w:rsidR="00093405" w14:paraId="47C4CB90" w14:textId="77777777" w:rsidTr="0009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B6F1AD" w14:textId="41D46B6E" w:rsidR="00093405" w:rsidRPr="00470ECF" w:rsidRDefault="00093405" w:rsidP="007A45B3">
            <w:pPr>
              <w:keepNext/>
              <w:rPr>
                <w:b w:val="0"/>
                <w:bCs w:val="0"/>
              </w:rPr>
            </w:pPr>
            <w:r w:rsidRPr="00470ECF">
              <w:rPr>
                <w:b w:val="0"/>
                <w:bCs w:val="0"/>
              </w:rPr>
              <w:t xml:space="preserve">Definitions of different types of wastes appear throughout the Regulation, making them difficult to find. </w:t>
            </w:r>
          </w:p>
        </w:tc>
        <w:tc>
          <w:tcPr>
            <w:tcW w:w="4508" w:type="dxa"/>
          </w:tcPr>
          <w:p w14:paraId="79623629" w14:textId="4187E36C" w:rsidR="00093405" w:rsidRPr="00470ECF" w:rsidRDefault="00470ECF" w:rsidP="007A45B3">
            <w:pPr>
              <w:keepNext/>
              <w:cnfStyle w:val="000000100000" w:firstRow="0" w:lastRow="0" w:firstColumn="0" w:lastColumn="0" w:oddVBand="0" w:evenVBand="0" w:oddHBand="1" w:evenHBand="0" w:firstRowFirstColumn="0" w:firstRowLastColumn="0" w:lastRowFirstColumn="0" w:lastRowLastColumn="0"/>
            </w:pPr>
            <w:r w:rsidRPr="00470ECF">
              <w:t>Consolidate all definitions of waste which appear in the Regulation into Schedules.</w:t>
            </w:r>
          </w:p>
        </w:tc>
      </w:tr>
      <w:tr w:rsidR="00093405" w14:paraId="63BAFA00" w14:textId="77777777" w:rsidTr="00093405">
        <w:tc>
          <w:tcPr>
            <w:cnfStyle w:val="001000000000" w:firstRow="0" w:lastRow="0" w:firstColumn="1" w:lastColumn="0" w:oddVBand="0" w:evenVBand="0" w:oddHBand="0" w:evenHBand="0" w:firstRowFirstColumn="0" w:firstRowLastColumn="0" w:lastRowFirstColumn="0" w:lastRowLastColumn="0"/>
            <w:tcW w:w="4508" w:type="dxa"/>
          </w:tcPr>
          <w:p w14:paraId="63C23923" w14:textId="0D2A27D7" w:rsidR="00093405" w:rsidRPr="00470ECF" w:rsidRDefault="00093405" w:rsidP="00093405">
            <w:pPr>
              <w:rPr>
                <w:b w:val="0"/>
                <w:bCs w:val="0"/>
              </w:rPr>
            </w:pPr>
            <w:r w:rsidRPr="00470ECF">
              <w:rPr>
                <w:b w:val="0"/>
                <w:bCs w:val="0"/>
              </w:rPr>
              <w:t xml:space="preserve">Waste categories require regular updating as technologies change in recycling facilities or reporting requirements are updated to meet the needs of the Territory or to harmonise with other jurisdictions. </w:t>
            </w:r>
          </w:p>
        </w:tc>
        <w:tc>
          <w:tcPr>
            <w:tcW w:w="4508" w:type="dxa"/>
          </w:tcPr>
          <w:p w14:paraId="2D16EE26" w14:textId="1A086F96" w:rsidR="00093405" w:rsidRPr="00470ECF" w:rsidRDefault="00470ECF" w:rsidP="00093405">
            <w:pPr>
              <w:cnfStyle w:val="000000000000" w:firstRow="0" w:lastRow="0" w:firstColumn="0" w:lastColumn="0" w:oddVBand="0" w:evenVBand="0" w:oddHBand="0" w:evenHBand="0" w:firstRowFirstColumn="0" w:firstRowLastColumn="0" w:lastRowFirstColumn="0" w:lastRowLastColumn="0"/>
            </w:pPr>
            <w:r w:rsidRPr="00470ECF">
              <w:t xml:space="preserve">Where feasible, shift waste categories into notifiable instruments to support easier updating as needed. </w:t>
            </w:r>
          </w:p>
        </w:tc>
      </w:tr>
      <w:tr w:rsidR="00390EEF" w14:paraId="3D4F9F3E" w14:textId="77777777" w:rsidTr="0009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23447D8" w14:textId="1EC6F651" w:rsidR="00390EEF" w:rsidRPr="00470ECF" w:rsidRDefault="00390EEF" w:rsidP="00093405">
            <w:pPr>
              <w:rPr>
                <w:b w:val="0"/>
                <w:bCs w:val="0"/>
              </w:rPr>
            </w:pPr>
            <w:r>
              <w:rPr>
                <w:b w:val="0"/>
                <w:bCs w:val="0"/>
              </w:rPr>
              <w:t xml:space="preserve">The list of domestic waste types is inconsistent with proposed FOGO definitions and is not clear on suitable disposal options for batteries. </w:t>
            </w:r>
          </w:p>
        </w:tc>
        <w:tc>
          <w:tcPr>
            <w:tcW w:w="4508" w:type="dxa"/>
          </w:tcPr>
          <w:p w14:paraId="6AB50361" w14:textId="0801615B" w:rsidR="00390EEF" w:rsidRPr="00470ECF" w:rsidRDefault="004D3AF9" w:rsidP="00093405">
            <w:pPr>
              <w:cnfStyle w:val="000000100000" w:firstRow="0" w:lastRow="0" w:firstColumn="0" w:lastColumn="0" w:oddVBand="0" w:evenVBand="0" w:oddHBand="1" w:evenHBand="0" w:firstRowFirstColumn="0" w:firstRowLastColumn="0" w:lastRowFirstColumn="0" w:lastRowLastColumn="0"/>
            </w:pPr>
            <w:r>
              <w:t xml:space="preserve">Provide consistency between domestic waste definitions and the FOGO proposal. Clarify that batteries are not domestic waste, or domestic recyclable waste and should not be placed in kerbside waste containers. </w:t>
            </w:r>
          </w:p>
        </w:tc>
      </w:tr>
      <w:tr w:rsidR="00093405" w14:paraId="28B43724" w14:textId="77777777" w:rsidTr="00093405">
        <w:tc>
          <w:tcPr>
            <w:cnfStyle w:val="001000000000" w:firstRow="0" w:lastRow="0" w:firstColumn="1" w:lastColumn="0" w:oddVBand="0" w:evenVBand="0" w:oddHBand="0" w:evenHBand="0" w:firstRowFirstColumn="0" w:firstRowLastColumn="0" w:lastRowFirstColumn="0" w:lastRowLastColumn="0"/>
            <w:tcW w:w="4508" w:type="dxa"/>
          </w:tcPr>
          <w:p w14:paraId="1715B5CF" w14:textId="25472485" w:rsidR="00093405" w:rsidRPr="00470ECF" w:rsidRDefault="00093405" w:rsidP="00093405">
            <w:pPr>
              <w:rPr>
                <w:b w:val="0"/>
                <w:bCs w:val="0"/>
              </w:rPr>
            </w:pPr>
            <w:r w:rsidRPr="00470ECF">
              <w:rPr>
                <w:b w:val="0"/>
                <w:bCs w:val="0"/>
              </w:rPr>
              <w:t xml:space="preserve">The Regulation’s Schedule 1.2 Categories of waste are outdated and no longer support best practice reporting. </w:t>
            </w:r>
          </w:p>
        </w:tc>
        <w:tc>
          <w:tcPr>
            <w:tcW w:w="4508" w:type="dxa"/>
          </w:tcPr>
          <w:p w14:paraId="36EC7794" w14:textId="2B84348B" w:rsidR="00093405" w:rsidRPr="00470ECF" w:rsidRDefault="00470ECF" w:rsidP="00093405">
            <w:pPr>
              <w:cnfStyle w:val="000000000000" w:firstRow="0" w:lastRow="0" w:firstColumn="0" w:lastColumn="0" w:oddVBand="0" w:evenVBand="0" w:oddHBand="0" w:evenHBand="0" w:firstRowFirstColumn="0" w:firstRowLastColumn="0" w:lastRowFirstColumn="0" w:lastRowLastColumn="0"/>
            </w:pPr>
            <w:r w:rsidRPr="00470ECF">
              <w:t>Update the current categories of waste to maximise its value for reporting outcomes.</w:t>
            </w:r>
          </w:p>
        </w:tc>
      </w:tr>
      <w:tr w:rsidR="00093405" w14:paraId="26E0B19B" w14:textId="77777777" w:rsidTr="00093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4B439C5" w14:textId="17DD006B" w:rsidR="00093405" w:rsidRPr="00470ECF" w:rsidRDefault="00093405" w:rsidP="00093405">
            <w:pPr>
              <w:rPr>
                <w:b w:val="0"/>
                <w:bCs w:val="0"/>
              </w:rPr>
            </w:pPr>
            <w:r w:rsidRPr="00470ECF">
              <w:rPr>
                <w:b w:val="0"/>
                <w:bCs w:val="0"/>
              </w:rPr>
              <w:t xml:space="preserve">The Regulation is overly prescriptive about the details needed in waste activity reports, especially in light of government plans to introduce a new on-line Waste Regulation Management System </w:t>
            </w:r>
            <w:r w:rsidR="00470ECF" w:rsidRPr="00470ECF">
              <w:rPr>
                <w:b w:val="0"/>
                <w:bCs w:val="0"/>
              </w:rPr>
              <w:t xml:space="preserve">(WRMS) </w:t>
            </w:r>
            <w:r w:rsidRPr="00470ECF">
              <w:rPr>
                <w:b w:val="0"/>
                <w:bCs w:val="0"/>
              </w:rPr>
              <w:t xml:space="preserve">to streamline reporting. </w:t>
            </w:r>
          </w:p>
        </w:tc>
        <w:tc>
          <w:tcPr>
            <w:tcW w:w="4508" w:type="dxa"/>
          </w:tcPr>
          <w:p w14:paraId="3118FE4E" w14:textId="1CD215F0" w:rsidR="00093405" w:rsidRPr="00470ECF" w:rsidRDefault="00470ECF" w:rsidP="00093405">
            <w:pPr>
              <w:cnfStyle w:val="000000100000" w:firstRow="0" w:lastRow="0" w:firstColumn="0" w:lastColumn="0" w:oddVBand="0" w:evenVBand="0" w:oddHBand="1" w:evenHBand="0" w:firstRowFirstColumn="0" w:firstRowLastColumn="0" w:lastRowFirstColumn="0" w:lastRowLastColumn="0"/>
            </w:pPr>
            <w:r w:rsidRPr="00470ECF">
              <w:t xml:space="preserve">Provide for the WRMS to be selected by waste reporters as an alternative to following the prescriptive reporting requirements. </w:t>
            </w:r>
          </w:p>
        </w:tc>
      </w:tr>
      <w:tr w:rsidR="00093405" w14:paraId="2AABA1C1" w14:textId="77777777" w:rsidTr="00093405">
        <w:tc>
          <w:tcPr>
            <w:cnfStyle w:val="001000000000" w:firstRow="0" w:lastRow="0" w:firstColumn="1" w:lastColumn="0" w:oddVBand="0" w:evenVBand="0" w:oddHBand="0" w:evenHBand="0" w:firstRowFirstColumn="0" w:firstRowLastColumn="0" w:lastRowFirstColumn="0" w:lastRowLastColumn="0"/>
            <w:tcW w:w="4508" w:type="dxa"/>
          </w:tcPr>
          <w:p w14:paraId="150A54CA" w14:textId="77A53886" w:rsidR="00093405" w:rsidRPr="00470ECF" w:rsidRDefault="00093405" w:rsidP="00093405">
            <w:pPr>
              <w:rPr>
                <w:b w:val="0"/>
                <w:bCs w:val="0"/>
              </w:rPr>
            </w:pPr>
            <w:r w:rsidRPr="00470ECF">
              <w:rPr>
                <w:b w:val="0"/>
                <w:bCs w:val="0"/>
              </w:rPr>
              <w:t xml:space="preserve">Some waste reporting which is required under ACT waste legislation is unnecessary since the information already achieved through other arrangements. </w:t>
            </w:r>
          </w:p>
        </w:tc>
        <w:tc>
          <w:tcPr>
            <w:tcW w:w="4508" w:type="dxa"/>
          </w:tcPr>
          <w:p w14:paraId="486375D1" w14:textId="6F011EFB" w:rsidR="00093405" w:rsidRPr="00470ECF" w:rsidRDefault="00470ECF" w:rsidP="00093405">
            <w:pPr>
              <w:cnfStyle w:val="000000000000" w:firstRow="0" w:lastRow="0" w:firstColumn="0" w:lastColumn="0" w:oddVBand="0" w:evenVBand="0" w:oddHBand="0" w:evenHBand="0" w:firstRowFirstColumn="0" w:firstRowLastColumn="0" w:lastRowFirstColumn="0" w:lastRowLastColumn="0"/>
            </w:pPr>
            <w:r w:rsidRPr="00470ECF">
              <w:t xml:space="preserve">Provide exemptions for waste activities that are fully achieved through other arrangements. </w:t>
            </w:r>
          </w:p>
        </w:tc>
      </w:tr>
    </w:tbl>
    <w:p w14:paraId="209DAC0C" w14:textId="1E9ED0BE" w:rsidR="00215347" w:rsidRPr="008670BC" w:rsidRDefault="00215347" w:rsidP="005F7ECC">
      <w:pPr>
        <w:rPr>
          <w:sz w:val="24"/>
          <w:szCs w:val="24"/>
        </w:rPr>
      </w:pPr>
      <w:r w:rsidRPr="008670BC">
        <w:rPr>
          <w:sz w:val="24"/>
          <w:szCs w:val="24"/>
        </w:rPr>
        <w:t xml:space="preserve"> </w:t>
      </w:r>
    </w:p>
    <w:p w14:paraId="186F6966" w14:textId="1A49B0D8" w:rsidR="005C26B0" w:rsidRDefault="005F7ECC" w:rsidP="005F7ECC">
      <w:pPr>
        <w:pStyle w:val="Heading2"/>
      </w:pPr>
      <w:bookmarkStart w:id="130" w:name="_Toc78374721"/>
      <w:bookmarkStart w:id="131" w:name="_Toc79490231"/>
      <w:r>
        <w:t>1</w:t>
      </w:r>
      <w:r w:rsidR="00690C94">
        <w:t>1</w:t>
      </w:r>
      <w:r>
        <w:t>.</w:t>
      </w:r>
      <w:r w:rsidR="00470ECF">
        <w:t>2</w:t>
      </w:r>
      <w:r w:rsidR="005C26B0">
        <w:t xml:space="preserve"> </w:t>
      </w:r>
      <w:r w:rsidR="002F7C2B">
        <w:tab/>
      </w:r>
      <w:r w:rsidR="005C26B0">
        <w:t>Approaches from other jurisdictions</w:t>
      </w:r>
      <w:bookmarkEnd w:id="130"/>
      <w:bookmarkEnd w:id="131"/>
    </w:p>
    <w:p w14:paraId="18120BC3" w14:textId="6B4FFA48" w:rsidR="007E3926" w:rsidRDefault="00F651EB" w:rsidP="007E3926">
      <w:r w:rsidRPr="00631EF0">
        <w:rPr>
          <w:sz w:val="24"/>
          <w:szCs w:val="24"/>
        </w:rPr>
        <w:t xml:space="preserve">Other jurisdictions generally have combined legislation for environmental protection and waste management and waste definitions at the state level reflect this. Waste definitions and reporting are generally aligned with national and international </w:t>
      </w:r>
      <w:r w:rsidR="009A480D" w:rsidRPr="00631EF0">
        <w:rPr>
          <w:sz w:val="24"/>
          <w:szCs w:val="24"/>
        </w:rPr>
        <w:t xml:space="preserve">categories of hazardous, regulated and controlled wastes. The </w:t>
      </w:r>
      <w:r w:rsidR="009A480D" w:rsidRPr="00631EF0">
        <w:rPr>
          <w:i/>
          <w:iCs/>
          <w:sz w:val="24"/>
          <w:szCs w:val="24"/>
        </w:rPr>
        <w:t>ACT Environmental Protection Act 1994</w:t>
      </w:r>
      <w:r w:rsidR="009A480D" w:rsidRPr="00631EF0">
        <w:rPr>
          <w:sz w:val="24"/>
          <w:szCs w:val="24"/>
        </w:rPr>
        <w:t xml:space="preserve"> is aligned with other jurisdictions in referring directly to these waste categories for its environmental authorisations. </w:t>
      </w:r>
      <w:r w:rsidR="00631EF0" w:rsidRPr="00631EF0">
        <w:rPr>
          <w:sz w:val="24"/>
          <w:szCs w:val="24"/>
        </w:rPr>
        <w:t>Key sources of national waste definitions called up in environmental protection laws are include</w:t>
      </w:r>
      <w:r w:rsidR="00631EF0">
        <w:t xml:space="preserve">: </w:t>
      </w:r>
    </w:p>
    <w:p w14:paraId="5EA5B2A5" w14:textId="2DBB9847" w:rsidR="00631EF0" w:rsidRDefault="00631EF0" w:rsidP="00631EF0">
      <w:pPr>
        <w:pStyle w:val="ReportList1"/>
      </w:pPr>
      <w:r w:rsidRPr="00631EF0">
        <w:rPr>
          <w:i/>
          <w:iCs/>
        </w:rPr>
        <w:t>Australian hazardous waste data and reporting standards</w:t>
      </w:r>
      <w:r>
        <w:rPr>
          <w:rStyle w:val="FootnoteReference"/>
        </w:rPr>
        <w:footnoteReference w:id="24"/>
      </w:r>
      <w:r>
        <w:t>, which supports Australia’s international reporting under the Basel Convention and periodic domestic reporting</w:t>
      </w:r>
      <w:r w:rsidR="00A51310">
        <w:t>,</w:t>
      </w:r>
      <w:r>
        <w:t xml:space="preserve"> and</w:t>
      </w:r>
    </w:p>
    <w:p w14:paraId="27F084FE" w14:textId="27EFEAAA" w:rsidR="00631EF0" w:rsidRDefault="00631EF0" w:rsidP="00631EF0">
      <w:pPr>
        <w:pStyle w:val="ReportList1"/>
      </w:pPr>
      <w:r w:rsidRPr="00631EF0">
        <w:rPr>
          <w:i/>
          <w:iCs/>
        </w:rPr>
        <w:lastRenderedPageBreak/>
        <w:t>National Environment Protection (Movement of Controlled Waste between States and Territories) Measure 1998</w:t>
      </w:r>
      <w:r>
        <w:rPr>
          <w:rStyle w:val="FootnoteReference"/>
        </w:rPr>
        <w:footnoteReference w:id="25"/>
      </w:r>
      <w:r>
        <w:t xml:space="preserve"> which establishes a system for jurisdictions to authorise and report on cross-border movements of controlled wastes. </w:t>
      </w:r>
    </w:p>
    <w:p w14:paraId="4068F984" w14:textId="1FDDB4E6" w:rsidR="009A480D" w:rsidRDefault="00CB3D44" w:rsidP="007E3926">
      <w:pPr>
        <w:rPr>
          <w:sz w:val="24"/>
          <w:szCs w:val="24"/>
        </w:rPr>
      </w:pPr>
      <w:r w:rsidRPr="00CB3D44">
        <w:rPr>
          <w:sz w:val="24"/>
          <w:szCs w:val="24"/>
        </w:rPr>
        <w:t xml:space="preserve">Between them, each jurisdiction’s environmental protection laws and these national reporting requirements provide an effective system for preventing harm and collecting information about hazardous waste movements in Australia. </w:t>
      </w:r>
    </w:p>
    <w:p w14:paraId="17719E52" w14:textId="62A7DD95" w:rsidR="00CB3D44" w:rsidRDefault="00CB3D44" w:rsidP="007E3926">
      <w:pPr>
        <w:rPr>
          <w:sz w:val="24"/>
          <w:szCs w:val="24"/>
        </w:rPr>
      </w:pPr>
      <w:r>
        <w:rPr>
          <w:sz w:val="24"/>
          <w:szCs w:val="24"/>
        </w:rPr>
        <w:t>In addition to these arrangements, the Commonwealth Government and all jurisdictions are actively working to improve reporting and in relation to other waste categories with a focus on waste avoidance and resource recovery.</w:t>
      </w:r>
      <w:r w:rsidR="00556526">
        <w:rPr>
          <w:sz w:val="24"/>
          <w:szCs w:val="24"/>
        </w:rPr>
        <w:t xml:space="preserve"> These efforts are formalised for instance in commitments within the National Waste Policy Action Plan, which has a target for making comprehensive, economy-wide and timely data publicly available to support better consumer, investment and policy decisions</w:t>
      </w:r>
      <w:r w:rsidR="00556526">
        <w:rPr>
          <w:rStyle w:val="FootnoteReference"/>
          <w:sz w:val="24"/>
          <w:szCs w:val="24"/>
        </w:rPr>
        <w:footnoteReference w:id="26"/>
      </w:r>
      <w:r w:rsidR="00556526">
        <w:rPr>
          <w:sz w:val="24"/>
          <w:szCs w:val="24"/>
        </w:rPr>
        <w:t xml:space="preserve">. </w:t>
      </w:r>
    </w:p>
    <w:p w14:paraId="239858BA" w14:textId="1F2FF501" w:rsidR="00790886" w:rsidRDefault="00790886" w:rsidP="007A45B3">
      <w:pPr>
        <w:rPr>
          <w:rFonts w:eastAsia="Times New Roman"/>
          <w:lang w:val="en-GB"/>
        </w:rPr>
      </w:pPr>
      <w:r w:rsidRPr="007A45B3">
        <w:rPr>
          <w:sz w:val="24"/>
          <w:szCs w:val="24"/>
        </w:rPr>
        <w:t>Other jurisdictions are working in parallel</w:t>
      </w:r>
      <w:r w:rsidR="00AB7E2E">
        <w:rPr>
          <w:sz w:val="24"/>
          <w:szCs w:val="24"/>
        </w:rPr>
        <w:t xml:space="preserve"> </w:t>
      </w:r>
      <w:r w:rsidRPr="007A45B3">
        <w:rPr>
          <w:sz w:val="24"/>
          <w:szCs w:val="24"/>
        </w:rPr>
        <w:t xml:space="preserve">with the ACT to harmonise waste definitions and reporting arrangements in line with waste avoidance and resource recovery policy priorities. </w:t>
      </w:r>
      <w:r w:rsidR="007A45B3" w:rsidRPr="007A45B3">
        <w:rPr>
          <w:sz w:val="24"/>
          <w:szCs w:val="24"/>
        </w:rPr>
        <w:t>I</w:t>
      </w:r>
      <w:r w:rsidR="00AB7E2E">
        <w:rPr>
          <w:sz w:val="24"/>
          <w:szCs w:val="24"/>
        </w:rPr>
        <w:t>n</w:t>
      </w:r>
      <w:r w:rsidR="007A45B3" w:rsidRPr="007A45B3">
        <w:rPr>
          <w:sz w:val="24"/>
          <w:szCs w:val="24"/>
        </w:rPr>
        <w:t xml:space="preserve"> particular</w:t>
      </w:r>
      <w:r w:rsidR="00AB7E2E">
        <w:rPr>
          <w:sz w:val="24"/>
          <w:szCs w:val="24"/>
        </w:rPr>
        <w:t>, the</w:t>
      </w:r>
      <w:r w:rsidRPr="007A45B3">
        <w:rPr>
          <w:sz w:val="24"/>
          <w:szCs w:val="24"/>
        </w:rPr>
        <w:t xml:space="preserve"> new </w:t>
      </w:r>
      <w:r w:rsidRPr="007A45B3">
        <w:rPr>
          <w:i/>
          <w:iCs/>
          <w:sz w:val="24"/>
          <w:szCs w:val="24"/>
        </w:rPr>
        <w:t>National standard for waste and resource recovery data</w:t>
      </w:r>
      <w:r w:rsidRPr="007A45B3">
        <w:rPr>
          <w:sz w:val="24"/>
          <w:szCs w:val="24"/>
        </w:rPr>
        <w:t xml:space="preserve"> and reporting is in draft form and contains a table of </w:t>
      </w:r>
      <w:r w:rsidR="007A45B3" w:rsidRPr="007A45B3">
        <w:rPr>
          <w:sz w:val="24"/>
          <w:szCs w:val="24"/>
        </w:rPr>
        <w:t>waste categories which are intended to support nationally consistent reporting of material flows, quantities, sources and management of wastes.</w:t>
      </w:r>
      <w:r w:rsidR="007A45B3" w:rsidRPr="006819E0">
        <w:rPr>
          <w:sz w:val="24"/>
          <w:szCs w:val="24"/>
        </w:rPr>
        <w:t xml:space="preserve"> This is aligned with the hazardous waste reporting systems already in place </w:t>
      </w:r>
      <w:r w:rsidR="00AB7E2E" w:rsidRPr="006819E0">
        <w:rPr>
          <w:sz w:val="24"/>
          <w:szCs w:val="24"/>
        </w:rPr>
        <w:t>and</w:t>
      </w:r>
      <w:r w:rsidR="007A45B3" w:rsidRPr="006819E0">
        <w:rPr>
          <w:sz w:val="24"/>
          <w:szCs w:val="24"/>
        </w:rPr>
        <w:t xml:space="preserve"> with the ACT WMRR waste legislation’s objectives for waste minimisation, innovation and promotion of best practice waste management which underpin the reporting obligations. The review of waste categories completed to support this Regulation update identified the waste categories in the draft national standard as the most appropriate </w:t>
      </w:r>
      <w:r w:rsidR="006819E0" w:rsidRPr="006819E0">
        <w:rPr>
          <w:sz w:val="24"/>
          <w:szCs w:val="24"/>
        </w:rPr>
        <w:t>alternative to the current Schedule 1.1</w:t>
      </w:r>
      <w:r w:rsidR="007A45B3" w:rsidRPr="006819E0">
        <w:rPr>
          <w:sz w:val="24"/>
          <w:szCs w:val="24"/>
        </w:rPr>
        <w:t xml:space="preserve"> </w:t>
      </w:r>
      <w:r w:rsidR="006819E0" w:rsidRPr="006819E0">
        <w:rPr>
          <w:sz w:val="24"/>
          <w:szCs w:val="24"/>
        </w:rPr>
        <w:t>Schedule</w:t>
      </w:r>
      <w:r w:rsidR="007A45B3" w:rsidRPr="006819E0">
        <w:rPr>
          <w:sz w:val="24"/>
          <w:szCs w:val="24"/>
        </w:rPr>
        <w:t xml:space="preserve"> of </w:t>
      </w:r>
      <w:r w:rsidR="00AB7E2E">
        <w:rPr>
          <w:sz w:val="24"/>
          <w:szCs w:val="24"/>
        </w:rPr>
        <w:t>W</w:t>
      </w:r>
      <w:r w:rsidR="007A45B3" w:rsidRPr="006819E0">
        <w:rPr>
          <w:sz w:val="24"/>
          <w:szCs w:val="24"/>
        </w:rPr>
        <w:t xml:space="preserve">aste </w:t>
      </w:r>
      <w:r w:rsidR="00AB7E2E">
        <w:rPr>
          <w:sz w:val="24"/>
          <w:szCs w:val="24"/>
        </w:rPr>
        <w:t>C</w:t>
      </w:r>
      <w:r w:rsidR="007A45B3" w:rsidRPr="006819E0">
        <w:rPr>
          <w:sz w:val="24"/>
          <w:szCs w:val="24"/>
        </w:rPr>
        <w:t>ategories</w:t>
      </w:r>
      <w:r w:rsidR="006819E0" w:rsidRPr="006819E0">
        <w:rPr>
          <w:sz w:val="24"/>
          <w:szCs w:val="24"/>
        </w:rPr>
        <w:t>.</w:t>
      </w:r>
      <w:r w:rsidR="006819E0">
        <w:rPr>
          <w:rFonts w:eastAsia="Times New Roman"/>
          <w:lang w:val="en-GB"/>
        </w:rPr>
        <w:t xml:space="preserve"> </w:t>
      </w:r>
    </w:p>
    <w:p w14:paraId="26F3D5B7" w14:textId="6B3A4990" w:rsidR="00247C37" w:rsidRPr="00390EEF" w:rsidRDefault="00247C37" w:rsidP="007A45B3">
      <w:pPr>
        <w:rPr>
          <w:sz w:val="24"/>
          <w:szCs w:val="24"/>
        </w:rPr>
      </w:pPr>
      <w:r w:rsidRPr="00390EEF">
        <w:rPr>
          <w:sz w:val="24"/>
          <w:szCs w:val="24"/>
        </w:rPr>
        <w:t xml:space="preserve">In relation to the WRMS, other jurisdictions are developing equivalent systems. </w:t>
      </w:r>
      <w:r w:rsidR="001B2F51" w:rsidRPr="00390EEF">
        <w:rPr>
          <w:sz w:val="24"/>
          <w:szCs w:val="24"/>
        </w:rPr>
        <w:t xml:space="preserve">For </w:t>
      </w:r>
      <w:r w:rsidR="00AB7E2E">
        <w:rPr>
          <w:sz w:val="24"/>
          <w:szCs w:val="24"/>
        </w:rPr>
        <w:t>example</w:t>
      </w:r>
      <w:r w:rsidR="001B2F51" w:rsidRPr="00390EEF">
        <w:rPr>
          <w:sz w:val="24"/>
          <w:szCs w:val="24"/>
        </w:rPr>
        <w:t>, b</w:t>
      </w:r>
      <w:r w:rsidRPr="00390EEF">
        <w:rPr>
          <w:sz w:val="24"/>
          <w:szCs w:val="24"/>
        </w:rPr>
        <w:t>oth South Australia</w:t>
      </w:r>
      <w:r w:rsidR="00902BBD" w:rsidRPr="00390EEF">
        <w:rPr>
          <w:sz w:val="24"/>
          <w:szCs w:val="24"/>
          <w:vertAlign w:val="superscript"/>
        </w:rPr>
        <w:footnoteReference w:id="27"/>
      </w:r>
      <w:r w:rsidRPr="00390EEF">
        <w:rPr>
          <w:sz w:val="24"/>
          <w:szCs w:val="24"/>
        </w:rPr>
        <w:t xml:space="preserve"> and Victoria</w:t>
      </w:r>
      <w:r w:rsidR="00902BBD" w:rsidRPr="00390EEF">
        <w:rPr>
          <w:sz w:val="24"/>
          <w:szCs w:val="24"/>
          <w:vertAlign w:val="superscript"/>
        </w:rPr>
        <w:footnoteReference w:id="28"/>
      </w:r>
      <w:r w:rsidRPr="00390EEF">
        <w:rPr>
          <w:sz w:val="24"/>
          <w:szCs w:val="24"/>
        </w:rPr>
        <w:t xml:space="preserve"> commenced new on-line reporting systems in July 2021</w:t>
      </w:r>
      <w:r w:rsidR="00902BBD" w:rsidRPr="00390EEF">
        <w:rPr>
          <w:sz w:val="24"/>
          <w:szCs w:val="24"/>
        </w:rPr>
        <w:t xml:space="preserve"> and amended their environmental protection regulations to require their use by specified waste facility operators and transporters. The ACT has been working with both of those jurisdictions in designing the WRMS and identifying appropriate reporting arrangements for local businesses</w:t>
      </w:r>
      <w:r w:rsidR="008C6718">
        <w:rPr>
          <w:sz w:val="24"/>
          <w:szCs w:val="24"/>
        </w:rPr>
        <w:t>.</w:t>
      </w:r>
      <w:r w:rsidR="00902BBD" w:rsidRPr="00390EEF">
        <w:rPr>
          <w:sz w:val="24"/>
          <w:szCs w:val="24"/>
        </w:rPr>
        <w:t xml:space="preserve"> </w:t>
      </w:r>
    </w:p>
    <w:p w14:paraId="052B2581" w14:textId="424E404E" w:rsidR="005C26B0" w:rsidRDefault="005F7ECC" w:rsidP="005F7ECC">
      <w:pPr>
        <w:pStyle w:val="Heading2"/>
      </w:pPr>
      <w:bookmarkStart w:id="132" w:name="_Toc78374722"/>
      <w:bookmarkStart w:id="133" w:name="_Toc79490232"/>
      <w:r>
        <w:t>1</w:t>
      </w:r>
      <w:r w:rsidR="00690C94">
        <w:t>1</w:t>
      </w:r>
      <w:r>
        <w:t>.</w:t>
      </w:r>
      <w:r w:rsidR="00470ECF">
        <w:t>3</w:t>
      </w:r>
      <w:r w:rsidR="005C26B0">
        <w:t xml:space="preserve"> </w:t>
      </w:r>
      <w:r w:rsidR="002F7C2B">
        <w:tab/>
      </w:r>
      <w:r w:rsidR="005C26B0">
        <w:t>Options</w:t>
      </w:r>
      <w:bookmarkEnd w:id="132"/>
      <w:bookmarkEnd w:id="133"/>
    </w:p>
    <w:p w14:paraId="052B65E7" w14:textId="3D66FB19" w:rsidR="002D1C8D" w:rsidRPr="002D1C8D" w:rsidRDefault="002D1C8D" w:rsidP="008C0CFC">
      <w:pPr>
        <w:rPr>
          <w:sz w:val="24"/>
          <w:szCs w:val="24"/>
        </w:rPr>
      </w:pPr>
      <w:r w:rsidRPr="002D1C8D">
        <w:rPr>
          <w:sz w:val="24"/>
          <w:szCs w:val="24"/>
        </w:rPr>
        <w:t>Different options were considered for the consolidation of waste categories and definitions into the Regulation’s Schedule and into separate Notifiable Instrument. An initial policy goal was to assemble all of the definitions and categories into a new Notifiable Instrument (NI) so that they would all be in one place</w:t>
      </w:r>
      <w:r w:rsidR="00AB7E2E">
        <w:rPr>
          <w:sz w:val="24"/>
          <w:szCs w:val="24"/>
        </w:rPr>
        <w:t xml:space="preserve"> </w:t>
      </w:r>
      <w:r w:rsidRPr="002D1C8D">
        <w:rPr>
          <w:sz w:val="24"/>
          <w:szCs w:val="24"/>
        </w:rPr>
        <w:t>and be easy to update as</w:t>
      </w:r>
      <w:r w:rsidR="00AB7E2E">
        <w:rPr>
          <w:sz w:val="24"/>
          <w:szCs w:val="24"/>
        </w:rPr>
        <w:t xml:space="preserve"> required</w:t>
      </w:r>
      <w:r w:rsidRPr="002D1C8D">
        <w:rPr>
          <w:sz w:val="24"/>
          <w:szCs w:val="24"/>
        </w:rPr>
        <w:t xml:space="preserve">. </w:t>
      </w:r>
      <w:r w:rsidR="00AB7E2E">
        <w:rPr>
          <w:sz w:val="24"/>
          <w:szCs w:val="24"/>
        </w:rPr>
        <w:t>T</w:t>
      </w:r>
      <w:r w:rsidRPr="002D1C8D">
        <w:rPr>
          <w:sz w:val="24"/>
          <w:szCs w:val="24"/>
        </w:rPr>
        <w:t xml:space="preserve">his was not </w:t>
      </w:r>
      <w:r w:rsidRPr="002D1C8D">
        <w:rPr>
          <w:sz w:val="24"/>
          <w:szCs w:val="24"/>
        </w:rPr>
        <w:lastRenderedPageBreak/>
        <w:t xml:space="preserve">possible because the Act specifies that CDS containers, domestic and recyclable wastes all be defined by regulation, meaning that they cannot be shifted into an NI. </w:t>
      </w:r>
    </w:p>
    <w:p w14:paraId="4F05CA66" w14:textId="12D7AA98" w:rsidR="008C0CFC" w:rsidRPr="002D1C8D" w:rsidRDefault="002D1C8D" w:rsidP="008C0CFC">
      <w:pPr>
        <w:rPr>
          <w:sz w:val="24"/>
          <w:szCs w:val="24"/>
        </w:rPr>
      </w:pPr>
      <w:r w:rsidRPr="002D1C8D">
        <w:rPr>
          <w:sz w:val="24"/>
          <w:szCs w:val="24"/>
        </w:rPr>
        <w:t xml:space="preserve">Two definitions of waste categories could be shifted into NIs, including the definition of compostable material to support FOGO, and the categories of wastes to be used in reporting under the WMRR Act. The preferred option for defining compostable material is to incorporate it into a FOGO-specific NI so that there is a single instrument defining the terms of the FOGO trial, and its intended later transition into a whole-of-Canberra service. This outcome is achieved by the proposed new </w:t>
      </w:r>
      <w:r w:rsidRPr="002D1C8D">
        <w:rPr>
          <w:i/>
          <w:iCs/>
          <w:sz w:val="24"/>
          <w:szCs w:val="24"/>
        </w:rPr>
        <w:t>Waste Management and Resource Recovery (compostable material collection) Declaration 2021</w:t>
      </w:r>
      <w:r w:rsidRPr="002D1C8D">
        <w:rPr>
          <w:sz w:val="24"/>
          <w:szCs w:val="24"/>
        </w:rPr>
        <w:t xml:space="preserve">. </w:t>
      </w:r>
    </w:p>
    <w:p w14:paraId="32D15BA1" w14:textId="77777777" w:rsidR="009067C2" w:rsidRDefault="002D1C8D" w:rsidP="008C0CFC">
      <w:pPr>
        <w:rPr>
          <w:sz w:val="24"/>
          <w:szCs w:val="24"/>
        </w:rPr>
      </w:pPr>
      <w:r w:rsidRPr="002D1C8D">
        <w:rPr>
          <w:sz w:val="24"/>
          <w:szCs w:val="24"/>
        </w:rPr>
        <w:t xml:space="preserve">This leaves the categories of wastes </w:t>
      </w:r>
      <w:r w:rsidR="009067C2">
        <w:rPr>
          <w:sz w:val="24"/>
          <w:szCs w:val="24"/>
        </w:rPr>
        <w:t>that WMRR licensed facilities and registered transporters must report on a</w:t>
      </w:r>
      <w:r w:rsidRPr="002D1C8D">
        <w:rPr>
          <w:sz w:val="24"/>
          <w:szCs w:val="24"/>
        </w:rPr>
        <w:t>s the only set of waste categories which could be shifted from the Regulation into a separate NI. This option is recommended</w:t>
      </w:r>
      <w:r w:rsidR="009067C2">
        <w:rPr>
          <w:sz w:val="24"/>
          <w:szCs w:val="24"/>
        </w:rPr>
        <w:t xml:space="preserve"> instead of the alternative of leaving the reportable waste categories in the Regulation</w:t>
      </w:r>
      <w:r w:rsidRPr="002D1C8D">
        <w:rPr>
          <w:sz w:val="24"/>
          <w:szCs w:val="24"/>
        </w:rPr>
        <w:t xml:space="preserve"> because there will almost certainly be an interest in updating the waste categories as the draft</w:t>
      </w:r>
      <w:r>
        <w:t xml:space="preserve"> </w:t>
      </w:r>
      <w:r w:rsidRPr="007A45B3">
        <w:rPr>
          <w:i/>
          <w:iCs/>
          <w:sz w:val="24"/>
          <w:szCs w:val="24"/>
        </w:rPr>
        <w:t>National standard for waste and resource recovery data</w:t>
      </w:r>
      <w:r>
        <w:rPr>
          <w:sz w:val="24"/>
          <w:szCs w:val="24"/>
        </w:rPr>
        <w:t xml:space="preserve"> is finalised, when the WRMS is introduced</w:t>
      </w:r>
      <w:r w:rsidR="009067C2">
        <w:rPr>
          <w:sz w:val="24"/>
          <w:szCs w:val="24"/>
        </w:rPr>
        <w:t xml:space="preserve"> and as waste recovery technologies change</w:t>
      </w:r>
      <w:r>
        <w:rPr>
          <w:sz w:val="24"/>
          <w:szCs w:val="24"/>
        </w:rPr>
        <w:t>.</w:t>
      </w:r>
    </w:p>
    <w:p w14:paraId="3490C730" w14:textId="32BBBAE2" w:rsidR="007D6E07" w:rsidRDefault="007D6E07" w:rsidP="008C0CFC">
      <w:pPr>
        <w:rPr>
          <w:sz w:val="24"/>
          <w:szCs w:val="24"/>
        </w:rPr>
      </w:pPr>
      <w:r>
        <w:rPr>
          <w:sz w:val="24"/>
          <w:szCs w:val="24"/>
        </w:rPr>
        <w:t xml:space="preserve">The Regulation amendments could have removed the prescriptive reporting requirements which </w:t>
      </w:r>
      <w:r w:rsidR="00AB7E2E">
        <w:rPr>
          <w:sz w:val="24"/>
          <w:szCs w:val="24"/>
        </w:rPr>
        <w:t>are currently provided;</w:t>
      </w:r>
      <w:r>
        <w:rPr>
          <w:sz w:val="24"/>
          <w:szCs w:val="24"/>
        </w:rPr>
        <w:t xml:space="preserve"> however this could be premature as the WRMS is not yet completed, user-tested or in use by facility operator. Retaining reporting functions which are providing some value at present provides a back-up option which will be useful in the transition to WRMS, while also encouraging the transition into WRMS once available. </w:t>
      </w:r>
    </w:p>
    <w:p w14:paraId="54C7A50B" w14:textId="0E474840" w:rsidR="0091223B" w:rsidRDefault="007D6E07" w:rsidP="008C0CFC">
      <w:pPr>
        <w:rPr>
          <w:sz w:val="24"/>
          <w:szCs w:val="24"/>
        </w:rPr>
      </w:pPr>
      <w:r>
        <w:rPr>
          <w:sz w:val="24"/>
          <w:szCs w:val="24"/>
        </w:rPr>
        <w:t xml:space="preserve">No changes are required to the Regulation to provide exemptions for reporting in specific circumstances, as S67 of the Act already allows this. </w:t>
      </w:r>
      <w:r w:rsidR="00AB7E2E">
        <w:rPr>
          <w:sz w:val="24"/>
          <w:szCs w:val="24"/>
        </w:rPr>
        <w:t>T</w:t>
      </w:r>
      <w:r>
        <w:rPr>
          <w:sz w:val="24"/>
          <w:szCs w:val="24"/>
        </w:rPr>
        <w:t xml:space="preserve">his regulatory package which updates the WMRR Regulation provides an opportune time to formalise the exemption applying to movements of controlled waste between jurisdictions that are completely covered by </w:t>
      </w:r>
      <w:r w:rsidRPr="007D6E07">
        <w:rPr>
          <w:i/>
          <w:iCs/>
          <w:sz w:val="24"/>
          <w:szCs w:val="24"/>
        </w:rPr>
        <w:t>National Environment Protection (Movement of Controlled Waste between States and Territories) Measure 1998</w:t>
      </w:r>
      <w:r w:rsidRPr="007D6E07">
        <w:rPr>
          <w:sz w:val="24"/>
          <w:szCs w:val="24"/>
        </w:rPr>
        <w:t>.</w:t>
      </w:r>
      <w:r>
        <w:rPr>
          <w:sz w:val="24"/>
          <w:szCs w:val="24"/>
        </w:rPr>
        <w:t xml:space="preserve"> This is achieved by the proposed updates to the existing </w:t>
      </w:r>
      <w:r w:rsidRPr="007D6E07">
        <w:rPr>
          <w:i/>
          <w:iCs/>
          <w:sz w:val="24"/>
          <w:szCs w:val="24"/>
        </w:rPr>
        <w:t>Waste Management and Resource Recovery (Exemption) Declaration (Disallowable Instrument)</w:t>
      </w:r>
      <w:r w:rsidR="0091223B">
        <w:rPr>
          <w:sz w:val="24"/>
          <w:szCs w:val="24"/>
        </w:rPr>
        <w:t xml:space="preserve"> (Exemption Declaration DI). </w:t>
      </w:r>
    </w:p>
    <w:p w14:paraId="4177C926" w14:textId="4D6EB17C" w:rsidR="00606E8B" w:rsidRPr="0091223B" w:rsidRDefault="0091223B" w:rsidP="00606E8B">
      <w:pPr>
        <w:rPr>
          <w:sz w:val="24"/>
          <w:szCs w:val="24"/>
        </w:rPr>
      </w:pPr>
      <w:r>
        <w:rPr>
          <w:sz w:val="24"/>
          <w:szCs w:val="24"/>
        </w:rPr>
        <w:t>The impetus to amend the Exemption Declaration also presents an opportunity to commence another proposed amendment to that DI which exempts</w:t>
      </w:r>
      <w:r w:rsidR="007D6E07">
        <w:rPr>
          <w:sz w:val="24"/>
          <w:szCs w:val="24"/>
        </w:rPr>
        <w:t xml:space="preserve"> very small transporters who shift less than three tonnes of waste per year, other than to a landfill site. This amendment has been in draft form with the intention of exempting various community groups with CDS collections, and very small</w:t>
      </w:r>
      <w:r>
        <w:rPr>
          <w:sz w:val="24"/>
          <w:szCs w:val="24"/>
        </w:rPr>
        <w:t>-</w:t>
      </w:r>
      <w:r w:rsidR="007D6E07">
        <w:rPr>
          <w:sz w:val="24"/>
          <w:szCs w:val="24"/>
        </w:rPr>
        <w:t xml:space="preserve">scale composting arrangements and other similar activities which are </w:t>
      </w:r>
      <w:r>
        <w:rPr>
          <w:sz w:val="24"/>
          <w:szCs w:val="24"/>
        </w:rPr>
        <w:t xml:space="preserve">closer to hobbies or community service than to waste management businesses. </w:t>
      </w:r>
      <w:r w:rsidR="007D6E07">
        <w:rPr>
          <w:sz w:val="24"/>
          <w:szCs w:val="24"/>
        </w:rPr>
        <w:t xml:space="preserve"> </w:t>
      </w:r>
    </w:p>
    <w:p w14:paraId="634A8939" w14:textId="5A285763" w:rsidR="005C26B0" w:rsidRDefault="005F7ECC" w:rsidP="005F7ECC">
      <w:pPr>
        <w:pStyle w:val="Heading2"/>
      </w:pPr>
      <w:bookmarkStart w:id="134" w:name="_Toc78374723"/>
      <w:bookmarkStart w:id="135" w:name="_Toc79490233"/>
      <w:r>
        <w:t>1</w:t>
      </w:r>
      <w:r w:rsidR="00690C94">
        <w:t>1</w:t>
      </w:r>
      <w:r>
        <w:t>.</w:t>
      </w:r>
      <w:r w:rsidR="00470ECF">
        <w:t>4</w:t>
      </w:r>
      <w:r w:rsidR="005C26B0">
        <w:t xml:space="preserve"> </w:t>
      </w:r>
      <w:r w:rsidR="002F7C2B">
        <w:tab/>
      </w:r>
      <w:r w:rsidR="005C26B0">
        <w:t>Summary of amendments</w:t>
      </w:r>
      <w:bookmarkEnd w:id="134"/>
      <w:bookmarkEnd w:id="135"/>
    </w:p>
    <w:p w14:paraId="58AD6674" w14:textId="192C33FA" w:rsidR="008F221D" w:rsidRPr="00390EEF" w:rsidRDefault="008F221D" w:rsidP="008F221D">
      <w:pPr>
        <w:rPr>
          <w:sz w:val="24"/>
          <w:szCs w:val="24"/>
        </w:rPr>
      </w:pPr>
      <w:r w:rsidRPr="00390EEF">
        <w:rPr>
          <w:sz w:val="24"/>
          <w:szCs w:val="24"/>
        </w:rPr>
        <w:t xml:space="preserve">In summary, the proposed amendments are as follows: </w:t>
      </w:r>
    </w:p>
    <w:p w14:paraId="4FD2C740" w14:textId="6A78F33D" w:rsidR="008F221D" w:rsidRDefault="008F221D" w:rsidP="00390EEF">
      <w:pPr>
        <w:pStyle w:val="ReportList1"/>
      </w:pPr>
      <w:r>
        <w:lastRenderedPageBreak/>
        <w:t xml:space="preserve">Move several lists of waste categories from throughout the Regulation into the Schedule. The waste categories being shifted are those defining: </w:t>
      </w:r>
    </w:p>
    <w:p w14:paraId="3D1868D1" w14:textId="6DF27F3F" w:rsidR="008F221D" w:rsidRDefault="00643857" w:rsidP="00390EEF">
      <w:pPr>
        <w:pStyle w:val="ReportList2"/>
      </w:pPr>
      <w:r>
        <w:t>d</w:t>
      </w:r>
      <w:r w:rsidR="008F221D">
        <w:t xml:space="preserve">omestic recyclable waste, </w:t>
      </w:r>
    </w:p>
    <w:p w14:paraId="6543587D" w14:textId="61209F61" w:rsidR="008F221D" w:rsidRDefault="00643857" w:rsidP="00390EEF">
      <w:pPr>
        <w:pStyle w:val="ReportList2"/>
      </w:pPr>
      <w:r>
        <w:t>d</w:t>
      </w:r>
      <w:r w:rsidR="008F221D">
        <w:t xml:space="preserve">omestic waste – excluded material, </w:t>
      </w:r>
    </w:p>
    <w:p w14:paraId="5A2F34FA" w14:textId="009D1D72" w:rsidR="008F221D" w:rsidRDefault="00643857" w:rsidP="00390EEF">
      <w:pPr>
        <w:pStyle w:val="ReportList2"/>
      </w:pPr>
      <w:r>
        <w:t>c</w:t>
      </w:r>
      <w:r w:rsidR="008F221D">
        <w:t>ontainer deposit scheme:</w:t>
      </w:r>
    </w:p>
    <w:p w14:paraId="2ED678E8" w14:textId="7E69BE81" w:rsidR="008F221D" w:rsidRDefault="00643857" w:rsidP="00390EEF">
      <w:pPr>
        <w:pStyle w:val="ReportList2"/>
        <w:numPr>
          <w:ilvl w:val="2"/>
          <w:numId w:val="25"/>
        </w:numPr>
      </w:pPr>
      <w:r>
        <w:t>d</w:t>
      </w:r>
      <w:r w:rsidR="008F221D">
        <w:t xml:space="preserve">efinition of beverages, </w:t>
      </w:r>
    </w:p>
    <w:p w14:paraId="182B3F67" w14:textId="579FD279" w:rsidR="008F221D" w:rsidRDefault="00643857" w:rsidP="00390EEF">
      <w:pPr>
        <w:pStyle w:val="ReportList2"/>
        <w:numPr>
          <w:ilvl w:val="2"/>
          <w:numId w:val="25"/>
        </w:numPr>
      </w:pPr>
      <w:r>
        <w:t>l</w:t>
      </w:r>
      <w:r w:rsidR="008F221D">
        <w:t xml:space="preserve">iquids that are not beverages, </w:t>
      </w:r>
    </w:p>
    <w:p w14:paraId="389EE81B" w14:textId="223F7B4E" w:rsidR="008F221D" w:rsidRDefault="00643857" w:rsidP="00390EEF">
      <w:pPr>
        <w:pStyle w:val="ReportList2"/>
        <w:numPr>
          <w:ilvl w:val="2"/>
          <w:numId w:val="25"/>
        </w:numPr>
      </w:pPr>
      <w:r>
        <w:t>d</w:t>
      </w:r>
      <w:r w:rsidR="008F221D">
        <w:t xml:space="preserve">efinitions of containers, </w:t>
      </w:r>
      <w:r>
        <w:t>and</w:t>
      </w:r>
    </w:p>
    <w:p w14:paraId="5762EF4F" w14:textId="1B7D3566" w:rsidR="008F221D" w:rsidRDefault="00643857" w:rsidP="00390EEF">
      <w:pPr>
        <w:pStyle w:val="ReportList2"/>
        <w:numPr>
          <w:ilvl w:val="2"/>
          <w:numId w:val="25"/>
        </w:numPr>
      </w:pPr>
      <w:r>
        <w:t>w</w:t>
      </w:r>
      <w:r w:rsidR="00A11FF6">
        <w:t xml:space="preserve">hat is not a container. </w:t>
      </w:r>
    </w:p>
    <w:p w14:paraId="388F943B" w14:textId="1AD32B0B" w:rsidR="00F16807" w:rsidRDefault="00643857" w:rsidP="00390EEF">
      <w:pPr>
        <w:pStyle w:val="ReportList1"/>
      </w:pPr>
      <w:r>
        <w:t>i</w:t>
      </w:r>
      <w:r w:rsidR="00F16807">
        <w:t>nclude a reference to FOGO waste categories in the list of domestic recyclable waste</w:t>
      </w:r>
      <w:r>
        <w:t>,</w:t>
      </w:r>
      <w:r w:rsidR="00F16807">
        <w:t xml:space="preserve"> </w:t>
      </w:r>
    </w:p>
    <w:p w14:paraId="0EC1760D" w14:textId="7DD5192B" w:rsidR="00F16807" w:rsidRDefault="00643857" w:rsidP="00390EEF">
      <w:pPr>
        <w:pStyle w:val="ReportList1"/>
      </w:pPr>
      <w:r>
        <w:t>i</w:t>
      </w:r>
      <w:r w:rsidR="00F16807">
        <w:t>nclude ‘batteries’ as a stand</w:t>
      </w:r>
      <w:r w:rsidR="00764B8E">
        <w:t>-</w:t>
      </w:r>
      <w:r w:rsidR="00AB7E2E">
        <w:t>a</w:t>
      </w:r>
      <w:r w:rsidR="00F16807">
        <w:t>lone item in the list of domestic waste – excluded material</w:t>
      </w:r>
      <w:r>
        <w:t>,</w:t>
      </w:r>
      <w:r w:rsidR="00F16807">
        <w:t xml:space="preserve"> </w:t>
      </w:r>
    </w:p>
    <w:p w14:paraId="15C5C2A7" w14:textId="277A6DA4" w:rsidR="00A11FF6" w:rsidRDefault="00643857" w:rsidP="00390EEF">
      <w:pPr>
        <w:pStyle w:val="ReportList1"/>
      </w:pPr>
      <w:r>
        <w:t>s</w:t>
      </w:r>
      <w:r w:rsidR="00390EEF">
        <w:t xml:space="preserve">hift the previous Schedule 1.2 categories of waste for reporting purposes into a separate, new </w:t>
      </w:r>
      <w:r w:rsidR="00390EEF" w:rsidRPr="00E51925">
        <w:rPr>
          <w:i/>
          <w:iCs/>
        </w:rPr>
        <w:t>Waste Management and Resource Recovery (Waste Categories) Determination 2021</w:t>
      </w:r>
      <w:r>
        <w:rPr>
          <w:i/>
          <w:iCs/>
        </w:rPr>
        <w:t>,</w:t>
      </w:r>
      <w:r w:rsidR="00390EEF">
        <w:t xml:space="preserve"> </w:t>
      </w:r>
    </w:p>
    <w:p w14:paraId="6428D223" w14:textId="5E5CEB8A" w:rsidR="00390EEF" w:rsidRPr="00390EEF" w:rsidRDefault="00643857" w:rsidP="00390EEF">
      <w:pPr>
        <w:pStyle w:val="ReportList1"/>
      </w:pPr>
      <w:r>
        <w:t>u</w:t>
      </w:r>
      <w:r w:rsidR="00390EEF">
        <w:t xml:space="preserve">pdate the existing </w:t>
      </w:r>
      <w:r w:rsidR="00390EEF" w:rsidRPr="007D6E07">
        <w:rPr>
          <w:i/>
          <w:iCs/>
        </w:rPr>
        <w:t>Waste Management and Resource Recovery (Exemption)</w:t>
      </w:r>
      <w:r w:rsidR="00390EEF">
        <w:rPr>
          <w:i/>
          <w:iCs/>
        </w:rPr>
        <w:t>.</w:t>
      </w:r>
      <w:r w:rsidR="00390EEF" w:rsidRPr="007D6E07">
        <w:rPr>
          <w:i/>
          <w:iCs/>
        </w:rPr>
        <w:t xml:space="preserve"> Declaration (Disallowable Instrument)</w:t>
      </w:r>
      <w:r w:rsidR="00390EEF">
        <w:t xml:space="preserve"> to exempt from WMRR reporting,</w:t>
      </w:r>
      <w:r w:rsidR="00390EEF" w:rsidRPr="00FF5250">
        <w:rPr>
          <w:sz w:val="28"/>
          <w:szCs w:val="28"/>
        </w:rPr>
        <w:t xml:space="preserve"> </w:t>
      </w:r>
      <w:bookmarkStart w:id="136" w:name="_Hlk78742944"/>
      <w:r w:rsidR="00390EEF" w:rsidRPr="00FF5250">
        <w:rPr>
          <w:rFonts w:cstheme="minorHAnsi"/>
        </w:rPr>
        <w:t>w</w:t>
      </w:r>
      <w:r w:rsidR="00390EEF" w:rsidRPr="00FF5250">
        <w:rPr>
          <w:rFonts w:cstheme="minorHAnsi"/>
          <w:iCs/>
        </w:rPr>
        <w:t xml:space="preserve">aste transporters whose entire waste management business operations </w:t>
      </w:r>
      <w:r w:rsidR="00390EEF" w:rsidRPr="00FF5250">
        <w:rPr>
          <w:rFonts w:cstheme="minorHAnsi"/>
        </w:rPr>
        <w:t xml:space="preserve">between jurisdictions </w:t>
      </w:r>
      <w:r w:rsidR="00390EEF" w:rsidRPr="00FF5250">
        <w:rPr>
          <w:rFonts w:cstheme="minorHAnsi"/>
          <w:iCs/>
        </w:rPr>
        <w:t xml:space="preserve">are subject to the </w:t>
      </w:r>
      <w:r w:rsidR="00390EEF" w:rsidRPr="00FF5250">
        <w:rPr>
          <w:rFonts w:cstheme="minorHAnsi"/>
          <w:i/>
          <w:iCs/>
          <w:color w:val="000000"/>
          <w:lang w:eastAsia="en-AU"/>
        </w:rPr>
        <w:t>National Environment Protection (Movement of Controlled Waste between States and Territories) Measure 1998</w:t>
      </w:r>
      <w:bookmarkEnd w:id="136"/>
      <w:r>
        <w:rPr>
          <w:rFonts w:cstheme="minorHAnsi"/>
          <w:color w:val="000000"/>
          <w:lang w:eastAsia="en-AU"/>
        </w:rPr>
        <w:t>,</w:t>
      </w:r>
    </w:p>
    <w:p w14:paraId="4A99DBEC" w14:textId="481842F2" w:rsidR="00390EEF" w:rsidRPr="00390EEF" w:rsidRDefault="00643857" w:rsidP="00390EEF">
      <w:pPr>
        <w:pStyle w:val="ReportList1"/>
      </w:pPr>
      <w:r>
        <w:rPr>
          <w:rFonts w:cstheme="minorHAnsi"/>
          <w:color w:val="000000"/>
          <w:lang w:eastAsia="en-AU"/>
        </w:rPr>
        <w:t>a</w:t>
      </w:r>
      <w:r w:rsidR="00390EEF">
        <w:rPr>
          <w:rFonts w:cstheme="minorHAnsi"/>
          <w:color w:val="000000"/>
          <w:lang w:eastAsia="en-AU"/>
        </w:rPr>
        <w:t xml:space="preserve">lso update the Exemption Declaration DI to exempt </w:t>
      </w:r>
      <w:bookmarkStart w:id="137" w:name="_Hlk78782825"/>
      <w:r w:rsidR="00390EEF">
        <w:rPr>
          <w:rFonts w:cstheme="minorHAnsi"/>
          <w:color w:val="000000"/>
          <w:lang w:eastAsia="en-AU"/>
        </w:rPr>
        <w:t>very small waste transporters such as community groups transporting CDS material for redemption, from reporting requirements</w:t>
      </w:r>
      <w:bookmarkEnd w:id="137"/>
      <w:r w:rsidR="00C208A1">
        <w:rPr>
          <w:rFonts w:cstheme="minorHAnsi"/>
          <w:color w:val="000000"/>
          <w:lang w:eastAsia="en-AU"/>
        </w:rPr>
        <w:t>;</w:t>
      </w:r>
      <w:r>
        <w:rPr>
          <w:rFonts w:cstheme="minorHAnsi"/>
          <w:color w:val="000000"/>
          <w:lang w:eastAsia="en-AU"/>
        </w:rPr>
        <w:t xml:space="preserve"> and</w:t>
      </w:r>
      <w:r w:rsidR="00390EEF">
        <w:rPr>
          <w:rFonts w:cstheme="minorHAnsi"/>
          <w:color w:val="000000"/>
          <w:lang w:eastAsia="en-AU"/>
        </w:rPr>
        <w:t xml:space="preserve"> </w:t>
      </w:r>
    </w:p>
    <w:p w14:paraId="7D46CA82" w14:textId="491AFA2F" w:rsidR="00390EEF" w:rsidRDefault="00643857" w:rsidP="00390EEF">
      <w:pPr>
        <w:pStyle w:val="ReportList1"/>
      </w:pPr>
      <w:r>
        <w:rPr>
          <w:rFonts w:cstheme="minorHAnsi"/>
          <w:color w:val="000000"/>
          <w:lang w:eastAsia="en-AU"/>
        </w:rPr>
        <w:t>i</w:t>
      </w:r>
      <w:r w:rsidR="00390EEF">
        <w:rPr>
          <w:rFonts w:cstheme="minorHAnsi"/>
          <w:color w:val="000000"/>
          <w:lang w:eastAsia="en-AU"/>
        </w:rPr>
        <w:t xml:space="preserve">ntroduce a new option for waste reporting by way of the new Waste Regulation Management System, which is currently under development. </w:t>
      </w:r>
    </w:p>
    <w:p w14:paraId="0F75AF5C" w14:textId="637A2228" w:rsidR="008F221D" w:rsidRPr="00390EEF" w:rsidRDefault="008F221D" w:rsidP="008F221D">
      <w:pPr>
        <w:rPr>
          <w:sz w:val="24"/>
          <w:szCs w:val="24"/>
        </w:rPr>
      </w:pPr>
      <w:r w:rsidRPr="00390EEF">
        <w:rPr>
          <w:sz w:val="24"/>
          <w:szCs w:val="24"/>
        </w:rPr>
        <w:t xml:space="preserve">Additional commentary is needed on </w:t>
      </w:r>
      <w:r w:rsidR="00AA42EC">
        <w:rPr>
          <w:sz w:val="24"/>
          <w:szCs w:val="24"/>
        </w:rPr>
        <w:t xml:space="preserve">the proposal to list batteries specifically as a material that is excluded from domestic waste.  </w:t>
      </w:r>
    </w:p>
    <w:p w14:paraId="789542B0" w14:textId="65A562C5" w:rsidR="005B3716" w:rsidRDefault="005F7ECC" w:rsidP="005F7ECC">
      <w:pPr>
        <w:pStyle w:val="Heading3"/>
      </w:pPr>
      <w:bookmarkStart w:id="138" w:name="_Toc78374724"/>
      <w:bookmarkStart w:id="139" w:name="_Toc79490234"/>
      <w:r>
        <w:t>1</w:t>
      </w:r>
      <w:r w:rsidR="00690C94">
        <w:t>1</w:t>
      </w:r>
      <w:r>
        <w:t>.</w:t>
      </w:r>
      <w:r w:rsidR="00470ECF">
        <w:t>4</w:t>
      </w:r>
      <w:r w:rsidR="00AA42EC">
        <w:t>a</w:t>
      </w:r>
      <w:r>
        <w:t xml:space="preserve"> </w:t>
      </w:r>
      <w:r w:rsidR="000C40DF">
        <w:t>Batteries</w:t>
      </w:r>
      <w:bookmarkEnd w:id="138"/>
      <w:bookmarkEnd w:id="139"/>
    </w:p>
    <w:p w14:paraId="22245D7A" w14:textId="66A51B15" w:rsidR="000C40DF" w:rsidRDefault="000C40DF" w:rsidP="005F7ECC">
      <w:r>
        <w:rPr>
          <w:sz w:val="24"/>
          <w:szCs w:val="24"/>
        </w:rPr>
        <w:t xml:space="preserve">Waste batteries are currently not allowed to be placed in either ACT municipal waste containers (red bins) </w:t>
      </w:r>
      <w:bookmarkStart w:id="140" w:name="_Hlk78782947"/>
      <w:r>
        <w:rPr>
          <w:sz w:val="24"/>
          <w:szCs w:val="24"/>
        </w:rPr>
        <w:t>or domestic recyclable waste containers (yellow bins)</w:t>
      </w:r>
      <w:bookmarkEnd w:id="140"/>
      <w:r>
        <w:rPr>
          <w:sz w:val="24"/>
          <w:szCs w:val="24"/>
        </w:rPr>
        <w:t>. The mechanism for that ‘regulated wastes’ are excluded from both of those waste types in the</w:t>
      </w:r>
      <w:r w:rsidRPr="00D2789F">
        <w:rPr>
          <w:i/>
          <w:iCs/>
          <w:sz w:val="24"/>
          <w:szCs w:val="24"/>
        </w:rPr>
        <w:t xml:space="preserve"> </w:t>
      </w:r>
      <w:r w:rsidRPr="004A4C5E">
        <w:rPr>
          <w:i/>
          <w:iCs/>
          <w:sz w:val="24"/>
          <w:szCs w:val="24"/>
        </w:rPr>
        <w:t>Waste Management and Resource Recovery Regulation 2017</w:t>
      </w:r>
      <w:r w:rsidRPr="004A4C5E">
        <w:rPr>
          <w:sz w:val="24"/>
          <w:szCs w:val="24"/>
        </w:rPr>
        <w:t xml:space="preserve"> (WMRR</w:t>
      </w:r>
      <w:r>
        <w:rPr>
          <w:sz w:val="24"/>
          <w:szCs w:val="24"/>
        </w:rPr>
        <w:t xml:space="preserve"> Regulation). </w:t>
      </w:r>
      <w:r w:rsidR="00AB7E2E">
        <w:rPr>
          <w:sz w:val="24"/>
          <w:szCs w:val="24"/>
        </w:rPr>
        <w:t>T</w:t>
      </w:r>
      <w:r>
        <w:rPr>
          <w:sz w:val="24"/>
          <w:szCs w:val="24"/>
        </w:rPr>
        <w:t xml:space="preserve">he current statutory pathway confirming batteries as being excluded from territory waste containers is </w:t>
      </w:r>
      <w:r w:rsidR="00AB7E2E">
        <w:rPr>
          <w:sz w:val="24"/>
          <w:szCs w:val="24"/>
        </w:rPr>
        <w:t>complex</w:t>
      </w:r>
      <w:r>
        <w:rPr>
          <w:sz w:val="24"/>
          <w:szCs w:val="24"/>
        </w:rPr>
        <w:t xml:space="preserve"> and unclear.</w:t>
      </w:r>
    </w:p>
    <w:p w14:paraId="57E2D3F0" w14:textId="717941D7" w:rsidR="000C40DF" w:rsidRDefault="000C40DF" w:rsidP="005F7ECC">
      <w:pPr>
        <w:rPr>
          <w:sz w:val="24"/>
          <w:szCs w:val="24"/>
        </w:rPr>
      </w:pPr>
      <w:r w:rsidRPr="00AA42EC">
        <w:rPr>
          <w:sz w:val="24"/>
          <w:szCs w:val="24"/>
        </w:rPr>
        <w:t xml:space="preserve">Lithium-ion batteries and other domestic waste batteries would be excluded as ‘substances liable to spontaneous combustion’ in Table 4e of </w:t>
      </w:r>
      <w:hyperlink r:id="rId24" w:history="1">
        <w:r w:rsidRPr="00AA42EC">
          <w:rPr>
            <w:sz w:val="24"/>
            <w:szCs w:val="24"/>
          </w:rPr>
          <w:t xml:space="preserve">ACT’s Assessment &amp; Classification of Liquid </w:t>
        </w:r>
        <w:r w:rsidRPr="00AA42EC">
          <w:rPr>
            <w:sz w:val="24"/>
            <w:szCs w:val="24"/>
          </w:rPr>
          <w:lastRenderedPageBreak/>
          <w:t>&amp; Non-liquid Wastes</w:t>
        </w:r>
      </w:hyperlink>
      <w:r w:rsidR="00AA42EC" w:rsidRPr="00AA42EC">
        <w:rPr>
          <w:sz w:val="24"/>
          <w:szCs w:val="24"/>
          <w:vertAlign w:val="superscript"/>
        </w:rPr>
        <w:footnoteReference w:id="29"/>
      </w:r>
      <w:r w:rsidRPr="00AA42EC">
        <w:rPr>
          <w:sz w:val="24"/>
          <w:szCs w:val="24"/>
        </w:rPr>
        <w:t xml:space="preserve">. Because of this they are classified as hazardous wastes, which are a type of regulated waste under Schedule 1.1A of the </w:t>
      </w:r>
      <w:hyperlink r:id="rId25" w:history="1">
        <w:r w:rsidRPr="00AA42EC">
          <w:rPr>
            <w:i/>
            <w:iCs/>
            <w:sz w:val="24"/>
            <w:szCs w:val="24"/>
          </w:rPr>
          <w:t>Environmental Protection Act 1997</w:t>
        </w:r>
      </w:hyperlink>
      <w:r w:rsidR="00AB7E2E">
        <w:rPr>
          <w:sz w:val="24"/>
          <w:szCs w:val="24"/>
        </w:rPr>
        <w:t>, t</w:t>
      </w:r>
      <w:r w:rsidRPr="00AA42EC">
        <w:rPr>
          <w:sz w:val="24"/>
          <w:szCs w:val="24"/>
        </w:rPr>
        <w:t xml:space="preserve">herefore they are </w:t>
      </w:r>
      <w:r w:rsidR="00AA42EC">
        <w:rPr>
          <w:sz w:val="24"/>
          <w:szCs w:val="24"/>
        </w:rPr>
        <w:t xml:space="preserve">already excluded </w:t>
      </w:r>
      <w:r w:rsidRPr="00AA42EC">
        <w:rPr>
          <w:sz w:val="24"/>
          <w:szCs w:val="24"/>
        </w:rPr>
        <w:t xml:space="preserve">as domestic waste under the </w:t>
      </w:r>
      <w:hyperlink r:id="rId26" w:history="1">
        <w:r w:rsidR="00AA42EC" w:rsidRPr="00AA42EC">
          <w:rPr>
            <w:sz w:val="24"/>
            <w:szCs w:val="24"/>
          </w:rPr>
          <w:t>Regulation</w:t>
        </w:r>
      </w:hyperlink>
      <w:r w:rsidRPr="00AA42EC">
        <w:rPr>
          <w:sz w:val="24"/>
          <w:szCs w:val="24"/>
        </w:rPr>
        <w:t>.</w:t>
      </w:r>
    </w:p>
    <w:p w14:paraId="056DAD50" w14:textId="4BEA762D" w:rsidR="00AA42EC" w:rsidRDefault="000E44BC" w:rsidP="005F7ECC">
      <w:pPr>
        <w:rPr>
          <w:sz w:val="24"/>
          <w:szCs w:val="24"/>
        </w:rPr>
      </w:pPr>
      <w:r>
        <w:rPr>
          <w:sz w:val="24"/>
          <w:szCs w:val="24"/>
        </w:rPr>
        <w:t>T</w:t>
      </w:r>
      <w:r w:rsidR="00AA42EC">
        <w:rPr>
          <w:sz w:val="24"/>
          <w:szCs w:val="24"/>
        </w:rPr>
        <w:t xml:space="preserve">here are significant risks of health and safety incidents associated with batteries placed in waste containers. This was shown clearly in the review of kerbside container incidents (see Table </w:t>
      </w:r>
      <w:r w:rsidR="005B5087">
        <w:rPr>
          <w:sz w:val="24"/>
          <w:szCs w:val="24"/>
        </w:rPr>
        <w:t xml:space="preserve">4). </w:t>
      </w:r>
    </w:p>
    <w:p w14:paraId="6395CB5B" w14:textId="286C6DA3" w:rsidR="005B5087" w:rsidRPr="00AA42EC" w:rsidRDefault="005B5087" w:rsidP="005F7ECC">
      <w:pPr>
        <w:rPr>
          <w:sz w:val="24"/>
          <w:szCs w:val="24"/>
        </w:rPr>
      </w:pPr>
      <w:r>
        <w:rPr>
          <w:sz w:val="24"/>
          <w:szCs w:val="24"/>
        </w:rPr>
        <w:t xml:space="preserve">Taking </w:t>
      </w:r>
      <w:r w:rsidR="000E44BC">
        <w:rPr>
          <w:sz w:val="24"/>
          <w:szCs w:val="24"/>
        </w:rPr>
        <w:t xml:space="preserve">this into </w:t>
      </w:r>
      <w:r>
        <w:rPr>
          <w:sz w:val="24"/>
          <w:szCs w:val="24"/>
        </w:rPr>
        <w:t>account, the addition of ‘batteries’ to the list of excluded domestic waste aims to improve safety by clarifying an arrangement that is already in place. This addition is consistent with advice already available on the ACT Recyclop</w:t>
      </w:r>
      <w:r w:rsidR="003C57E8">
        <w:rPr>
          <w:sz w:val="24"/>
          <w:szCs w:val="24"/>
        </w:rPr>
        <w:t>a</w:t>
      </w:r>
      <w:r>
        <w:rPr>
          <w:sz w:val="24"/>
          <w:szCs w:val="24"/>
        </w:rPr>
        <w:t>edia, which states that batteries do not go in recycling or rubbish bins</w:t>
      </w:r>
      <w:r>
        <w:rPr>
          <w:rStyle w:val="FootnoteReference"/>
          <w:sz w:val="24"/>
          <w:szCs w:val="24"/>
        </w:rPr>
        <w:footnoteReference w:id="30"/>
      </w:r>
      <w:r>
        <w:rPr>
          <w:sz w:val="24"/>
          <w:szCs w:val="24"/>
        </w:rPr>
        <w:t xml:space="preserve">.  </w:t>
      </w:r>
    </w:p>
    <w:p w14:paraId="3D7F34DC" w14:textId="1F3B8334" w:rsidR="005C26B0" w:rsidRDefault="005F7ECC" w:rsidP="005F7ECC">
      <w:pPr>
        <w:pStyle w:val="Heading2"/>
      </w:pPr>
      <w:bookmarkStart w:id="141" w:name="_Toc78374725"/>
      <w:bookmarkStart w:id="142" w:name="_Toc79490235"/>
      <w:r>
        <w:t>1</w:t>
      </w:r>
      <w:r w:rsidR="00690C94">
        <w:t>1</w:t>
      </w:r>
      <w:r>
        <w:t>.</w:t>
      </w:r>
      <w:r w:rsidR="00470ECF">
        <w:t>5</w:t>
      </w:r>
      <w:r w:rsidR="005C26B0">
        <w:t xml:space="preserve"> </w:t>
      </w:r>
      <w:r w:rsidR="002F7C2B">
        <w:tab/>
      </w:r>
      <w:r w:rsidR="005C26B0">
        <w:t>Human rights</w:t>
      </w:r>
      <w:bookmarkEnd w:id="141"/>
      <w:bookmarkEnd w:id="142"/>
    </w:p>
    <w:p w14:paraId="4925246D" w14:textId="0193A15C" w:rsidR="00720B82" w:rsidRPr="00FF5250" w:rsidRDefault="00720B82" w:rsidP="00720B82">
      <w:pPr>
        <w:rPr>
          <w:sz w:val="24"/>
          <w:szCs w:val="24"/>
        </w:rPr>
      </w:pPr>
      <w:r w:rsidRPr="00FF5250">
        <w:rPr>
          <w:sz w:val="24"/>
          <w:szCs w:val="24"/>
        </w:rPr>
        <w:t xml:space="preserve">There are no human rights impacts from these proposed amendments. They apply only to activities which already have obligations for waste reporting, and do not involve any additional disclosure of information. </w:t>
      </w:r>
    </w:p>
    <w:p w14:paraId="541BBE01" w14:textId="00BC2A2F" w:rsidR="005C26B0" w:rsidRDefault="005F7ECC" w:rsidP="005F7ECC">
      <w:pPr>
        <w:pStyle w:val="Heading2"/>
      </w:pPr>
      <w:bookmarkStart w:id="143" w:name="_Toc78374726"/>
      <w:bookmarkStart w:id="144" w:name="_Toc79490236"/>
      <w:r>
        <w:t>1</w:t>
      </w:r>
      <w:r w:rsidR="00690C94">
        <w:t>1</w:t>
      </w:r>
      <w:r>
        <w:t>.</w:t>
      </w:r>
      <w:r w:rsidR="00470ECF">
        <w:t>6</w:t>
      </w:r>
      <w:r w:rsidR="005C26B0">
        <w:t xml:space="preserve"> </w:t>
      </w:r>
      <w:r w:rsidR="002F7C2B">
        <w:tab/>
      </w:r>
      <w:r w:rsidR="005C26B0">
        <w:t>Impact</w:t>
      </w:r>
      <w:r w:rsidR="001F4AFA">
        <w:t xml:space="preserve"> and cost-benefit</w:t>
      </w:r>
      <w:r w:rsidR="005C26B0">
        <w:t xml:space="preserve"> analysis</w:t>
      </w:r>
      <w:bookmarkEnd w:id="143"/>
      <w:bookmarkEnd w:id="144"/>
    </w:p>
    <w:p w14:paraId="6D636BA5" w14:textId="5210F3BD" w:rsidR="001F4AFA" w:rsidRPr="00FF5250" w:rsidRDefault="001F4AFA" w:rsidP="005F7ECC">
      <w:pPr>
        <w:rPr>
          <w:sz w:val="24"/>
          <w:szCs w:val="24"/>
        </w:rPr>
      </w:pPr>
      <w:r w:rsidRPr="00FF5250">
        <w:rPr>
          <w:sz w:val="24"/>
          <w:szCs w:val="24"/>
        </w:rPr>
        <w:t>There will be some impacts from the implementation of the amendments</w:t>
      </w:r>
      <w:r w:rsidR="000E44BC">
        <w:rPr>
          <w:sz w:val="24"/>
          <w:szCs w:val="24"/>
        </w:rPr>
        <w:t>,</w:t>
      </w:r>
      <w:r w:rsidRPr="00FF5250">
        <w:rPr>
          <w:sz w:val="24"/>
          <w:szCs w:val="24"/>
        </w:rPr>
        <w:t xml:space="preserve"> </w:t>
      </w:r>
      <w:r w:rsidR="000E44BC">
        <w:rPr>
          <w:sz w:val="24"/>
          <w:szCs w:val="24"/>
        </w:rPr>
        <w:t>h</w:t>
      </w:r>
      <w:r w:rsidRPr="00FF5250">
        <w:rPr>
          <w:sz w:val="24"/>
          <w:szCs w:val="24"/>
        </w:rPr>
        <w:t xml:space="preserve">owever the benefits of the proposed amendments are expected to outweigh both the costs of not making amendments, and the costs associated with the amendments. The table below provides the assessment </w:t>
      </w:r>
    </w:p>
    <w:p w14:paraId="517EE3F5" w14:textId="5E077B89" w:rsidR="00B013EB" w:rsidRPr="00C248FB" w:rsidRDefault="00B013EB" w:rsidP="005F7ECC">
      <w:pPr>
        <w:pStyle w:val="Caption"/>
      </w:pPr>
      <w:bookmarkStart w:id="145" w:name="_Toc78275042"/>
      <w:r>
        <w:t xml:space="preserve">Table </w:t>
      </w:r>
      <w:r w:rsidR="000150F9">
        <w:fldChar w:fldCharType="begin"/>
      </w:r>
      <w:r w:rsidR="000150F9">
        <w:instrText xml:space="preserve"> SEQ Table \* ARABIC </w:instrText>
      </w:r>
      <w:r w:rsidR="000150F9">
        <w:fldChar w:fldCharType="separate"/>
      </w:r>
      <w:r w:rsidR="002C4D5A">
        <w:rPr>
          <w:noProof/>
        </w:rPr>
        <w:t>12</w:t>
      </w:r>
      <w:r w:rsidR="000150F9">
        <w:rPr>
          <w:noProof/>
        </w:rPr>
        <w:fldChar w:fldCharType="end"/>
      </w:r>
      <w:r>
        <w:t xml:space="preserve"> Waste </w:t>
      </w:r>
      <w:r w:rsidR="007917F7">
        <w:t>activity definitions and reporting</w:t>
      </w:r>
      <w:r>
        <w:t xml:space="preserve"> summary of impacts</w:t>
      </w:r>
      <w:bookmarkEnd w:id="145"/>
    </w:p>
    <w:tbl>
      <w:tblPr>
        <w:tblStyle w:val="GridTable5Dark-Accent1"/>
        <w:tblW w:w="9493" w:type="dxa"/>
        <w:tblLook w:val="04A0" w:firstRow="1" w:lastRow="0" w:firstColumn="1" w:lastColumn="0" w:noHBand="0" w:noVBand="1"/>
      </w:tblPr>
      <w:tblGrid>
        <w:gridCol w:w="2263"/>
        <w:gridCol w:w="7230"/>
      </w:tblGrid>
      <w:tr w:rsidR="001F4AFA" w14:paraId="29731E14" w14:textId="77777777" w:rsidTr="007A7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A258032" w14:textId="77777777" w:rsidR="001F4AFA" w:rsidRDefault="001F4AFA" w:rsidP="005F7ECC">
            <w:r>
              <w:t>Type of impact</w:t>
            </w:r>
          </w:p>
        </w:tc>
        <w:tc>
          <w:tcPr>
            <w:tcW w:w="7230" w:type="dxa"/>
          </w:tcPr>
          <w:p w14:paraId="2BB3BD55" w14:textId="77777777" w:rsidR="001F4AFA" w:rsidRDefault="001F4AFA" w:rsidP="005F7ECC">
            <w:pPr>
              <w:cnfStyle w:val="100000000000" w:firstRow="1" w:lastRow="0" w:firstColumn="0" w:lastColumn="0" w:oddVBand="0" w:evenVBand="0" w:oddHBand="0" w:evenHBand="0" w:firstRowFirstColumn="0" w:firstRowLastColumn="0" w:lastRowFirstColumn="0" w:lastRowLastColumn="0"/>
            </w:pPr>
            <w:r>
              <w:t>Summary of impact</w:t>
            </w:r>
          </w:p>
        </w:tc>
      </w:tr>
      <w:tr w:rsidR="001F4AFA" w14:paraId="0B048F28" w14:textId="77777777" w:rsidTr="007A7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055A195" w14:textId="77777777" w:rsidR="001F4AFA" w:rsidRDefault="001F4AFA" w:rsidP="005F7ECC">
            <w:r>
              <w:t>Benefits of amendments</w:t>
            </w:r>
          </w:p>
        </w:tc>
        <w:tc>
          <w:tcPr>
            <w:tcW w:w="7230" w:type="dxa"/>
          </w:tcPr>
          <w:p w14:paraId="3024B370" w14:textId="6E9A7C56" w:rsidR="007B45C9" w:rsidRDefault="007B45C9" w:rsidP="007B45C9">
            <w:pPr>
              <w:pStyle w:val="ListParagraph"/>
              <w:numPr>
                <w:ilvl w:val="0"/>
                <w:numId w:val="35"/>
              </w:numPr>
              <w:ind w:left="181" w:hanging="218"/>
              <w:cnfStyle w:val="000000100000" w:firstRow="0" w:lastRow="0" w:firstColumn="0" w:lastColumn="0" w:oddVBand="0" w:evenVBand="0" w:oddHBand="1" w:evenHBand="0" w:firstRowFirstColumn="0" w:firstRowLastColumn="0" w:lastRowFirstColumn="0" w:lastRowLastColumn="0"/>
            </w:pPr>
            <w:r>
              <w:t>The proposed amendments will improve and modernise waste definitions and reporting by consolidating them into areas of legislation where they can easily be located, and updating lists to current best practice</w:t>
            </w:r>
            <w:r w:rsidR="0089563A">
              <w:t>.</w:t>
            </w:r>
          </w:p>
        </w:tc>
      </w:tr>
      <w:tr w:rsidR="001F4AFA" w14:paraId="370CBBDD" w14:textId="77777777" w:rsidTr="007A7D6B">
        <w:tc>
          <w:tcPr>
            <w:cnfStyle w:val="001000000000" w:firstRow="0" w:lastRow="0" w:firstColumn="1" w:lastColumn="0" w:oddVBand="0" w:evenVBand="0" w:oddHBand="0" w:evenHBand="0" w:firstRowFirstColumn="0" w:firstRowLastColumn="0" w:lastRowFirstColumn="0" w:lastRowLastColumn="0"/>
            <w:tcW w:w="2263" w:type="dxa"/>
          </w:tcPr>
          <w:p w14:paraId="48F49F3D" w14:textId="77777777" w:rsidR="001F4AFA" w:rsidRDefault="001F4AFA" w:rsidP="005F7ECC">
            <w:r>
              <w:t>Impact of not making amendments</w:t>
            </w:r>
          </w:p>
        </w:tc>
        <w:tc>
          <w:tcPr>
            <w:tcW w:w="7230" w:type="dxa"/>
          </w:tcPr>
          <w:p w14:paraId="089F6EC6" w14:textId="77777777" w:rsidR="007B45C9" w:rsidRDefault="007B45C9" w:rsidP="005B5087">
            <w:pPr>
              <w:pStyle w:val="ListParagraph"/>
              <w:numPr>
                <w:ilvl w:val="0"/>
                <w:numId w:val="35"/>
              </w:numPr>
              <w:ind w:left="181" w:hanging="218"/>
              <w:cnfStyle w:val="000000000000" w:firstRow="0" w:lastRow="0" w:firstColumn="0" w:lastColumn="0" w:oddVBand="0" w:evenVBand="0" w:oddHBand="0" w:evenHBand="0" w:firstRowFirstColumn="0" w:firstRowLastColumn="0" w:lastRowFirstColumn="0" w:lastRowLastColumn="0"/>
            </w:pPr>
            <w:r>
              <w:t xml:space="preserve">If amendments are not made then it will inhibit a transition to reporting under the WRMS once it is developed. </w:t>
            </w:r>
          </w:p>
          <w:p w14:paraId="2E8EE8A9" w14:textId="77777777" w:rsidR="001F4AFA" w:rsidRDefault="007B45C9" w:rsidP="005B5087">
            <w:pPr>
              <w:pStyle w:val="ListParagraph"/>
              <w:numPr>
                <w:ilvl w:val="0"/>
                <w:numId w:val="35"/>
              </w:numPr>
              <w:ind w:left="181" w:hanging="218"/>
              <w:cnfStyle w:val="000000000000" w:firstRow="0" w:lastRow="0" w:firstColumn="0" w:lastColumn="0" w:oddVBand="0" w:evenVBand="0" w:oddHBand="0" w:evenHBand="0" w:firstRowFirstColumn="0" w:firstRowLastColumn="0" w:lastRowFirstColumn="0" w:lastRowLastColumn="0"/>
            </w:pPr>
            <w:r>
              <w:t xml:space="preserve">It will also generate inconsistencies between definitions of domestic recyclable waste and waste that will be allowed into the FOGO collections. </w:t>
            </w:r>
          </w:p>
          <w:p w14:paraId="6B8DB95B" w14:textId="47BC09B6" w:rsidR="007B45C9" w:rsidRDefault="007B45C9" w:rsidP="005B5087">
            <w:pPr>
              <w:pStyle w:val="ListParagraph"/>
              <w:numPr>
                <w:ilvl w:val="0"/>
                <w:numId w:val="35"/>
              </w:numPr>
              <w:ind w:left="181" w:hanging="218"/>
              <w:cnfStyle w:val="000000000000" w:firstRow="0" w:lastRow="0" w:firstColumn="0" w:lastColumn="0" w:oddVBand="0" w:evenVBand="0" w:oddHBand="0" w:evenHBand="0" w:firstRowFirstColumn="0" w:firstRowLastColumn="0" w:lastRowFirstColumn="0" w:lastRowLastColumn="0"/>
            </w:pPr>
            <w:r>
              <w:t xml:space="preserve">Not making amendments will retain uncertainty the exclusion of batteries from domestic waste collections. </w:t>
            </w:r>
          </w:p>
        </w:tc>
      </w:tr>
      <w:tr w:rsidR="001F4AFA" w14:paraId="73A01035" w14:textId="77777777" w:rsidTr="007A7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E8FE506" w14:textId="77777777" w:rsidR="001F4AFA" w:rsidRDefault="001F4AFA" w:rsidP="005F7ECC">
            <w:r>
              <w:t>Amendments which may impose some cost</w:t>
            </w:r>
          </w:p>
        </w:tc>
        <w:tc>
          <w:tcPr>
            <w:tcW w:w="7230" w:type="dxa"/>
          </w:tcPr>
          <w:p w14:paraId="71520BEA" w14:textId="7BCB1539" w:rsidR="001F4AFA" w:rsidRDefault="007B45C9" w:rsidP="005B5087">
            <w:pPr>
              <w:pStyle w:val="ListParagraph"/>
              <w:numPr>
                <w:ilvl w:val="0"/>
                <w:numId w:val="35"/>
              </w:numPr>
              <w:ind w:left="181" w:hanging="218"/>
              <w:cnfStyle w:val="000000100000" w:firstRow="0" w:lastRow="0" w:firstColumn="0" w:lastColumn="0" w:oddVBand="0" w:evenVBand="0" w:oddHBand="1" w:evenHBand="0" w:firstRowFirstColumn="0" w:firstRowLastColumn="0" w:lastRowFirstColumn="0" w:lastRowLastColumn="0"/>
            </w:pPr>
            <w:r>
              <w:t xml:space="preserve">There may be costs involved in businesses shifting their reporting to the new WRMS system. However by retaining existing reporting options, this transition will be allowed to be gradual, to ensure that the needs of local businesses are met. </w:t>
            </w:r>
          </w:p>
        </w:tc>
      </w:tr>
      <w:tr w:rsidR="001F4AFA" w14:paraId="77C3066A" w14:textId="77777777" w:rsidTr="007A7D6B">
        <w:tc>
          <w:tcPr>
            <w:cnfStyle w:val="001000000000" w:firstRow="0" w:lastRow="0" w:firstColumn="1" w:lastColumn="0" w:oddVBand="0" w:evenVBand="0" w:oddHBand="0" w:evenHBand="0" w:firstRowFirstColumn="0" w:firstRowLastColumn="0" w:lastRowFirstColumn="0" w:lastRowLastColumn="0"/>
            <w:tcW w:w="2263" w:type="dxa"/>
          </w:tcPr>
          <w:p w14:paraId="5E9AB95D" w14:textId="77777777" w:rsidR="001F4AFA" w:rsidRDefault="001F4AFA" w:rsidP="005F7ECC">
            <w:r>
              <w:t>Amendments which will not impose any appreciable costs</w:t>
            </w:r>
          </w:p>
        </w:tc>
        <w:tc>
          <w:tcPr>
            <w:tcW w:w="7230" w:type="dxa"/>
          </w:tcPr>
          <w:p w14:paraId="5F8788A9" w14:textId="77777777" w:rsidR="001F4AFA" w:rsidRDefault="007B45C9" w:rsidP="005B5087">
            <w:pPr>
              <w:pStyle w:val="ListParagraph"/>
              <w:numPr>
                <w:ilvl w:val="0"/>
                <w:numId w:val="35"/>
              </w:numPr>
              <w:ind w:left="181" w:hanging="218"/>
              <w:cnfStyle w:val="000000000000" w:firstRow="0" w:lastRow="0" w:firstColumn="0" w:lastColumn="0" w:oddVBand="0" w:evenVBand="0" w:oddHBand="0" w:evenHBand="0" w:firstRowFirstColumn="0" w:firstRowLastColumn="0" w:lastRowFirstColumn="0" w:lastRowLastColumn="0"/>
            </w:pPr>
            <w:r>
              <w:t xml:space="preserve">Shifts in the locations of waste definitions will not impose any costs. </w:t>
            </w:r>
          </w:p>
          <w:p w14:paraId="70C60537" w14:textId="2E0080E0" w:rsidR="007B45C9" w:rsidRDefault="007B45C9" w:rsidP="005B5087">
            <w:pPr>
              <w:pStyle w:val="ListParagraph"/>
              <w:numPr>
                <w:ilvl w:val="0"/>
                <w:numId w:val="35"/>
              </w:numPr>
              <w:ind w:left="181" w:hanging="218"/>
              <w:cnfStyle w:val="000000000000" w:firstRow="0" w:lastRow="0" w:firstColumn="0" w:lastColumn="0" w:oddVBand="0" w:evenVBand="0" w:oddHBand="0" w:evenHBand="0" w:firstRowFirstColumn="0" w:firstRowLastColumn="0" w:lastRowFirstColumn="0" w:lastRowLastColumn="0"/>
            </w:pPr>
            <w:r>
              <w:t xml:space="preserve">Businesses will benefit from exemptions for WMRR Regulation reporting when they already </w:t>
            </w:r>
            <w:r w:rsidR="008629A3">
              <w:t xml:space="preserve">report under existing arrangements focused on hazardous and controlled wastes. </w:t>
            </w:r>
          </w:p>
        </w:tc>
      </w:tr>
    </w:tbl>
    <w:p w14:paraId="07F56D01" w14:textId="77777777" w:rsidR="001F4AFA" w:rsidRPr="001F4AFA" w:rsidRDefault="001F4AFA" w:rsidP="005F7ECC"/>
    <w:p w14:paraId="3DC36BEE" w14:textId="5A87C7D9" w:rsidR="00E61D50" w:rsidRDefault="00E61D50" w:rsidP="00250373">
      <w:pPr>
        <w:pStyle w:val="Heading1"/>
      </w:pPr>
      <w:bookmarkStart w:id="146" w:name="_Toc78374727"/>
      <w:bookmarkStart w:id="147" w:name="_Toc79490237"/>
      <w:r>
        <w:lastRenderedPageBreak/>
        <w:t xml:space="preserve">Consultation </w:t>
      </w:r>
      <w:r w:rsidR="000B1EA1">
        <w:t>s</w:t>
      </w:r>
      <w:r>
        <w:t>tatement</w:t>
      </w:r>
      <w:bookmarkEnd w:id="146"/>
      <w:bookmarkEnd w:id="147"/>
      <w:r>
        <w:t xml:space="preserve"> </w:t>
      </w:r>
    </w:p>
    <w:p w14:paraId="0D104E40" w14:textId="09E7189E" w:rsidR="00E61D50" w:rsidRDefault="00E61D50" w:rsidP="00E61D50">
      <w:pPr>
        <w:rPr>
          <w:sz w:val="24"/>
          <w:szCs w:val="24"/>
        </w:rPr>
      </w:pPr>
      <w:bookmarkStart w:id="148" w:name="_Hlk78781447"/>
      <w:r w:rsidRPr="002F4935">
        <w:rPr>
          <w:sz w:val="24"/>
          <w:szCs w:val="24"/>
        </w:rPr>
        <w:t>In late-2019, the ACT Government announced its intention to introduce</w:t>
      </w:r>
      <w:r w:rsidR="000E44BC">
        <w:rPr>
          <w:sz w:val="24"/>
          <w:szCs w:val="24"/>
        </w:rPr>
        <w:t xml:space="preserve"> a</w:t>
      </w:r>
      <w:r w:rsidRPr="002F4935">
        <w:rPr>
          <w:sz w:val="24"/>
          <w:szCs w:val="24"/>
        </w:rPr>
        <w:t xml:space="preserve"> food organics and garden organics waste collection service for all ACT households by 202</w:t>
      </w:r>
      <w:r w:rsidR="002F4935">
        <w:rPr>
          <w:sz w:val="24"/>
          <w:szCs w:val="24"/>
        </w:rPr>
        <w:t>3</w:t>
      </w:r>
      <w:r w:rsidRPr="002F4935">
        <w:rPr>
          <w:sz w:val="24"/>
          <w:szCs w:val="24"/>
        </w:rPr>
        <w:t>, starting with a pilot program in 2021.</w:t>
      </w:r>
      <w:r w:rsidR="002F4935">
        <w:rPr>
          <w:sz w:val="24"/>
          <w:szCs w:val="24"/>
        </w:rPr>
        <w:t xml:space="preserve"> This well publicised initiative is enabled by these amendments, but consultation on FOGO generally is outside of the scope of these regulatory changes and will be managed through separate communications activities. </w:t>
      </w:r>
    </w:p>
    <w:bookmarkEnd w:id="148"/>
    <w:p w14:paraId="76F06B3E" w14:textId="77777777" w:rsidR="00C560AC" w:rsidRDefault="00C560AC" w:rsidP="00C560AC">
      <w:pPr>
        <w:rPr>
          <w:sz w:val="24"/>
          <w:szCs w:val="24"/>
        </w:rPr>
      </w:pPr>
      <w:r>
        <w:rPr>
          <w:sz w:val="24"/>
          <w:szCs w:val="24"/>
        </w:rPr>
        <w:t>Key</w:t>
      </w:r>
      <w:r w:rsidR="002F4935">
        <w:rPr>
          <w:sz w:val="24"/>
          <w:szCs w:val="24"/>
        </w:rPr>
        <w:t xml:space="preserve"> stakeholder consultation </w:t>
      </w:r>
      <w:r>
        <w:rPr>
          <w:sz w:val="24"/>
          <w:szCs w:val="24"/>
        </w:rPr>
        <w:t xml:space="preserve">has been undertaken </w:t>
      </w:r>
      <w:r w:rsidR="00970D99">
        <w:rPr>
          <w:sz w:val="24"/>
          <w:szCs w:val="24"/>
        </w:rPr>
        <w:t>with potentially impacted parties</w:t>
      </w:r>
      <w:r>
        <w:rPr>
          <w:sz w:val="24"/>
          <w:szCs w:val="24"/>
        </w:rPr>
        <w:t xml:space="preserve"> including relevant internal ACT government agencies such as: </w:t>
      </w:r>
    </w:p>
    <w:p w14:paraId="3AC64B21" w14:textId="3A8BD472" w:rsidR="00E61D50" w:rsidRDefault="00C560AC" w:rsidP="00C560AC">
      <w:pPr>
        <w:pStyle w:val="ReportList1"/>
      </w:pPr>
      <w:r>
        <w:t xml:space="preserve">The </w:t>
      </w:r>
      <w:r w:rsidR="00E61D50">
        <w:t>Environmental Protection Authority</w:t>
      </w:r>
      <w:r>
        <w:t>,</w:t>
      </w:r>
    </w:p>
    <w:p w14:paraId="643CF4DF" w14:textId="4DD68AF1" w:rsidR="00E61D50" w:rsidRDefault="00E61D50" w:rsidP="00C560AC">
      <w:pPr>
        <w:pStyle w:val="ReportList1"/>
      </w:pPr>
      <w:r>
        <w:t>TCCS Licensing and Compliance</w:t>
      </w:r>
      <w:r w:rsidR="00C560AC">
        <w:t>,</w:t>
      </w:r>
    </w:p>
    <w:p w14:paraId="118AFE95" w14:textId="4554111A" w:rsidR="00E61D50" w:rsidRDefault="00E61D50" w:rsidP="00C560AC">
      <w:pPr>
        <w:pStyle w:val="ReportList1"/>
      </w:pPr>
      <w:r>
        <w:t>Chief Minister, Treasury, Economic Development Directorate</w:t>
      </w:r>
      <w:r w:rsidR="000E44BC">
        <w:t xml:space="preserve"> (CMTEDD)</w:t>
      </w:r>
      <w:r>
        <w:t xml:space="preserve"> in relation to human rights, economic and other impacts</w:t>
      </w:r>
      <w:r w:rsidR="00C560AC">
        <w:t xml:space="preserve">, </w:t>
      </w:r>
    </w:p>
    <w:p w14:paraId="2DCC14DF" w14:textId="135BBD5B" w:rsidR="007B31AE" w:rsidRDefault="007B31AE" w:rsidP="00C560AC">
      <w:pPr>
        <w:pStyle w:val="ReportList1"/>
      </w:pPr>
      <w:r>
        <w:t>Justice and Community Services in relation to human rights and offence provisions,</w:t>
      </w:r>
    </w:p>
    <w:p w14:paraId="1C555F5D" w14:textId="33E109F5" w:rsidR="00E61D50" w:rsidRDefault="00E61D50" w:rsidP="00C560AC">
      <w:pPr>
        <w:pStyle w:val="ReportList1"/>
      </w:pPr>
      <w:r>
        <w:t>NoWaste contract managers</w:t>
      </w:r>
      <w:r w:rsidR="00C560AC">
        <w:t xml:space="preserve"> and other teams. </w:t>
      </w:r>
    </w:p>
    <w:p w14:paraId="5B47D671" w14:textId="37AE08F4" w:rsidR="00C560AC" w:rsidRPr="00C560AC" w:rsidRDefault="00C560AC" w:rsidP="00C560AC">
      <w:pPr>
        <w:rPr>
          <w:sz w:val="24"/>
          <w:szCs w:val="24"/>
        </w:rPr>
      </w:pPr>
      <w:r w:rsidRPr="00C560AC">
        <w:rPr>
          <w:sz w:val="24"/>
          <w:szCs w:val="24"/>
        </w:rPr>
        <w:t>External consultation has been with:</w:t>
      </w:r>
    </w:p>
    <w:p w14:paraId="13EEF2AA" w14:textId="3B302A1F" w:rsidR="00E61D50" w:rsidRDefault="00643857" w:rsidP="00C560AC">
      <w:pPr>
        <w:pStyle w:val="ReportList1"/>
      </w:pPr>
      <w:r>
        <w:t>t</w:t>
      </w:r>
      <w:r w:rsidR="00C560AC" w:rsidRPr="00C560AC">
        <w:t xml:space="preserve">he </w:t>
      </w:r>
      <w:r w:rsidR="00E61D50" w:rsidRPr="00C560AC">
        <w:t>CDS Network Operator and Scheme Coordinator</w:t>
      </w:r>
      <w:r w:rsidR="00C560AC" w:rsidRPr="00C560AC">
        <w:t xml:space="preserve">, </w:t>
      </w:r>
    </w:p>
    <w:p w14:paraId="61D55F76" w14:textId="13360D5E" w:rsidR="00C560AC" w:rsidRDefault="00643857" w:rsidP="00C560AC">
      <w:pPr>
        <w:pStyle w:val="ReportList1"/>
      </w:pPr>
      <w:r>
        <w:t>w</w:t>
      </w:r>
      <w:r w:rsidR="00C560AC">
        <w:t xml:space="preserve">aste </w:t>
      </w:r>
      <w:r w:rsidR="00701F19">
        <w:t>business</w:t>
      </w:r>
      <w:r w:rsidR="00C560AC">
        <w:t xml:space="preserve"> operators including waste facility operators and waste transporters, by way of discussions held on waste reporting arrangements </w:t>
      </w:r>
      <w:bookmarkStart w:id="149" w:name="_Hlk78781857"/>
      <w:r w:rsidR="00C560AC">
        <w:t>during site inspections</w:t>
      </w:r>
      <w:r w:rsidR="00701F19">
        <w:t xml:space="preserve"> and while discussing current quarterly reporting arrangements and exemptions</w:t>
      </w:r>
      <w:bookmarkEnd w:id="149"/>
      <w:r>
        <w:t>, and</w:t>
      </w:r>
    </w:p>
    <w:p w14:paraId="6781C3FD" w14:textId="1FE6ECF8" w:rsidR="009564C1" w:rsidRPr="00C560AC" w:rsidRDefault="00643857" w:rsidP="00C560AC">
      <w:pPr>
        <w:pStyle w:val="ReportList1"/>
      </w:pPr>
      <w:r>
        <w:t>t</w:t>
      </w:r>
      <w:r w:rsidR="009564C1">
        <w:t>he Battery Stewardship Council, Australian Battery Recycling Initiative and other experts confirmed that waste batteries should be excluded from domestic waste streams, including with the support of other battery experts during a recent workshop aiming to characterise battery waste</w:t>
      </w:r>
      <w:r w:rsidR="009564C1">
        <w:rPr>
          <w:rStyle w:val="FootnoteReference"/>
        </w:rPr>
        <w:footnoteReference w:id="31"/>
      </w:r>
      <w:r w:rsidR="009564C1">
        <w:t xml:space="preserve">. </w:t>
      </w:r>
    </w:p>
    <w:p w14:paraId="1864A1F3" w14:textId="65CD0937" w:rsidR="00970D99" w:rsidRPr="00C560AC" w:rsidRDefault="00970D99" w:rsidP="00970D99">
      <w:pPr>
        <w:rPr>
          <w:sz w:val="24"/>
          <w:szCs w:val="24"/>
        </w:rPr>
      </w:pPr>
      <w:r w:rsidRPr="00C560AC">
        <w:rPr>
          <w:sz w:val="24"/>
          <w:szCs w:val="24"/>
        </w:rPr>
        <w:t xml:space="preserve">The proposed changes to offence provisions around kerbside containers and waste facilities have not been widely promoted to the community. </w:t>
      </w:r>
      <w:r w:rsidR="006C6A8C">
        <w:rPr>
          <w:sz w:val="24"/>
          <w:szCs w:val="24"/>
        </w:rPr>
        <w:t xml:space="preserve">Communications initiatives are proposed </w:t>
      </w:r>
      <w:r w:rsidR="006C6A8C" w:rsidRPr="006C6A8C">
        <w:rPr>
          <w:sz w:val="24"/>
          <w:szCs w:val="24"/>
        </w:rPr>
        <w:t xml:space="preserve">to ensure effective public communication and education around the use of waste facilities. </w:t>
      </w:r>
      <w:r w:rsidR="003C57E8">
        <w:rPr>
          <w:sz w:val="24"/>
          <w:szCs w:val="24"/>
        </w:rPr>
        <w:t>A</w:t>
      </w:r>
      <w:r w:rsidR="006C6A8C">
        <w:rPr>
          <w:sz w:val="24"/>
          <w:szCs w:val="24"/>
        </w:rPr>
        <w:t>dditional</w:t>
      </w:r>
      <w:r w:rsidR="006C6A8C" w:rsidRPr="006C6A8C">
        <w:rPr>
          <w:sz w:val="24"/>
          <w:szCs w:val="24"/>
        </w:rPr>
        <w:t xml:space="preserve"> signage</w:t>
      </w:r>
      <w:r w:rsidR="006C6A8C">
        <w:rPr>
          <w:sz w:val="24"/>
          <w:szCs w:val="24"/>
        </w:rPr>
        <w:t xml:space="preserve"> at waste facilities</w:t>
      </w:r>
      <w:r w:rsidR="006C6A8C" w:rsidRPr="006C6A8C">
        <w:rPr>
          <w:sz w:val="24"/>
          <w:szCs w:val="24"/>
        </w:rPr>
        <w:t xml:space="preserve">, social media awareness </w:t>
      </w:r>
      <w:r w:rsidR="006C6A8C">
        <w:rPr>
          <w:sz w:val="24"/>
          <w:szCs w:val="24"/>
        </w:rPr>
        <w:t xml:space="preserve">campaigns </w:t>
      </w:r>
      <w:r w:rsidR="006C6A8C" w:rsidRPr="006C6A8C">
        <w:rPr>
          <w:sz w:val="24"/>
          <w:szCs w:val="24"/>
        </w:rPr>
        <w:t>and a monthly ABC radio chat are all recommended</w:t>
      </w:r>
      <w:r w:rsidR="006C6A8C">
        <w:rPr>
          <w:sz w:val="24"/>
          <w:szCs w:val="24"/>
        </w:rPr>
        <w:t xml:space="preserve">. </w:t>
      </w:r>
      <w:r w:rsidR="00C560AC" w:rsidRPr="00C560AC">
        <w:rPr>
          <w:sz w:val="24"/>
          <w:szCs w:val="24"/>
        </w:rPr>
        <w:t xml:space="preserve"> </w:t>
      </w:r>
    </w:p>
    <w:p w14:paraId="5E412F7B" w14:textId="5CA80056" w:rsidR="000869CA" w:rsidRDefault="00C248FB" w:rsidP="00250373">
      <w:pPr>
        <w:pStyle w:val="Heading1"/>
        <w:ind w:left="720" w:hanging="360"/>
      </w:pPr>
      <w:bookmarkStart w:id="150" w:name="_Toc78374728"/>
      <w:bookmarkStart w:id="151" w:name="_Toc79490238"/>
      <w:r>
        <w:lastRenderedPageBreak/>
        <w:t xml:space="preserve">Summary of </w:t>
      </w:r>
      <w:r w:rsidR="000B1EA1">
        <w:t>o</w:t>
      </w:r>
      <w:r w:rsidR="000869CA">
        <w:t>ptions</w:t>
      </w:r>
      <w:bookmarkEnd w:id="150"/>
      <w:bookmarkEnd w:id="151"/>
      <w:r w:rsidR="000869CA">
        <w:t xml:space="preserve"> </w:t>
      </w:r>
    </w:p>
    <w:p w14:paraId="1AC4D8AF" w14:textId="76C95825" w:rsidR="007C656E" w:rsidRPr="007C656E" w:rsidRDefault="007C656E" w:rsidP="00A900DC">
      <w:pPr>
        <w:spacing w:before="100" w:after="100"/>
        <w:rPr>
          <w:sz w:val="24"/>
          <w:szCs w:val="24"/>
        </w:rPr>
      </w:pPr>
      <w:r w:rsidRPr="007C656E">
        <w:rPr>
          <w:sz w:val="24"/>
          <w:szCs w:val="24"/>
        </w:rPr>
        <w:t xml:space="preserve">Detailed options associated with each of the groups of changes included in this package have been described above. This section presents three broad options which are presented to decision makers.  </w:t>
      </w:r>
    </w:p>
    <w:p w14:paraId="05C774DA" w14:textId="013CF663" w:rsidR="000869CA" w:rsidRPr="007C656E" w:rsidRDefault="00420EBB" w:rsidP="00A900DC">
      <w:pPr>
        <w:spacing w:before="100" w:after="100"/>
        <w:rPr>
          <w:sz w:val="24"/>
          <w:szCs w:val="24"/>
        </w:rPr>
      </w:pPr>
      <w:r w:rsidRPr="007C656E">
        <w:rPr>
          <w:sz w:val="24"/>
          <w:szCs w:val="24"/>
        </w:rPr>
        <w:t xml:space="preserve">The options are: </w:t>
      </w:r>
    </w:p>
    <w:p w14:paraId="065FD8E7" w14:textId="2483912C" w:rsidR="00FF5250" w:rsidRPr="007C656E" w:rsidRDefault="00643857" w:rsidP="00FF5250">
      <w:pPr>
        <w:pStyle w:val="ListParagraph"/>
        <w:numPr>
          <w:ilvl w:val="0"/>
          <w:numId w:val="38"/>
        </w:numPr>
        <w:spacing w:before="100" w:after="100"/>
        <w:rPr>
          <w:sz w:val="24"/>
          <w:szCs w:val="24"/>
        </w:rPr>
      </w:pPr>
      <w:r>
        <w:rPr>
          <w:sz w:val="24"/>
          <w:szCs w:val="24"/>
        </w:rPr>
        <w:t>s</w:t>
      </w:r>
      <w:r w:rsidR="00FF5250" w:rsidRPr="007C656E">
        <w:rPr>
          <w:sz w:val="24"/>
          <w:szCs w:val="24"/>
        </w:rPr>
        <w:t>upport</w:t>
      </w:r>
      <w:r>
        <w:rPr>
          <w:sz w:val="24"/>
          <w:szCs w:val="24"/>
        </w:rPr>
        <w:t>,</w:t>
      </w:r>
    </w:p>
    <w:p w14:paraId="4FDA89A4" w14:textId="65994C42" w:rsidR="00420EBB" w:rsidRPr="007C656E" w:rsidRDefault="00643857" w:rsidP="007C656E">
      <w:pPr>
        <w:pStyle w:val="ListParagraph"/>
        <w:numPr>
          <w:ilvl w:val="0"/>
          <w:numId w:val="38"/>
        </w:numPr>
        <w:spacing w:before="100" w:after="100"/>
        <w:rPr>
          <w:sz w:val="24"/>
          <w:szCs w:val="24"/>
        </w:rPr>
      </w:pPr>
      <w:r>
        <w:rPr>
          <w:sz w:val="24"/>
          <w:szCs w:val="24"/>
        </w:rPr>
        <w:t>d</w:t>
      </w:r>
      <w:r w:rsidR="00420EBB" w:rsidRPr="007C656E">
        <w:rPr>
          <w:sz w:val="24"/>
          <w:szCs w:val="24"/>
        </w:rPr>
        <w:t>o nothing – retain the existing legislation as is</w:t>
      </w:r>
      <w:r>
        <w:rPr>
          <w:sz w:val="24"/>
          <w:szCs w:val="24"/>
        </w:rPr>
        <w:t>, or</w:t>
      </w:r>
    </w:p>
    <w:p w14:paraId="44C699C1" w14:textId="14A9A655" w:rsidR="00420EBB" w:rsidRPr="007C656E" w:rsidRDefault="00643857" w:rsidP="007C656E">
      <w:pPr>
        <w:pStyle w:val="ListParagraph"/>
        <w:numPr>
          <w:ilvl w:val="0"/>
          <w:numId w:val="38"/>
        </w:numPr>
        <w:spacing w:before="100" w:after="100"/>
        <w:rPr>
          <w:sz w:val="24"/>
          <w:szCs w:val="24"/>
        </w:rPr>
      </w:pPr>
      <w:r>
        <w:rPr>
          <w:sz w:val="24"/>
          <w:szCs w:val="24"/>
        </w:rPr>
        <w:t>s</w:t>
      </w:r>
      <w:r w:rsidR="00420EBB" w:rsidRPr="007C656E">
        <w:rPr>
          <w:sz w:val="24"/>
          <w:szCs w:val="24"/>
        </w:rPr>
        <w:t xml:space="preserve">upport with amendments. </w:t>
      </w:r>
    </w:p>
    <w:p w14:paraId="2C3B597C" w14:textId="5B7A7351" w:rsidR="00F05198" w:rsidRPr="007C656E" w:rsidRDefault="00F05198" w:rsidP="00A900DC">
      <w:pPr>
        <w:spacing w:before="100" w:after="100"/>
        <w:rPr>
          <w:b/>
          <w:bCs/>
          <w:sz w:val="24"/>
          <w:szCs w:val="24"/>
        </w:rPr>
      </w:pPr>
      <w:r w:rsidRPr="007C656E">
        <w:rPr>
          <w:b/>
          <w:bCs/>
          <w:sz w:val="24"/>
          <w:szCs w:val="24"/>
        </w:rPr>
        <w:t xml:space="preserve">Option </w:t>
      </w:r>
      <w:r w:rsidR="003247CB" w:rsidRPr="007C656E">
        <w:rPr>
          <w:b/>
          <w:bCs/>
          <w:sz w:val="24"/>
          <w:szCs w:val="24"/>
        </w:rPr>
        <w:t>1</w:t>
      </w:r>
      <w:r w:rsidRPr="007C656E">
        <w:rPr>
          <w:b/>
          <w:bCs/>
          <w:sz w:val="24"/>
          <w:szCs w:val="24"/>
        </w:rPr>
        <w:t xml:space="preserve"> </w:t>
      </w:r>
      <w:r w:rsidR="00C56D06" w:rsidRPr="007C656E">
        <w:rPr>
          <w:b/>
          <w:bCs/>
          <w:sz w:val="24"/>
          <w:szCs w:val="24"/>
        </w:rPr>
        <w:t xml:space="preserve">– support </w:t>
      </w:r>
    </w:p>
    <w:p w14:paraId="0E89F7B0" w14:textId="421ACBCD" w:rsidR="00392717" w:rsidRPr="007C656E" w:rsidRDefault="00C56D06" w:rsidP="00A900DC">
      <w:pPr>
        <w:spacing w:before="100" w:after="100"/>
        <w:rPr>
          <w:sz w:val="24"/>
          <w:szCs w:val="24"/>
        </w:rPr>
      </w:pPr>
      <w:r w:rsidRPr="007C656E">
        <w:rPr>
          <w:sz w:val="24"/>
          <w:szCs w:val="24"/>
        </w:rPr>
        <w:t xml:space="preserve">This option means that the proposed </w:t>
      </w:r>
      <w:r w:rsidR="00392717" w:rsidRPr="007C656E">
        <w:rPr>
          <w:sz w:val="24"/>
          <w:szCs w:val="24"/>
        </w:rPr>
        <w:t>amendments</w:t>
      </w:r>
      <w:r w:rsidRPr="007C656E">
        <w:rPr>
          <w:sz w:val="24"/>
          <w:szCs w:val="24"/>
        </w:rPr>
        <w:t xml:space="preserve"> are supported, </w:t>
      </w:r>
      <w:r w:rsidR="005D3D0B" w:rsidRPr="007C656E">
        <w:rPr>
          <w:sz w:val="24"/>
          <w:szCs w:val="24"/>
        </w:rPr>
        <w:t xml:space="preserve">and the </w:t>
      </w:r>
      <w:r w:rsidR="00F246A0" w:rsidRPr="007C656E">
        <w:rPr>
          <w:sz w:val="24"/>
          <w:szCs w:val="24"/>
        </w:rPr>
        <w:t>Regulation</w:t>
      </w:r>
      <w:r w:rsidR="005D3D0B" w:rsidRPr="007C656E">
        <w:rPr>
          <w:sz w:val="24"/>
          <w:szCs w:val="24"/>
        </w:rPr>
        <w:t xml:space="preserve"> </w:t>
      </w:r>
      <w:r w:rsidR="00D07913">
        <w:rPr>
          <w:sz w:val="24"/>
          <w:szCs w:val="24"/>
        </w:rPr>
        <w:t>will</w:t>
      </w:r>
      <w:r w:rsidR="005D3D0B" w:rsidRPr="007C656E">
        <w:rPr>
          <w:sz w:val="24"/>
          <w:szCs w:val="24"/>
        </w:rPr>
        <w:t xml:space="preserve"> be introduced </w:t>
      </w:r>
      <w:r w:rsidR="00D07913">
        <w:rPr>
          <w:sz w:val="24"/>
          <w:szCs w:val="24"/>
        </w:rPr>
        <w:t xml:space="preserve">by November </w:t>
      </w:r>
      <w:r w:rsidR="005D3D0B" w:rsidRPr="007C656E">
        <w:rPr>
          <w:sz w:val="24"/>
          <w:szCs w:val="24"/>
        </w:rPr>
        <w:t>2021</w:t>
      </w:r>
      <w:r w:rsidR="00D07913">
        <w:rPr>
          <w:sz w:val="24"/>
          <w:szCs w:val="24"/>
        </w:rPr>
        <w:t>, in time to support the FOGO pilot and to improve other regulatory conditions to support effective waste regulation.</w:t>
      </w:r>
    </w:p>
    <w:p w14:paraId="24C74509" w14:textId="3278F735" w:rsidR="003247CB" w:rsidRPr="007C656E" w:rsidRDefault="003247CB" w:rsidP="003247CB">
      <w:pPr>
        <w:spacing w:before="100" w:after="100"/>
        <w:rPr>
          <w:b/>
          <w:bCs/>
          <w:sz w:val="24"/>
          <w:szCs w:val="24"/>
        </w:rPr>
      </w:pPr>
      <w:r w:rsidRPr="007C656E">
        <w:rPr>
          <w:b/>
          <w:bCs/>
          <w:sz w:val="24"/>
          <w:szCs w:val="24"/>
        </w:rPr>
        <w:t xml:space="preserve">Option 2 – do nothing </w:t>
      </w:r>
    </w:p>
    <w:p w14:paraId="0BB02DA2" w14:textId="76BA5D97" w:rsidR="003247CB" w:rsidRPr="007C656E" w:rsidRDefault="003247CB" w:rsidP="003247CB">
      <w:pPr>
        <w:spacing w:before="100" w:after="100"/>
        <w:rPr>
          <w:sz w:val="24"/>
          <w:szCs w:val="24"/>
        </w:rPr>
      </w:pPr>
      <w:r w:rsidRPr="007C656E">
        <w:rPr>
          <w:sz w:val="24"/>
          <w:szCs w:val="24"/>
        </w:rPr>
        <w:t xml:space="preserve">This option </w:t>
      </w:r>
      <w:r w:rsidR="00D07913">
        <w:rPr>
          <w:sz w:val="24"/>
          <w:szCs w:val="24"/>
        </w:rPr>
        <w:t>will retain the existing</w:t>
      </w:r>
      <w:r w:rsidRPr="007C656E">
        <w:rPr>
          <w:sz w:val="24"/>
          <w:szCs w:val="24"/>
        </w:rPr>
        <w:t xml:space="preserve"> </w:t>
      </w:r>
      <w:r w:rsidR="00D07913">
        <w:rPr>
          <w:sz w:val="24"/>
          <w:szCs w:val="24"/>
        </w:rPr>
        <w:t>Regulation</w:t>
      </w:r>
      <w:r w:rsidRPr="007C656E">
        <w:rPr>
          <w:sz w:val="24"/>
          <w:szCs w:val="24"/>
        </w:rPr>
        <w:t xml:space="preserve">. </w:t>
      </w:r>
    </w:p>
    <w:p w14:paraId="00D35EA5" w14:textId="49B3D05E" w:rsidR="003247CB" w:rsidRPr="007C656E" w:rsidRDefault="003247CB" w:rsidP="003247CB">
      <w:pPr>
        <w:spacing w:before="100" w:after="100"/>
        <w:rPr>
          <w:sz w:val="24"/>
          <w:szCs w:val="24"/>
        </w:rPr>
      </w:pPr>
      <w:r w:rsidRPr="007C656E">
        <w:rPr>
          <w:sz w:val="24"/>
          <w:szCs w:val="24"/>
        </w:rPr>
        <w:t xml:space="preserve">If </w:t>
      </w:r>
      <w:r w:rsidR="00623FF9">
        <w:rPr>
          <w:sz w:val="24"/>
          <w:szCs w:val="24"/>
        </w:rPr>
        <w:t>O</w:t>
      </w:r>
      <w:r w:rsidRPr="007C656E">
        <w:rPr>
          <w:sz w:val="24"/>
          <w:szCs w:val="24"/>
        </w:rPr>
        <w:t xml:space="preserve">ption </w:t>
      </w:r>
      <w:r w:rsidR="007A7D6B">
        <w:rPr>
          <w:sz w:val="24"/>
          <w:szCs w:val="24"/>
        </w:rPr>
        <w:t>2</w:t>
      </w:r>
      <w:r w:rsidRPr="007C656E">
        <w:rPr>
          <w:sz w:val="24"/>
          <w:szCs w:val="24"/>
        </w:rPr>
        <w:t xml:space="preserve"> is pursued, the status quo will be retained </w:t>
      </w:r>
      <w:bookmarkStart w:id="152" w:name="_Hlk78777816"/>
      <w:r w:rsidRPr="007C656E">
        <w:rPr>
          <w:sz w:val="24"/>
          <w:szCs w:val="24"/>
        </w:rPr>
        <w:t xml:space="preserve">and food waste will not be able to be put into green bins, </w:t>
      </w:r>
      <w:r w:rsidR="00E72701">
        <w:rPr>
          <w:sz w:val="24"/>
          <w:szCs w:val="24"/>
        </w:rPr>
        <w:t>constraining</w:t>
      </w:r>
      <w:r w:rsidRPr="007C656E">
        <w:rPr>
          <w:sz w:val="24"/>
          <w:szCs w:val="24"/>
        </w:rPr>
        <w:t xml:space="preserve"> the government’s proposals to introduce a FOGO system. </w:t>
      </w:r>
      <w:bookmarkEnd w:id="152"/>
      <w:r w:rsidR="00D07913">
        <w:rPr>
          <w:sz w:val="24"/>
          <w:szCs w:val="24"/>
        </w:rPr>
        <w:t xml:space="preserve">Other improvements proposed for the Regulation will not be made. </w:t>
      </w:r>
    </w:p>
    <w:p w14:paraId="5DEFDB26" w14:textId="77777777" w:rsidR="00F05198" w:rsidRPr="007C656E" w:rsidRDefault="00F05198" w:rsidP="00A900DC">
      <w:pPr>
        <w:spacing w:before="100" w:after="100"/>
        <w:rPr>
          <w:b/>
          <w:bCs/>
          <w:sz w:val="24"/>
          <w:szCs w:val="24"/>
        </w:rPr>
      </w:pPr>
      <w:r w:rsidRPr="007C656E">
        <w:rPr>
          <w:b/>
          <w:bCs/>
          <w:sz w:val="24"/>
          <w:szCs w:val="24"/>
        </w:rPr>
        <w:t xml:space="preserve">Option 3 </w:t>
      </w:r>
      <w:r w:rsidR="00865EBF" w:rsidRPr="007C656E">
        <w:rPr>
          <w:b/>
          <w:bCs/>
          <w:sz w:val="24"/>
          <w:szCs w:val="24"/>
        </w:rPr>
        <w:t xml:space="preserve">– support with amendments </w:t>
      </w:r>
    </w:p>
    <w:p w14:paraId="705A3183" w14:textId="50A03AE5" w:rsidR="00866BDC" w:rsidRPr="007C656E" w:rsidRDefault="00865EBF" w:rsidP="00A900DC">
      <w:pPr>
        <w:spacing w:before="100" w:after="100"/>
        <w:rPr>
          <w:sz w:val="24"/>
          <w:szCs w:val="24"/>
        </w:rPr>
      </w:pPr>
      <w:r w:rsidRPr="007C656E">
        <w:rPr>
          <w:sz w:val="24"/>
          <w:szCs w:val="24"/>
        </w:rPr>
        <w:t xml:space="preserve">This option means that support is given to the </w:t>
      </w:r>
      <w:r w:rsidR="00F246A0" w:rsidRPr="007C656E">
        <w:rPr>
          <w:sz w:val="24"/>
          <w:szCs w:val="24"/>
        </w:rPr>
        <w:t>Regulation</w:t>
      </w:r>
      <w:r w:rsidRPr="007C656E">
        <w:rPr>
          <w:sz w:val="24"/>
          <w:szCs w:val="24"/>
        </w:rPr>
        <w:t xml:space="preserve">, with </w:t>
      </w:r>
      <w:r w:rsidR="00866BDC" w:rsidRPr="007C656E">
        <w:rPr>
          <w:sz w:val="24"/>
          <w:szCs w:val="24"/>
        </w:rPr>
        <w:t>amendments</w:t>
      </w:r>
      <w:r w:rsidRPr="007C656E">
        <w:rPr>
          <w:sz w:val="24"/>
          <w:szCs w:val="24"/>
        </w:rPr>
        <w:t>.</w:t>
      </w:r>
      <w:r w:rsidR="008C6718">
        <w:rPr>
          <w:sz w:val="24"/>
          <w:szCs w:val="24"/>
        </w:rPr>
        <w:t xml:space="preserve"> This has the potential to</w:t>
      </w:r>
      <w:r w:rsidR="00776DA1">
        <w:rPr>
          <w:sz w:val="24"/>
          <w:szCs w:val="24"/>
        </w:rPr>
        <w:t xml:space="preserve"> impact the FOGO pilot </w:t>
      </w:r>
      <w:bookmarkStart w:id="153" w:name="_Hlk78777879"/>
      <w:bookmarkStart w:id="154" w:name="_Hlk78781258"/>
      <w:r w:rsidR="00776DA1">
        <w:rPr>
          <w:sz w:val="24"/>
          <w:szCs w:val="24"/>
        </w:rPr>
        <w:t xml:space="preserve">or not </w:t>
      </w:r>
      <w:r w:rsidR="00866BDC" w:rsidRPr="007C656E">
        <w:rPr>
          <w:sz w:val="24"/>
          <w:szCs w:val="24"/>
        </w:rPr>
        <w:t xml:space="preserve">give full effect to the </w:t>
      </w:r>
      <w:r w:rsidR="00D07913">
        <w:rPr>
          <w:sz w:val="24"/>
          <w:szCs w:val="24"/>
        </w:rPr>
        <w:t xml:space="preserve">other </w:t>
      </w:r>
      <w:r w:rsidR="00866BDC" w:rsidRPr="007C656E">
        <w:rPr>
          <w:sz w:val="24"/>
          <w:szCs w:val="24"/>
        </w:rPr>
        <w:t>recommended changes</w:t>
      </w:r>
      <w:bookmarkEnd w:id="153"/>
      <w:r w:rsidR="00D07913">
        <w:rPr>
          <w:sz w:val="24"/>
          <w:szCs w:val="24"/>
        </w:rPr>
        <w:t xml:space="preserve"> proposed to improve capacity for effective waste regulation</w:t>
      </w:r>
      <w:r w:rsidR="00866BDC" w:rsidRPr="007C656E">
        <w:rPr>
          <w:sz w:val="24"/>
          <w:szCs w:val="24"/>
        </w:rPr>
        <w:t>.</w:t>
      </w:r>
      <w:bookmarkEnd w:id="154"/>
      <w:r w:rsidR="00866BDC" w:rsidRPr="007C656E">
        <w:rPr>
          <w:sz w:val="24"/>
          <w:szCs w:val="24"/>
        </w:rPr>
        <w:t xml:space="preserve"> </w:t>
      </w:r>
    </w:p>
    <w:p w14:paraId="4F2A5624" w14:textId="1468FF70" w:rsidR="000869CA" w:rsidRDefault="000869CA" w:rsidP="00250373">
      <w:pPr>
        <w:pStyle w:val="Heading1"/>
        <w:ind w:left="720" w:hanging="360"/>
      </w:pPr>
      <w:bookmarkStart w:id="155" w:name="_Toc78374729"/>
      <w:bookmarkStart w:id="156" w:name="_Toc79490239"/>
      <w:r>
        <w:t xml:space="preserve">Recommended </w:t>
      </w:r>
      <w:r w:rsidR="007F4F5F">
        <w:t>o</w:t>
      </w:r>
      <w:r>
        <w:t>ption</w:t>
      </w:r>
      <w:bookmarkEnd w:id="155"/>
      <w:bookmarkEnd w:id="156"/>
      <w:r>
        <w:t xml:space="preserve"> </w:t>
      </w:r>
    </w:p>
    <w:p w14:paraId="6AD54ADE" w14:textId="4DC20B23" w:rsidR="00B64666" w:rsidRPr="00623FF9" w:rsidRDefault="00B64666" w:rsidP="00623FF9">
      <w:pPr>
        <w:spacing w:before="100" w:after="100"/>
        <w:rPr>
          <w:sz w:val="24"/>
          <w:szCs w:val="24"/>
        </w:rPr>
      </w:pPr>
      <w:r w:rsidRPr="00623FF9">
        <w:rPr>
          <w:sz w:val="24"/>
          <w:szCs w:val="24"/>
        </w:rPr>
        <w:t xml:space="preserve">Option </w:t>
      </w:r>
      <w:r w:rsidR="007C656E" w:rsidRPr="00623FF9">
        <w:rPr>
          <w:sz w:val="24"/>
          <w:szCs w:val="24"/>
        </w:rPr>
        <w:t>1</w:t>
      </w:r>
      <w:r w:rsidRPr="00623FF9">
        <w:rPr>
          <w:sz w:val="24"/>
          <w:szCs w:val="24"/>
        </w:rPr>
        <w:t xml:space="preserve"> is recommended and would give effect to the commitments made in </w:t>
      </w:r>
      <w:r w:rsidR="00F246A0" w:rsidRPr="00623FF9">
        <w:rPr>
          <w:sz w:val="24"/>
          <w:szCs w:val="24"/>
        </w:rPr>
        <w:t>FOGO election commitment, as well as improving regulatory outcomes</w:t>
      </w:r>
      <w:r w:rsidR="00623FF9" w:rsidRPr="00623FF9">
        <w:rPr>
          <w:sz w:val="24"/>
          <w:szCs w:val="24"/>
        </w:rPr>
        <w:t xml:space="preserve"> in relation to kerbside container collections, enforceability of offences at waste facilities, increased flexibility in establishing CDS collection points, and improving and modernising waste definitions and reporting</w:t>
      </w:r>
      <w:r w:rsidRPr="00623FF9">
        <w:rPr>
          <w:sz w:val="24"/>
          <w:szCs w:val="24"/>
        </w:rPr>
        <w:t xml:space="preserve">. </w:t>
      </w:r>
    </w:p>
    <w:p w14:paraId="7D5ABEA2" w14:textId="6BD5E44A" w:rsidR="000869CA" w:rsidRDefault="0053340C" w:rsidP="00250373">
      <w:pPr>
        <w:pStyle w:val="Heading1"/>
        <w:ind w:left="720" w:hanging="360"/>
      </w:pPr>
      <w:bookmarkStart w:id="157" w:name="_Toc78374730"/>
      <w:bookmarkStart w:id="158" w:name="_Toc79490240"/>
      <w:r>
        <w:t>Overall i</w:t>
      </w:r>
      <w:r w:rsidR="000869CA">
        <w:t xml:space="preserve">mpact </w:t>
      </w:r>
      <w:r w:rsidR="007F4F5F">
        <w:t>a</w:t>
      </w:r>
      <w:r w:rsidR="000869CA">
        <w:t>nalysis</w:t>
      </w:r>
      <w:bookmarkEnd w:id="157"/>
      <w:bookmarkEnd w:id="158"/>
      <w:r w:rsidR="000869CA">
        <w:t xml:space="preserve"> </w:t>
      </w:r>
    </w:p>
    <w:p w14:paraId="6019F15F" w14:textId="6ACB577C" w:rsidR="00461AC8" w:rsidRDefault="002D1167" w:rsidP="00C560AC">
      <w:pPr>
        <w:rPr>
          <w:sz w:val="24"/>
          <w:szCs w:val="24"/>
        </w:rPr>
      </w:pPr>
      <w:r w:rsidRPr="00C560AC">
        <w:rPr>
          <w:sz w:val="24"/>
          <w:szCs w:val="24"/>
        </w:rPr>
        <w:t>Specific</w:t>
      </w:r>
      <w:r w:rsidR="00620141" w:rsidRPr="00C560AC">
        <w:rPr>
          <w:sz w:val="24"/>
          <w:szCs w:val="24"/>
        </w:rPr>
        <w:t xml:space="preserve"> impacts from the implementation of the </w:t>
      </w:r>
      <w:r w:rsidR="00623FF9" w:rsidRPr="00C560AC">
        <w:rPr>
          <w:sz w:val="24"/>
          <w:szCs w:val="24"/>
        </w:rPr>
        <w:t>Regulation</w:t>
      </w:r>
      <w:r w:rsidRPr="00C560AC">
        <w:rPr>
          <w:sz w:val="24"/>
          <w:szCs w:val="24"/>
        </w:rPr>
        <w:t xml:space="preserve"> have been described for each group of amendments above. </w:t>
      </w:r>
      <w:r w:rsidR="000E44BC">
        <w:rPr>
          <w:sz w:val="24"/>
          <w:szCs w:val="24"/>
        </w:rPr>
        <w:t>T</w:t>
      </w:r>
      <w:r w:rsidRPr="00C560AC">
        <w:rPr>
          <w:sz w:val="24"/>
          <w:szCs w:val="24"/>
        </w:rPr>
        <w:t>his analysis confirms that</w:t>
      </w:r>
      <w:r w:rsidR="00620141" w:rsidRPr="00C560AC">
        <w:rPr>
          <w:sz w:val="24"/>
          <w:szCs w:val="24"/>
        </w:rPr>
        <w:t xml:space="preserve"> the</w:t>
      </w:r>
      <w:r w:rsidR="000E44BC">
        <w:rPr>
          <w:sz w:val="24"/>
          <w:szCs w:val="24"/>
        </w:rPr>
        <w:t xml:space="preserve"> overall</w:t>
      </w:r>
      <w:r w:rsidR="00620141" w:rsidRPr="00C560AC">
        <w:rPr>
          <w:sz w:val="24"/>
          <w:szCs w:val="24"/>
        </w:rPr>
        <w:t xml:space="preserve"> costs to government and the community should the </w:t>
      </w:r>
      <w:r w:rsidRPr="00C560AC">
        <w:rPr>
          <w:sz w:val="24"/>
          <w:szCs w:val="24"/>
        </w:rPr>
        <w:t>Regulation</w:t>
      </w:r>
      <w:r w:rsidR="00620141" w:rsidRPr="00C560AC">
        <w:rPr>
          <w:sz w:val="24"/>
          <w:szCs w:val="24"/>
        </w:rPr>
        <w:t xml:space="preserve"> not be progressed would outweigh the costs imposed from the </w:t>
      </w:r>
      <w:r w:rsidRPr="00C560AC">
        <w:rPr>
          <w:sz w:val="24"/>
          <w:szCs w:val="24"/>
        </w:rPr>
        <w:t>Regulation</w:t>
      </w:r>
      <w:r w:rsidR="00620141" w:rsidRPr="00C560AC">
        <w:rPr>
          <w:sz w:val="24"/>
          <w:szCs w:val="24"/>
        </w:rPr>
        <w:t xml:space="preserve">. </w:t>
      </w:r>
    </w:p>
    <w:p w14:paraId="15E8234A" w14:textId="1B08719F" w:rsidR="007F3E88" w:rsidRDefault="007F3E88" w:rsidP="00C560AC">
      <w:pPr>
        <w:rPr>
          <w:sz w:val="24"/>
          <w:szCs w:val="24"/>
        </w:rPr>
      </w:pPr>
      <w:r w:rsidRPr="00844CFC">
        <w:rPr>
          <w:sz w:val="24"/>
          <w:szCs w:val="24"/>
        </w:rPr>
        <w:t xml:space="preserve">The </w:t>
      </w:r>
      <w:r>
        <w:rPr>
          <w:sz w:val="24"/>
          <w:szCs w:val="24"/>
        </w:rPr>
        <w:t xml:space="preserve">expected </w:t>
      </w:r>
      <w:r w:rsidRPr="00844CFC">
        <w:rPr>
          <w:sz w:val="24"/>
          <w:szCs w:val="24"/>
        </w:rPr>
        <w:t xml:space="preserve">regulatory impact of the proposed changes </w:t>
      </w:r>
      <w:r>
        <w:rPr>
          <w:sz w:val="24"/>
          <w:szCs w:val="24"/>
        </w:rPr>
        <w:t>has</w:t>
      </w:r>
      <w:r w:rsidRPr="00844CFC">
        <w:rPr>
          <w:sz w:val="24"/>
          <w:szCs w:val="24"/>
        </w:rPr>
        <w:t xml:space="preserve"> in part be</w:t>
      </w:r>
      <w:r>
        <w:rPr>
          <w:sz w:val="24"/>
          <w:szCs w:val="24"/>
        </w:rPr>
        <w:t>en</w:t>
      </w:r>
      <w:r w:rsidRPr="00844CFC">
        <w:rPr>
          <w:sz w:val="24"/>
          <w:szCs w:val="24"/>
        </w:rPr>
        <w:t xml:space="preserve"> </w:t>
      </w:r>
      <w:r>
        <w:rPr>
          <w:sz w:val="24"/>
          <w:szCs w:val="24"/>
        </w:rPr>
        <w:t>estimated through expected</w:t>
      </w:r>
      <w:r w:rsidRPr="00844CFC">
        <w:rPr>
          <w:sz w:val="24"/>
          <w:szCs w:val="24"/>
        </w:rPr>
        <w:t xml:space="preserve"> number</w:t>
      </w:r>
      <w:r>
        <w:rPr>
          <w:sz w:val="24"/>
          <w:szCs w:val="24"/>
        </w:rPr>
        <w:t>s and scales</w:t>
      </w:r>
      <w:r w:rsidRPr="00844CFC">
        <w:rPr>
          <w:sz w:val="24"/>
          <w:szCs w:val="24"/>
        </w:rPr>
        <w:t xml:space="preserve"> of infringement notices</w:t>
      </w:r>
      <w:r>
        <w:rPr>
          <w:sz w:val="24"/>
          <w:szCs w:val="24"/>
        </w:rPr>
        <w:t xml:space="preserve"> for offences </w:t>
      </w:r>
      <w:r w:rsidRPr="00844CFC">
        <w:rPr>
          <w:sz w:val="24"/>
          <w:szCs w:val="24"/>
        </w:rPr>
        <w:t xml:space="preserve">that may be </w:t>
      </w:r>
      <w:r w:rsidRPr="00844CFC">
        <w:rPr>
          <w:sz w:val="24"/>
          <w:szCs w:val="24"/>
        </w:rPr>
        <w:lastRenderedPageBreak/>
        <w:t>expected to be issued in any given year</w:t>
      </w:r>
      <w:r>
        <w:rPr>
          <w:sz w:val="24"/>
          <w:szCs w:val="24"/>
        </w:rPr>
        <w:t>, related to kerbside collection services and behaviour at waste facilities</w:t>
      </w:r>
      <w:r w:rsidRPr="00844CFC">
        <w:rPr>
          <w:sz w:val="24"/>
          <w:szCs w:val="24"/>
        </w:rPr>
        <w:t>.</w:t>
      </w:r>
      <w:r>
        <w:rPr>
          <w:sz w:val="24"/>
          <w:szCs w:val="24"/>
        </w:rPr>
        <w:t xml:space="preserve"> These are expected to peak at around $16,200 during the 2022-23 financial year,</w:t>
      </w:r>
      <w:r w:rsidR="00E7403E" w:rsidRPr="00E7403E">
        <w:rPr>
          <w:sz w:val="24"/>
          <w:szCs w:val="24"/>
        </w:rPr>
        <w:t xml:space="preserve"> then reducing due to improved compliance</w:t>
      </w:r>
      <w:r>
        <w:rPr>
          <w:sz w:val="24"/>
          <w:szCs w:val="24"/>
        </w:rPr>
        <w:t xml:space="preserve">. </w:t>
      </w:r>
    </w:p>
    <w:p w14:paraId="445E9820" w14:textId="7DAF85A9" w:rsidR="007F3E88" w:rsidRDefault="007F3E88" w:rsidP="00C560AC">
      <w:pPr>
        <w:rPr>
          <w:sz w:val="24"/>
          <w:szCs w:val="24"/>
        </w:rPr>
      </w:pPr>
      <w:r>
        <w:rPr>
          <w:sz w:val="24"/>
          <w:szCs w:val="24"/>
        </w:rPr>
        <w:t xml:space="preserve">There will be savings associated with </w:t>
      </w:r>
      <w:bookmarkStart w:id="159" w:name="_Hlk78982078"/>
      <w:r w:rsidR="00E7403E">
        <w:rPr>
          <w:sz w:val="24"/>
          <w:szCs w:val="24"/>
        </w:rPr>
        <w:t>an expected reduction in clean-up costs at waste facilities, and especially the Recycling Drop-off Centres</w:t>
      </w:r>
      <w:bookmarkEnd w:id="159"/>
      <w:r w:rsidR="00E7403E">
        <w:rPr>
          <w:sz w:val="24"/>
          <w:szCs w:val="24"/>
        </w:rPr>
        <w:t xml:space="preserve">. </w:t>
      </w:r>
    </w:p>
    <w:p w14:paraId="51A7B2C2" w14:textId="3DD09F42" w:rsidR="00233048" w:rsidRPr="00C560AC" w:rsidRDefault="00233048" w:rsidP="00C560AC">
      <w:pPr>
        <w:rPr>
          <w:sz w:val="24"/>
          <w:szCs w:val="24"/>
        </w:rPr>
      </w:pPr>
      <w:r>
        <w:rPr>
          <w:sz w:val="24"/>
          <w:szCs w:val="24"/>
        </w:rPr>
        <w:t xml:space="preserve">No additional resources are being sought to support the amendments. </w:t>
      </w:r>
      <w:bookmarkStart w:id="160" w:name="_Hlk78982393"/>
      <w:r>
        <w:rPr>
          <w:sz w:val="24"/>
          <w:szCs w:val="24"/>
        </w:rPr>
        <w:t xml:space="preserve">The proposal is to use existing staffing resource allocations to establish an infringement notice scheme in the coming years. This timeline </w:t>
      </w:r>
      <w:bookmarkStart w:id="161" w:name="_Hlk78982151"/>
      <w:r>
        <w:rPr>
          <w:sz w:val="24"/>
          <w:szCs w:val="24"/>
        </w:rPr>
        <w:t xml:space="preserve">would enable the scheme’s rollout to be supported by communications campaigns </w:t>
      </w:r>
      <w:r w:rsidR="006C6A8C">
        <w:rPr>
          <w:sz w:val="24"/>
          <w:szCs w:val="24"/>
        </w:rPr>
        <w:t xml:space="preserve">which can be absorbed using existing resource, including </w:t>
      </w:r>
      <w:r w:rsidR="006C6A8C" w:rsidRPr="006C6A8C">
        <w:rPr>
          <w:sz w:val="24"/>
          <w:szCs w:val="24"/>
        </w:rPr>
        <w:t>effective public communication and education around the use of waste facilities. Updates to signage, social media awareness campaigns and a monthly ABC radio chat</w:t>
      </w:r>
      <w:r w:rsidR="006C6A8C">
        <w:rPr>
          <w:sz w:val="24"/>
          <w:szCs w:val="24"/>
        </w:rPr>
        <w:t xml:space="preserve">. Other communication will be delivered through projects </w:t>
      </w:r>
      <w:r>
        <w:rPr>
          <w:sz w:val="24"/>
          <w:szCs w:val="24"/>
        </w:rPr>
        <w:t xml:space="preserve">for which funding is being sought separately – including FOGO educational initiatives and the Wayfinding Project. </w:t>
      </w:r>
      <w:bookmarkEnd w:id="160"/>
      <w:bookmarkEnd w:id="161"/>
    </w:p>
    <w:p w14:paraId="3A7A0009" w14:textId="05A08295" w:rsidR="000869CA" w:rsidRDefault="000869CA" w:rsidP="00250373">
      <w:pPr>
        <w:pStyle w:val="Heading1"/>
        <w:ind w:left="720" w:hanging="360"/>
      </w:pPr>
      <w:bookmarkStart w:id="162" w:name="_Toc78374731"/>
      <w:bookmarkStart w:id="163" w:name="_Toc79490241"/>
      <w:r>
        <w:t xml:space="preserve">Conclusion and </w:t>
      </w:r>
      <w:r w:rsidR="007F4F5F">
        <w:t>r</w:t>
      </w:r>
      <w:r>
        <w:t>ecommendation</w:t>
      </w:r>
      <w:bookmarkEnd w:id="162"/>
      <w:bookmarkEnd w:id="163"/>
      <w:r>
        <w:t xml:space="preserve"> </w:t>
      </w:r>
    </w:p>
    <w:p w14:paraId="15926A8C" w14:textId="1B3D51BC" w:rsidR="00FC24D3" w:rsidRPr="00C560AC" w:rsidRDefault="00C560AC" w:rsidP="00FC24D3">
      <w:pPr>
        <w:rPr>
          <w:sz w:val="24"/>
          <w:szCs w:val="24"/>
        </w:rPr>
      </w:pPr>
      <w:r w:rsidRPr="00C560AC">
        <w:rPr>
          <w:sz w:val="24"/>
          <w:szCs w:val="24"/>
        </w:rPr>
        <w:t xml:space="preserve">The proposed amendments to the </w:t>
      </w:r>
      <w:r w:rsidRPr="00FF5250">
        <w:rPr>
          <w:i/>
          <w:iCs/>
          <w:sz w:val="24"/>
          <w:szCs w:val="24"/>
        </w:rPr>
        <w:t xml:space="preserve">Waste Management and Resource Recovery Regulation 2017 </w:t>
      </w:r>
      <w:r w:rsidRPr="00C560AC">
        <w:rPr>
          <w:sz w:val="24"/>
          <w:szCs w:val="24"/>
        </w:rPr>
        <w:t xml:space="preserve">will provide for the introduction of a FOGO collection service, improve health and safety around kerbside collection services and waste facilities, support an increase in CDS container collection points and improve waste definitions and reporting. The amendments will improve the framework for waste regulation in the ACT and are recommended for adoption. </w:t>
      </w:r>
    </w:p>
    <w:sectPr w:rsidR="00FC24D3" w:rsidRPr="00C560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6A4F" w14:textId="77777777" w:rsidR="00DD31C7" w:rsidRDefault="00DD31C7" w:rsidP="00770FEE">
      <w:pPr>
        <w:spacing w:after="0" w:line="240" w:lineRule="auto"/>
      </w:pPr>
      <w:r>
        <w:separator/>
      </w:r>
    </w:p>
  </w:endnote>
  <w:endnote w:type="continuationSeparator" w:id="0">
    <w:p w14:paraId="3AD7240F" w14:textId="77777777" w:rsidR="00DD31C7" w:rsidRDefault="00DD31C7" w:rsidP="0077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847B" w14:textId="77777777" w:rsidR="000150F9" w:rsidRDefault="00015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89040"/>
      <w:docPartObj>
        <w:docPartGallery w:val="Page Numbers (Bottom of Page)"/>
        <w:docPartUnique/>
      </w:docPartObj>
    </w:sdtPr>
    <w:sdtEndPr>
      <w:rPr>
        <w:noProof/>
      </w:rPr>
    </w:sdtEndPr>
    <w:sdtContent>
      <w:p w14:paraId="24AD4A50" w14:textId="19C17738" w:rsidR="004724B7" w:rsidRDefault="004724B7">
        <w:pPr>
          <w:pStyle w:val="Footer"/>
          <w:jc w:val="right"/>
          <w:rPr>
            <w:noProof/>
          </w:rPr>
        </w:pPr>
        <w:r>
          <w:fldChar w:fldCharType="begin"/>
        </w:r>
        <w:r>
          <w:instrText xml:space="preserve"> PAGE   \* MERGEFORMAT </w:instrText>
        </w:r>
        <w:r>
          <w:fldChar w:fldCharType="separate"/>
        </w:r>
        <w:r>
          <w:rPr>
            <w:noProof/>
          </w:rPr>
          <w:t>46</w:t>
        </w:r>
        <w:r>
          <w:rPr>
            <w:noProof/>
          </w:rPr>
          <w:fldChar w:fldCharType="end"/>
        </w:r>
      </w:p>
    </w:sdtContent>
  </w:sdt>
  <w:p w14:paraId="2E07627B" w14:textId="11DAEF20" w:rsidR="008D5CA8" w:rsidRPr="000150F9" w:rsidRDefault="000150F9" w:rsidP="000150F9">
    <w:pPr>
      <w:pStyle w:val="Footer"/>
      <w:spacing w:before="120"/>
      <w:jc w:val="center"/>
      <w:rPr>
        <w:rFonts w:ascii="Arial" w:hAnsi="Arial" w:cs="Arial"/>
        <w:sz w:val="14"/>
        <w:szCs w:val="14"/>
      </w:rPr>
    </w:pPr>
    <w:r w:rsidRPr="000150F9">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B0E3" w14:textId="77777777" w:rsidR="000150F9" w:rsidRDefault="00015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8701" w14:textId="77777777" w:rsidR="00DD31C7" w:rsidRDefault="00DD31C7" w:rsidP="00770FEE">
      <w:pPr>
        <w:spacing w:after="0" w:line="240" w:lineRule="auto"/>
      </w:pPr>
      <w:r>
        <w:separator/>
      </w:r>
    </w:p>
  </w:footnote>
  <w:footnote w:type="continuationSeparator" w:id="0">
    <w:p w14:paraId="3CC9774C" w14:textId="77777777" w:rsidR="00DD31C7" w:rsidRDefault="00DD31C7" w:rsidP="00770FEE">
      <w:pPr>
        <w:spacing w:after="0" w:line="240" w:lineRule="auto"/>
      </w:pPr>
      <w:r>
        <w:continuationSeparator/>
      </w:r>
    </w:p>
  </w:footnote>
  <w:footnote w:id="1">
    <w:p w14:paraId="196387E5" w14:textId="52671201" w:rsidR="004724B7" w:rsidRDefault="004724B7">
      <w:pPr>
        <w:pStyle w:val="FootnoteText"/>
      </w:pPr>
      <w:r>
        <w:rPr>
          <w:rStyle w:val="FootnoteReference"/>
        </w:rPr>
        <w:footnoteRef/>
      </w:r>
      <w:r>
        <w:t xml:space="preserve"> </w:t>
      </w:r>
      <w:hyperlink r:id="rId1" w:history="1">
        <w:r w:rsidRPr="007328A3">
          <w:rPr>
            <w:rStyle w:val="Hyperlink"/>
          </w:rPr>
          <w:t>https://www.environment.act.gov.au/__data/assets/pdf_file/0007/576916/ACT-Waste-Strategy-Policy_access.pdf</w:t>
        </w:r>
      </w:hyperlink>
      <w:r>
        <w:t xml:space="preserve"> </w:t>
      </w:r>
    </w:p>
  </w:footnote>
  <w:footnote w:id="2">
    <w:p w14:paraId="1463F151" w14:textId="7FC6D692" w:rsidR="004724B7" w:rsidRDefault="004724B7">
      <w:pPr>
        <w:pStyle w:val="FootnoteText"/>
      </w:pPr>
      <w:r>
        <w:rPr>
          <w:rStyle w:val="FootnoteReference"/>
        </w:rPr>
        <w:footnoteRef/>
      </w:r>
      <w:r>
        <w:t xml:space="preserve"> </w:t>
      </w:r>
      <w:hyperlink r:id="rId2" w:history="1">
        <w:r w:rsidRPr="007328A3">
          <w:rPr>
            <w:rStyle w:val="Hyperlink"/>
          </w:rPr>
          <w:t>https://s3.ap-southeast-2.amazonaws.com/hdp.au.prod.app.act-yoursay.files/8615/2575/8129/WFS_roadmap.pdf</w:t>
        </w:r>
      </w:hyperlink>
      <w:r>
        <w:t xml:space="preserve"> </w:t>
      </w:r>
    </w:p>
  </w:footnote>
  <w:footnote w:id="3">
    <w:p w14:paraId="2299709A" w14:textId="17177A7F" w:rsidR="004724B7" w:rsidRDefault="004724B7" w:rsidP="00221266">
      <w:r>
        <w:rPr>
          <w:rStyle w:val="FootnoteReference"/>
        </w:rPr>
        <w:footnoteRef/>
      </w:r>
      <w:r>
        <w:t xml:space="preserve"> </w:t>
      </w:r>
      <w:hyperlink r:id="rId3" w:tgtFrame="_blank" w:tooltip="https://www.environment.act.gov.au/__data/assets/pdf_file/0003/1414641/act-climate-change-strategy-2019-2025.pdf/_recache" w:history="1">
        <w:r w:rsidRPr="00221266">
          <w:rPr>
            <w:rStyle w:val="Hyperlink"/>
            <w:rFonts w:cstheme="minorHAnsi"/>
            <w:sz w:val="20"/>
            <w:szCs w:val="20"/>
          </w:rPr>
          <w:t>https://www.environment.act.gov.au/__data/assets/pdf_file/0003/1414641/ACT-Climate-Change-Strategy-2019-2025.pdf/_recache</w:t>
        </w:r>
      </w:hyperlink>
    </w:p>
  </w:footnote>
  <w:footnote w:id="4">
    <w:p w14:paraId="674DD9A9" w14:textId="67CB05DD" w:rsidR="004724B7" w:rsidRDefault="004724B7">
      <w:pPr>
        <w:pStyle w:val="FootnoteText"/>
      </w:pPr>
      <w:r>
        <w:rPr>
          <w:rStyle w:val="FootnoteReference"/>
        </w:rPr>
        <w:footnoteRef/>
      </w:r>
      <w:r>
        <w:t xml:space="preserve"> </w:t>
      </w:r>
      <w:hyperlink r:id="rId4" w:history="1">
        <w:r w:rsidRPr="00FE4AFA">
          <w:rPr>
            <w:rStyle w:val="Hyperlink"/>
          </w:rPr>
          <w:t>https://www.environment.gov.au/system/files/resources/4683826b-5d9f-4e65-9344-a900060915b1/files/national-food-waste-strategy.pdf</w:t>
        </w:r>
      </w:hyperlink>
      <w:r>
        <w:t xml:space="preserve"> </w:t>
      </w:r>
    </w:p>
  </w:footnote>
  <w:footnote w:id="5">
    <w:p w14:paraId="3C3EC0C0" w14:textId="77777777" w:rsidR="004724B7" w:rsidRDefault="004724B7" w:rsidP="00BA39A4">
      <w:pPr>
        <w:pStyle w:val="FootnoteText"/>
      </w:pPr>
      <w:r>
        <w:rPr>
          <w:rStyle w:val="FootnoteReference"/>
        </w:rPr>
        <w:footnoteRef/>
      </w:r>
      <w:r>
        <w:t xml:space="preserve"> </w:t>
      </w:r>
      <w:hyperlink r:id="rId5" w:history="1">
        <w:r w:rsidRPr="001445CA">
          <w:rPr>
            <w:rStyle w:val="Hyperlink"/>
          </w:rPr>
          <w:t>https://www.wasteauthority.wa.gov.au/images/resources/files/FOGO_session_4_presentation__Taryn_Davis.pdf</w:t>
        </w:r>
      </w:hyperlink>
      <w:r>
        <w:t xml:space="preserve"> </w:t>
      </w:r>
    </w:p>
  </w:footnote>
  <w:footnote w:id="6">
    <w:p w14:paraId="4E755B64" w14:textId="77777777" w:rsidR="004724B7" w:rsidRDefault="004724B7" w:rsidP="00BA39A4">
      <w:pPr>
        <w:pStyle w:val="FootnoteText"/>
      </w:pPr>
      <w:r>
        <w:rPr>
          <w:rStyle w:val="FootnoteReference"/>
        </w:rPr>
        <w:footnoteRef/>
      </w:r>
      <w:r>
        <w:t xml:space="preserve"> </w:t>
      </w:r>
      <w:hyperlink r:id="rId6" w:history="1">
        <w:r w:rsidRPr="001445CA">
          <w:rPr>
            <w:rStyle w:val="Hyperlink"/>
          </w:rPr>
          <w:t>https://www.epa.nsw.gov.au/-/media/epa/corporate-site/resources/wastestrategy/20p2373-appendix-waste-resource-recovery-report-2108-19.xlsx?la=en&amp;hash=FDCE65DFA69AA7BD854471429BB39E09F9FCFA72</w:t>
        </w:r>
      </w:hyperlink>
      <w:r>
        <w:t xml:space="preserve">  </w:t>
      </w:r>
    </w:p>
  </w:footnote>
  <w:footnote w:id="7">
    <w:p w14:paraId="073FFCC6" w14:textId="77777777" w:rsidR="004724B7" w:rsidRDefault="004724B7" w:rsidP="00BA39A4">
      <w:pPr>
        <w:pStyle w:val="FootnoteText"/>
      </w:pPr>
      <w:r>
        <w:rPr>
          <w:rStyle w:val="FootnoteReference"/>
        </w:rPr>
        <w:footnoteRef/>
      </w:r>
      <w:r>
        <w:t xml:space="preserve"> </w:t>
      </w:r>
      <w:hyperlink r:id="rId7" w:history="1">
        <w:r w:rsidRPr="001445CA">
          <w:rPr>
            <w:rStyle w:val="Hyperlink"/>
          </w:rPr>
          <w:t>https://www.epa.nsw.gov.au/-/media/epa/corporate-site/resources/wastestrategy/20p2373-appendix-waste-resource-recovery-report-2108-19.xlsx?la=en&amp;hash=FDCE65DFA69AA7BD854471429BB39E09F9FCFA72</w:t>
        </w:r>
      </w:hyperlink>
      <w:r>
        <w:t xml:space="preserve">    </w:t>
      </w:r>
    </w:p>
  </w:footnote>
  <w:footnote w:id="8">
    <w:p w14:paraId="3CD0EB8E" w14:textId="77777777" w:rsidR="004724B7" w:rsidRDefault="004724B7" w:rsidP="00BA39A4">
      <w:pPr>
        <w:pStyle w:val="FootnoteText"/>
      </w:pPr>
      <w:r>
        <w:rPr>
          <w:rStyle w:val="FootnoteReference"/>
        </w:rPr>
        <w:footnoteRef/>
      </w:r>
      <w:r>
        <w:t xml:space="preserve"> </w:t>
      </w:r>
      <w:hyperlink r:id="rId8" w:history="1">
        <w:r w:rsidRPr="001445CA">
          <w:rPr>
            <w:rStyle w:val="Hyperlink"/>
          </w:rPr>
          <w:t>https://www.epa.nsw.gov.au/-/media/epa/corporate-site/resources/wastestrategy/20p2373-appendix-waste-resource-recovery-report-2108-19.xlsx?la=en&amp;hash=FDCE65DFA69AA7BD854471429BB39E09F9FCFA72</w:t>
        </w:r>
      </w:hyperlink>
      <w:r>
        <w:t xml:space="preserve">  </w:t>
      </w:r>
    </w:p>
  </w:footnote>
  <w:footnote w:id="9">
    <w:p w14:paraId="42FC8164" w14:textId="50BCFEA8" w:rsidR="004724B7" w:rsidRDefault="004724B7">
      <w:pPr>
        <w:pStyle w:val="FootnoteText"/>
      </w:pPr>
      <w:r>
        <w:rPr>
          <w:rStyle w:val="FootnoteReference"/>
        </w:rPr>
        <w:footnoteRef/>
      </w:r>
      <w:r>
        <w:t xml:space="preserve"> </w:t>
      </w:r>
      <w:hyperlink r:id="rId9" w:anchor="section-4" w:history="1">
        <w:r w:rsidRPr="001445CA">
          <w:rPr>
            <w:rStyle w:val="Hyperlink"/>
          </w:rPr>
          <w:t>https://www.qprc.nsw.gov.au/Waste-Environment/Waste/Resource-Recovery-and-Recycling-Programs#section-4</w:t>
        </w:r>
      </w:hyperlink>
      <w:r>
        <w:t xml:space="preserve"> </w:t>
      </w:r>
    </w:p>
  </w:footnote>
  <w:footnote w:id="10">
    <w:p w14:paraId="01E78912" w14:textId="17F48385" w:rsidR="004724B7" w:rsidRDefault="004724B7">
      <w:pPr>
        <w:pStyle w:val="FootnoteText"/>
      </w:pPr>
      <w:r>
        <w:rPr>
          <w:rStyle w:val="FootnoteReference"/>
        </w:rPr>
        <w:footnoteRef/>
      </w:r>
      <w:r>
        <w:t xml:space="preserve"> </w:t>
      </w:r>
      <w:hyperlink r:id="rId10" w:history="1">
        <w:r w:rsidRPr="007B252D">
          <w:rPr>
            <w:rStyle w:val="Hyperlink"/>
          </w:rPr>
          <w:t>https://www.cityservices.act.gov.au/recycling-and-waste/single-use-plastics</w:t>
        </w:r>
      </w:hyperlink>
      <w:r>
        <w:t xml:space="preserve"> </w:t>
      </w:r>
    </w:p>
  </w:footnote>
  <w:footnote w:id="11">
    <w:p w14:paraId="4B6E2F59" w14:textId="49F7FD72" w:rsidR="004724B7" w:rsidRDefault="004724B7">
      <w:pPr>
        <w:pStyle w:val="FootnoteText"/>
      </w:pPr>
      <w:r>
        <w:rPr>
          <w:rStyle w:val="FootnoteReference"/>
        </w:rPr>
        <w:footnoteRef/>
      </w:r>
      <w:r>
        <w:t xml:space="preserve"> </w:t>
      </w:r>
      <w:hyperlink r:id="rId11" w:history="1">
        <w:r w:rsidRPr="001445CA">
          <w:rPr>
            <w:rStyle w:val="Hyperlink"/>
          </w:rPr>
          <w:t>https://www.wsms.act.gov.au/bins/s/request-additional-bins?addressId=a0J5m000000Rz28EAC&amp;concession=No</w:t>
        </w:r>
      </w:hyperlink>
      <w:r>
        <w:t xml:space="preserve"> </w:t>
      </w:r>
    </w:p>
  </w:footnote>
  <w:footnote w:id="12">
    <w:p w14:paraId="04FEED03" w14:textId="77777777" w:rsidR="004724B7" w:rsidRDefault="004724B7" w:rsidP="003E51A8">
      <w:pPr>
        <w:pStyle w:val="FootnoteText"/>
      </w:pPr>
      <w:r>
        <w:rPr>
          <w:rStyle w:val="FootnoteReference"/>
        </w:rPr>
        <w:footnoteRef/>
      </w:r>
      <w:r>
        <w:t xml:space="preserve"> </w:t>
      </w:r>
      <w:hyperlink r:id="rId12" w:history="1">
        <w:r w:rsidRPr="00A94947">
          <w:rPr>
            <w:rStyle w:val="Hyperlink"/>
          </w:rPr>
          <w:t>https://www.facebook.com/groups/951618864874073/permalink/3903712529664677</w:t>
        </w:r>
      </w:hyperlink>
      <w:r>
        <w:t xml:space="preserve"> </w:t>
      </w:r>
    </w:p>
  </w:footnote>
  <w:footnote w:id="13">
    <w:p w14:paraId="33274230" w14:textId="650FE7A8" w:rsidR="004724B7" w:rsidRDefault="004724B7">
      <w:pPr>
        <w:pStyle w:val="FootnoteText"/>
      </w:pPr>
      <w:r>
        <w:rPr>
          <w:rStyle w:val="FootnoteReference"/>
        </w:rPr>
        <w:footnoteRef/>
      </w:r>
      <w:r>
        <w:t xml:space="preserve"> </w:t>
      </w:r>
      <w:hyperlink r:id="rId13" w:history="1">
        <w:r w:rsidRPr="00A94947">
          <w:rPr>
            <w:rStyle w:val="Hyperlink"/>
          </w:rPr>
          <w:t>https://www.news.com.au/lifestyle/real-life/news-life/queensland-councils-alter-law-and-potential-fine-for-residents-who-leave-their-wheelie-bins-out/news-story/43a6b44f4123a20d58efb18791272f28</w:t>
        </w:r>
      </w:hyperlink>
      <w:r>
        <w:t xml:space="preserve"> </w:t>
      </w:r>
    </w:p>
  </w:footnote>
  <w:footnote w:id="14">
    <w:p w14:paraId="57B33390" w14:textId="608B1613" w:rsidR="004724B7" w:rsidRDefault="004724B7">
      <w:pPr>
        <w:pStyle w:val="FootnoteText"/>
      </w:pPr>
      <w:r>
        <w:rPr>
          <w:rStyle w:val="FootnoteReference"/>
        </w:rPr>
        <w:footnoteRef/>
      </w:r>
      <w:r>
        <w:t xml:space="preserve"> </w:t>
      </w:r>
      <w:hyperlink r:id="rId14" w:history="1">
        <w:r w:rsidRPr="00A94947">
          <w:rPr>
            <w:rStyle w:val="Hyperlink"/>
          </w:rPr>
          <w:t>https://www.perthnow.com.au/community-news/comment-news/city-of-gosnells-passes-law-allowing-fines-for-messy-bins-c-782323</w:t>
        </w:r>
      </w:hyperlink>
      <w:r>
        <w:t xml:space="preserve"> </w:t>
      </w:r>
    </w:p>
  </w:footnote>
  <w:footnote w:id="15">
    <w:p w14:paraId="006EC360" w14:textId="4CD5BD65" w:rsidR="004724B7" w:rsidRDefault="004724B7">
      <w:pPr>
        <w:pStyle w:val="FootnoteText"/>
      </w:pPr>
      <w:r>
        <w:rPr>
          <w:rStyle w:val="FootnoteReference"/>
        </w:rPr>
        <w:footnoteRef/>
      </w:r>
      <w:r>
        <w:t xml:space="preserve"> </w:t>
      </w:r>
      <w:hyperlink r:id="rId15" w:history="1">
        <w:r w:rsidRPr="00A94947">
          <w:rPr>
            <w:rStyle w:val="Hyperlink"/>
          </w:rPr>
          <w:t>https://www.playford.sa.gov.au/live/environment-and-waste/waste-management</w:t>
        </w:r>
      </w:hyperlink>
      <w:r>
        <w:t xml:space="preserve"> </w:t>
      </w:r>
    </w:p>
  </w:footnote>
  <w:footnote w:id="16">
    <w:p w14:paraId="64B2932A" w14:textId="1E0B397E" w:rsidR="004724B7" w:rsidRDefault="004724B7">
      <w:pPr>
        <w:pStyle w:val="FootnoteText"/>
      </w:pPr>
      <w:r>
        <w:rPr>
          <w:rStyle w:val="FootnoteReference"/>
        </w:rPr>
        <w:footnoteRef/>
      </w:r>
      <w:r>
        <w:t xml:space="preserve"> </w:t>
      </w:r>
      <w:hyperlink r:id="rId16" w:anchor=":~:text=Unfortunately%20for%20bin%20owners%2C%20stuffing,is%20generally%20considered%20super%20shady" w:history="1">
        <w:r w:rsidRPr="00A94947">
          <w:rPr>
            <w:rStyle w:val="Hyperlink"/>
          </w:rPr>
          <w:t>https://www.paulsrubbish.com.au/is-it-illegal-throw-someone-elses-trash-can/#:~:text=Unfortunately%20for%20bin%20owners%2C%20stuffing,is%20generally%20considered%20super%20shady</w:t>
        </w:r>
      </w:hyperlink>
      <w:r>
        <w:t xml:space="preserve">; </w:t>
      </w:r>
      <w:hyperlink r:id="rId17" w:history="1">
        <w:r w:rsidRPr="00A94947">
          <w:rPr>
            <w:rStyle w:val="Hyperlink"/>
          </w:rPr>
          <w:t>https://www.bhg.com.au/is-it-illegal-to-go-through-rubbish-in-australia</w:t>
        </w:r>
      </w:hyperlink>
      <w:r>
        <w:t xml:space="preserve">; </w:t>
      </w:r>
      <w:hyperlink r:id="rId18" w:history="1">
        <w:r w:rsidRPr="00A94947">
          <w:rPr>
            <w:rStyle w:val="Hyperlink"/>
          </w:rPr>
          <w:t>https://www.domain.com.au/living/is-it-ever-ok-to-put-your-rubbish-in-a-neighbours-bin-20180829-h14lle-760721/</w:t>
        </w:r>
      </w:hyperlink>
      <w:r>
        <w:t xml:space="preserve">. </w:t>
      </w:r>
    </w:p>
  </w:footnote>
  <w:footnote w:id="17">
    <w:p w14:paraId="31AC3591" w14:textId="45C6A690" w:rsidR="004724B7" w:rsidRDefault="004724B7" w:rsidP="00385E7B">
      <w:pPr>
        <w:rPr>
          <w:lang w:eastAsia="en-AU"/>
        </w:rPr>
      </w:pPr>
      <w:r>
        <w:rPr>
          <w:rStyle w:val="FootnoteReference"/>
        </w:rPr>
        <w:footnoteRef/>
      </w:r>
      <w:r>
        <w:t xml:space="preserve"> See for example </w:t>
      </w:r>
      <w:hyperlink r:id="rId19" w:history="1">
        <w:r w:rsidRPr="001C1740">
          <w:rPr>
            <w:rStyle w:val="Hyperlink"/>
            <w:lang w:eastAsia="en-AU"/>
          </w:rPr>
          <w:t>https://the-riotact.com/illegal-unsafe-dumping-at-gungahlin-recycling-centre-shocks-locals/470433</w:t>
        </w:r>
      </w:hyperlink>
      <w:r>
        <w:rPr>
          <w:lang w:eastAsia="en-AU"/>
        </w:rPr>
        <w:t xml:space="preserve">. </w:t>
      </w:r>
    </w:p>
  </w:footnote>
  <w:footnote w:id="18">
    <w:p w14:paraId="52998A2A" w14:textId="73A6F311" w:rsidR="004724B7" w:rsidRDefault="004724B7">
      <w:pPr>
        <w:pStyle w:val="FootnoteText"/>
      </w:pPr>
      <w:r>
        <w:rPr>
          <w:rStyle w:val="FootnoteReference"/>
        </w:rPr>
        <w:footnoteRef/>
      </w:r>
      <w:r>
        <w:t xml:space="preserve"> </w:t>
      </w:r>
      <w:hyperlink r:id="rId20" w:history="1">
        <w:r w:rsidRPr="00CE6C89">
          <w:rPr>
            <w:rStyle w:val="Hyperlink"/>
          </w:rPr>
          <w:t>https://www.epa.vic.gov.au/report-pollution/illegal-waste-disposal/household-information</w:t>
        </w:r>
      </w:hyperlink>
      <w:r>
        <w:t xml:space="preserve"> </w:t>
      </w:r>
    </w:p>
  </w:footnote>
  <w:footnote w:id="19">
    <w:p w14:paraId="6D5B6990" w14:textId="485A97C2" w:rsidR="004724B7" w:rsidRDefault="004724B7">
      <w:pPr>
        <w:pStyle w:val="FootnoteText"/>
      </w:pPr>
      <w:r>
        <w:rPr>
          <w:rStyle w:val="FootnoteReference"/>
        </w:rPr>
        <w:footnoteRef/>
      </w:r>
      <w:r>
        <w:t xml:space="preserve"> </w:t>
      </w:r>
      <w:hyperlink r:id="rId21" w:history="1">
        <w:r w:rsidRPr="00CE6C89">
          <w:rPr>
            <w:rStyle w:val="Hyperlink"/>
          </w:rPr>
          <w:t>https://www.behaviourworksaustralia.org/portfolios/tackling-the-problem-charity-dumping/</w:t>
        </w:r>
      </w:hyperlink>
      <w:r>
        <w:t xml:space="preserve"> </w:t>
      </w:r>
    </w:p>
  </w:footnote>
  <w:footnote w:id="20">
    <w:p w14:paraId="4479EA2C" w14:textId="77777777" w:rsidR="004724B7" w:rsidRDefault="004724B7" w:rsidP="00B92B7B">
      <w:pPr>
        <w:pStyle w:val="FootnoteText"/>
      </w:pPr>
      <w:r>
        <w:rPr>
          <w:rStyle w:val="FootnoteReference"/>
        </w:rPr>
        <w:footnoteRef/>
      </w:r>
      <w:r>
        <w:t xml:space="preserve"> </w:t>
      </w:r>
      <w:hyperlink r:id="rId22" w:history="1">
        <w:r w:rsidRPr="00CE6C89">
          <w:rPr>
            <w:rStyle w:val="Hyperlink"/>
          </w:rPr>
          <w:t>https://www.epa.sa.gov.au/environmental_info/waste_recycling/waste-management</w:t>
        </w:r>
      </w:hyperlink>
      <w:r>
        <w:t xml:space="preserve"> </w:t>
      </w:r>
    </w:p>
  </w:footnote>
  <w:footnote w:id="21">
    <w:p w14:paraId="3B39FE0D" w14:textId="62D77D7C" w:rsidR="004724B7" w:rsidRDefault="004724B7">
      <w:pPr>
        <w:pStyle w:val="FootnoteText"/>
      </w:pPr>
      <w:r>
        <w:rPr>
          <w:rStyle w:val="FootnoteReference"/>
        </w:rPr>
        <w:footnoteRef/>
      </w:r>
      <w:r>
        <w:t xml:space="preserve"> </w:t>
      </w:r>
      <w:hyperlink r:id="rId23" w:history="1">
        <w:r w:rsidRPr="00CE6C89">
          <w:rPr>
            <w:rStyle w:val="Hyperlink"/>
          </w:rPr>
          <w:t>https://www.epa.nsw.gov.au/~/media/EPA/Corporate%20Site/resources/illegaldumping/080045-illegal-dumping.ashx</w:t>
        </w:r>
      </w:hyperlink>
      <w:r>
        <w:t xml:space="preserve"> </w:t>
      </w:r>
    </w:p>
  </w:footnote>
  <w:footnote w:id="22">
    <w:p w14:paraId="64956C96" w14:textId="601515B3" w:rsidR="004724B7" w:rsidRDefault="004724B7">
      <w:pPr>
        <w:pStyle w:val="FootnoteText"/>
      </w:pPr>
      <w:r>
        <w:rPr>
          <w:rStyle w:val="FootnoteReference"/>
        </w:rPr>
        <w:footnoteRef/>
      </w:r>
      <w:r>
        <w:t xml:space="preserve"> </w:t>
      </w:r>
      <w:hyperlink r:id="rId24" w:history="1">
        <w:r w:rsidRPr="00CE6C89">
          <w:rPr>
            <w:rStyle w:val="Hyperlink"/>
          </w:rPr>
          <w:t>https://www.insidewaste.com.au/index.php/2019/06/21/opinion-australias-80m-illegal-rubbish-dumping-issue-tackled-through-tech/</w:t>
        </w:r>
      </w:hyperlink>
      <w:r>
        <w:t xml:space="preserve"> </w:t>
      </w:r>
    </w:p>
  </w:footnote>
  <w:footnote w:id="23">
    <w:p w14:paraId="0613454F" w14:textId="1A13DD93" w:rsidR="004724B7" w:rsidRDefault="004724B7">
      <w:pPr>
        <w:pStyle w:val="FootnoteText"/>
      </w:pPr>
      <w:r>
        <w:rPr>
          <w:rStyle w:val="FootnoteReference"/>
        </w:rPr>
        <w:footnoteRef/>
      </w:r>
      <w:r>
        <w:t xml:space="preserve"> </w:t>
      </w:r>
      <w:hyperlink r:id="rId25" w:history="1">
        <w:r w:rsidRPr="00CE6C89">
          <w:rPr>
            <w:rStyle w:val="Hyperlink"/>
          </w:rPr>
          <w:t>https://designawards.core77.com/Strategy-Research/107773/Behavioural-Wayfinding-Design-for-Sustainable-Resource-Recovery</w:t>
        </w:r>
      </w:hyperlink>
      <w:r>
        <w:t xml:space="preserve"> </w:t>
      </w:r>
    </w:p>
  </w:footnote>
  <w:footnote w:id="24">
    <w:p w14:paraId="748690FB" w14:textId="4EEE68EC" w:rsidR="004724B7" w:rsidRDefault="004724B7">
      <w:pPr>
        <w:pStyle w:val="FootnoteText"/>
      </w:pPr>
      <w:r>
        <w:rPr>
          <w:rStyle w:val="FootnoteReference"/>
        </w:rPr>
        <w:footnoteRef/>
      </w:r>
      <w:r>
        <w:t xml:space="preserve"> </w:t>
      </w:r>
      <w:hyperlink r:id="rId26" w:history="1">
        <w:r w:rsidRPr="007328A3">
          <w:rPr>
            <w:rStyle w:val="Hyperlink"/>
          </w:rPr>
          <w:t>https://www.environment.gov.au/system/files/resources/3b8179ea-c9ce-4b51-939c-deca12abd6a7/files/aus-hazwaste-data-reporting-standard-2019.pdf</w:t>
        </w:r>
      </w:hyperlink>
      <w:r>
        <w:t xml:space="preserve"> </w:t>
      </w:r>
    </w:p>
  </w:footnote>
  <w:footnote w:id="25">
    <w:p w14:paraId="43BA275D" w14:textId="31384FF0" w:rsidR="004724B7" w:rsidRDefault="004724B7">
      <w:pPr>
        <w:pStyle w:val="FootnoteText"/>
      </w:pPr>
      <w:r>
        <w:rPr>
          <w:rStyle w:val="FootnoteReference"/>
        </w:rPr>
        <w:footnoteRef/>
      </w:r>
      <w:r>
        <w:t xml:space="preserve"> </w:t>
      </w:r>
      <w:hyperlink r:id="rId27" w:history="1">
        <w:r w:rsidRPr="007328A3">
          <w:rPr>
            <w:rStyle w:val="Hyperlink"/>
          </w:rPr>
          <w:t>https://www.legislation.gov.au/Details/F2012C00858</w:t>
        </w:r>
      </w:hyperlink>
      <w:r>
        <w:t xml:space="preserve"> </w:t>
      </w:r>
    </w:p>
  </w:footnote>
  <w:footnote w:id="26">
    <w:p w14:paraId="102E22E1" w14:textId="2198C171" w:rsidR="004724B7" w:rsidRDefault="004724B7">
      <w:pPr>
        <w:pStyle w:val="FootnoteText"/>
      </w:pPr>
      <w:r>
        <w:rPr>
          <w:rStyle w:val="FootnoteReference"/>
        </w:rPr>
        <w:footnoteRef/>
      </w:r>
      <w:r>
        <w:t xml:space="preserve"> </w:t>
      </w:r>
      <w:hyperlink r:id="rId28" w:history="1">
        <w:r w:rsidRPr="007328A3">
          <w:rPr>
            <w:rStyle w:val="Hyperlink"/>
          </w:rPr>
          <w:t>https://www.environment.gov.au/system/files/resources/5b86c9f8-074e-4d66-ab11-08bbc69da240/files/national-waste-policy-action-plan-2019.pdf</w:t>
        </w:r>
      </w:hyperlink>
      <w:r>
        <w:t xml:space="preserve"> </w:t>
      </w:r>
    </w:p>
  </w:footnote>
  <w:footnote w:id="27">
    <w:p w14:paraId="10BF2897" w14:textId="2876B354" w:rsidR="004724B7" w:rsidRDefault="004724B7">
      <w:pPr>
        <w:pStyle w:val="FootnoteText"/>
      </w:pPr>
      <w:r>
        <w:rPr>
          <w:rStyle w:val="FootnoteReference"/>
        </w:rPr>
        <w:footnoteRef/>
      </w:r>
      <w:r>
        <w:t xml:space="preserve"> </w:t>
      </w:r>
      <w:hyperlink r:id="rId29" w:history="1">
        <w:r w:rsidRPr="007328A3">
          <w:rPr>
            <w:rStyle w:val="Hyperlink"/>
          </w:rPr>
          <w:t>https://www.epa.sa.gov.au/environmental_info/waste_recycling/mass-balance-reporting</w:t>
        </w:r>
      </w:hyperlink>
      <w:r>
        <w:t xml:space="preserve"> </w:t>
      </w:r>
    </w:p>
  </w:footnote>
  <w:footnote w:id="28">
    <w:p w14:paraId="362CF582" w14:textId="71796DCF" w:rsidR="004724B7" w:rsidRDefault="004724B7">
      <w:pPr>
        <w:pStyle w:val="FootnoteText"/>
      </w:pPr>
      <w:r>
        <w:rPr>
          <w:rStyle w:val="FootnoteReference"/>
        </w:rPr>
        <w:footnoteRef/>
      </w:r>
      <w:r>
        <w:t xml:space="preserve"> </w:t>
      </w:r>
      <w:hyperlink r:id="rId30" w:history="1">
        <w:r w:rsidRPr="007328A3">
          <w:rPr>
            <w:rStyle w:val="Hyperlink"/>
          </w:rPr>
          <w:t>https://www.epa.vic.gov.au/for-business/business-forms-permits-online-tools/waste-tracker/features-of-waste-tracker</w:t>
        </w:r>
      </w:hyperlink>
      <w:r>
        <w:t xml:space="preserve"> </w:t>
      </w:r>
    </w:p>
  </w:footnote>
  <w:footnote w:id="29">
    <w:p w14:paraId="203F2C6B" w14:textId="2FEFD006" w:rsidR="004724B7" w:rsidRDefault="004724B7">
      <w:pPr>
        <w:pStyle w:val="FootnoteText"/>
      </w:pPr>
      <w:r>
        <w:rPr>
          <w:rStyle w:val="FootnoteReference"/>
        </w:rPr>
        <w:footnoteRef/>
      </w:r>
      <w:r>
        <w:t xml:space="preserve"> </w:t>
      </w:r>
      <w:hyperlink r:id="rId31" w:history="1">
        <w:r w:rsidRPr="005A3AED">
          <w:rPr>
            <w:rStyle w:val="Hyperlink"/>
            <w:i/>
            <w:iCs/>
          </w:rPr>
          <w:t>ACT’s Assessment &amp; Classification of Liquid &amp; Non-liquid Wastes</w:t>
        </w:r>
      </w:hyperlink>
    </w:p>
  </w:footnote>
  <w:footnote w:id="30">
    <w:p w14:paraId="3D930C83" w14:textId="35FD9C3D" w:rsidR="004724B7" w:rsidRDefault="004724B7">
      <w:pPr>
        <w:pStyle w:val="FootnoteText"/>
      </w:pPr>
      <w:r>
        <w:rPr>
          <w:rStyle w:val="FootnoteReference"/>
        </w:rPr>
        <w:footnoteRef/>
      </w:r>
      <w:r>
        <w:t xml:space="preserve"> </w:t>
      </w:r>
      <w:hyperlink r:id="rId32" w:history="1">
        <w:r w:rsidRPr="007328A3">
          <w:rPr>
            <w:rStyle w:val="Hyperlink"/>
          </w:rPr>
          <w:t>https://www.cityservices.act.gov.au/recyclopaedia/home</w:t>
        </w:r>
      </w:hyperlink>
      <w:r>
        <w:t xml:space="preserve"> </w:t>
      </w:r>
    </w:p>
  </w:footnote>
  <w:footnote w:id="31">
    <w:p w14:paraId="65658DFE" w14:textId="1C6FF26E" w:rsidR="004724B7" w:rsidRDefault="004724B7">
      <w:pPr>
        <w:pStyle w:val="FootnoteText"/>
      </w:pPr>
      <w:r>
        <w:rPr>
          <w:rStyle w:val="FootnoteReference"/>
        </w:rPr>
        <w:footnoteRef/>
      </w:r>
      <w:r>
        <w:t xml:space="preserve"> Workshop hosted on-line on 28 July 2021 by Australian Battery Recycling Initiative and Commonwealth Scientific and Industrial Research Organisation.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F9D3" w14:textId="77777777" w:rsidR="000150F9" w:rsidRDefault="00015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279B" w14:textId="77777777" w:rsidR="000150F9" w:rsidRDefault="00015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784D" w14:textId="77777777" w:rsidR="000150F9" w:rsidRDefault="00015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E3"/>
    <w:multiLevelType w:val="hybridMultilevel"/>
    <w:tmpl w:val="DF1CD3D4"/>
    <w:lvl w:ilvl="0" w:tplc="B7F857E4">
      <w:start w:val="1"/>
      <w:numFmt w:val="lowerLetter"/>
      <w:lvlText w:val="(%1)"/>
      <w:lvlJc w:val="left"/>
      <w:pPr>
        <w:ind w:left="1440" w:hanging="660"/>
      </w:pPr>
      <w:rPr>
        <w:rFonts w:hint="default"/>
      </w:rPr>
    </w:lvl>
    <w:lvl w:ilvl="1" w:tplc="1F068A16">
      <w:start w:val="1"/>
      <w:numFmt w:val="lowerRoman"/>
      <w:lvlText w:val="(%2)"/>
      <w:lvlJc w:val="left"/>
      <w:pPr>
        <w:ind w:left="2220" w:hanging="720"/>
      </w:pPr>
      <w:rPr>
        <w:rFonts w:hint="default"/>
      </w:r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 w15:restartNumberingAfterBreak="0">
    <w:nsid w:val="01DD35B7"/>
    <w:multiLevelType w:val="hybridMultilevel"/>
    <w:tmpl w:val="3DE60214"/>
    <w:lvl w:ilvl="0" w:tplc="7FFC6BBA">
      <w:start w:val="1"/>
      <w:numFmt w:val="lowerLetter"/>
      <w:lvlText w:val="(%1)"/>
      <w:lvlJc w:val="left"/>
      <w:pPr>
        <w:ind w:left="1560" w:hanging="84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9D4702"/>
    <w:multiLevelType w:val="hybridMultilevel"/>
    <w:tmpl w:val="CF6E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D0A1D"/>
    <w:multiLevelType w:val="hybridMultilevel"/>
    <w:tmpl w:val="651E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43B25"/>
    <w:multiLevelType w:val="hybridMultilevel"/>
    <w:tmpl w:val="5B007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34ECC"/>
    <w:multiLevelType w:val="hybridMultilevel"/>
    <w:tmpl w:val="4BC41F2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10245894"/>
    <w:multiLevelType w:val="hybridMultilevel"/>
    <w:tmpl w:val="C21A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240A67"/>
    <w:multiLevelType w:val="hybridMultilevel"/>
    <w:tmpl w:val="8C80A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E1605"/>
    <w:multiLevelType w:val="hybridMultilevel"/>
    <w:tmpl w:val="EF760B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179F6202"/>
    <w:multiLevelType w:val="hybridMultilevel"/>
    <w:tmpl w:val="893C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576E34"/>
    <w:multiLevelType w:val="hybridMultilevel"/>
    <w:tmpl w:val="22BA9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955D1"/>
    <w:multiLevelType w:val="hybridMultilevel"/>
    <w:tmpl w:val="BFCA35B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8D82C53"/>
    <w:multiLevelType w:val="hybridMultilevel"/>
    <w:tmpl w:val="CE24DAF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D62794"/>
    <w:multiLevelType w:val="hybridMultilevel"/>
    <w:tmpl w:val="261E9C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315F8D"/>
    <w:multiLevelType w:val="hybridMultilevel"/>
    <w:tmpl w:val="CC100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5A379B"/>
    <w:multiLevelType w:val="hybridMultilevel"/>
    <w:tmpl w:val="0816AE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AF3D51"/>
    <w:multiLevelType w:val="multilevel"/>
    <w:tmpl w:val="62CA7A42"/>
    <w:lvl w:ilvl="0">
      <w:start w:val="1"/>
      <w:numFmt w:val="lowerLetter"/>
      <w:lvlText w:val="%1."/>
      <w:lvlJc w:val="left"/>
      <w:pPr>
        <w:ind w:left="720" w:hanging="360"/>
      </w:pPr>
      <w:rPr>
        <w:rFonts w:ascii="Calibri" w:eastAsiaTheme="minorHAnsi"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8A6822"/>
    <w:multiLevelType w:val="multilevel"/>
    <w:tmpl w:val="1F24EFA4"/>
    <w:lvl w:ilvl="0">
      <w:start w:val="1"/>
      <w:numFmt w:val="bullet"/>
      <w:lvlText w:val=""/>
      <w:lvlJc w:val="left"/>
      <w:pPr>
        <w:tabs>
          <w:tab w:val="num" w:pos="357"/>
        </w:tabs>
        <w:ind w:left="357" w:hanging="357"/>
      </w:pPr>
      <w:rPr>
        <w:rFonts w:ascii="Symbol" w:hAnsi="Symbol" w:hint="default"/>
        <w:b w:val="0"/>
        <w:i w:val="0"/>
        <w:sz w:val="24"/>
      </w:rPr>
    </w:lvl>
    <w:lvl w:ilvl="1">
      <w:start w:val="1"/>
      <w:numFmt w:val="bullet"/>
      <w:lvlText w:val=""/>
      <w:lvlJc w:val="left"/>
      <w:pPr>
        <w:tabs>
          <w:tab w:val="num" w:pos="714"/>
        </w:tabs>
        <w:ind w:left="714" w:hanging="357"/>
      </w:pPr>
      <w:rPr>
        <w:rFonts w:ascii="Symbol" w:hAnsi="Symbol" w:hint="default"/>
        <w:sz w:val="24"/>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19" w15:restartNumberingAfterBreak="0">
    <w:nsid w:val="36176078"/>
    <w:multiLevelType w:val="hybridMultilevel"/>
    <w:tmpl w:val="7248CFF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15:restartNumberingAfterBreak="0">
    <w:nsid w:val="37016232"/>
    <w:multiLevelType w:val="hybridMultilevel"/>
    <w:tmpl w:val="D53A9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FB5DED"/>
    <w:multiLevelType w:val="hybridMultilevel"/>
    <w:tmpl w:val="2FF8A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893187A"/>
    <w:multiLevelType w:val="hybridMultilevel"/>
    <w:tmpl w:val="7E727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D971CE"/>
    <w:multiLevelType w:val="hybridMultilevel"/>
    <w:tmpl w:val="8AD2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413F1E"/>
    <w:multiLevelType w:val="hybridMultilevel"/>
    <w:tmpl w:val="26226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2B3FA2"/>
    <w:multiLevelType w:val="hybridMultilevel"/>
    <w:tmpl w:val="E88278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E7547F"/>
    <w:multiLevelType w:val="multilevel"/>
    <w:tmpl w:val="1852736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E473DD"/>
    <w:multiLevelType w:val="hybridMultilevel"/>
    <w:tmpl w:val="63D0A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961965"/>
    <w:multiLevelType w:val="hybridMultilevel"/>
    <w:tmpl w:val="1F1CC4FE"/>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AE7CF2"/>
    <w:multiLevelType w:val="hybridMultilevel"/>
    <w:tmpl w:val="F5602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430B57"/>
    <w:multiLevelType w:val="hybridMultilevel"/>
    <w:tmpl w:val="2A1A70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203F78"/>
    <w:multiLevelType w:val="hybridMultilevel"/>
    <w:tmpl w:val="2B469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0B6A70"/>
    <w:multiLevelType w:val="hybridMultilevel"/>
    <w:tmpl w:val="577A5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8A0602"/>
    <w:multiLevelType w:val="hybridMultilevel"/>
    <w:tmpl w:val="3AF65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D25278"/>
    <w:multiLevelType w:val="hybridMultilevel"/>
    <w:tmpl w:val="19DA378A"/>
    <w:lvl w:ilvl="0" w:tplc="02E09682">
      <w:start w:val="1"/>
      <w:numFmt w:val="bullet"/>
      <w:pStyle w:val="ReportList1"/>
      <w:lvlText w:val=""/>
      <w:lvlJc w:val="left"/>
      <w:pPr>
        <w:ind w:left="1080" w:hanging="360"/>
      </w:pPr>
      <w:rPr>
        <w:rFonts w:ascii="Symbol" w:hAnsi="Symbol" w:hint="default"/>
      </w:rPr>
    </w:lvl>
    <w:lvl w:ilvl="1" w:tplc="0C090003">
      <w:start w:val="1"/>
      <w:numFmt w:val="bullet"/>
      <w:pStyle w:val="ReportList2"/>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A47181C"/>
    <w:multiLevelType w:val="hybridMultilevel"/>
    <w:tmpl w:val="28FED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C2D2A"/>
    <w:multiLevelType w:val="hybridMultilevel"/>
    <w:tmpl w:val="CAFA9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1378F8"/>
    <w:multiLevelType w:val="hybridMultilevel"/>
    <w:tmpl w:val="C2585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4451A4"/>
    <w:multiLevelType w:val="hybridMultilevel"/>
    <w:tmpl w:val="8F4CC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74B6780"/>
    <w:multiLevelType w:val="multilevel"/>
    <w:tmpl w:val="356615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FCF1D30"/>
    <w:multiLevelType w:val="hybridMultilevel"/>
    <w:tmpl w:val="D6F8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406837"/>
    <w:multiLevelType w:val="hybridMultilevel"/>
    <w:tmpl w:val="AB764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0E5354"/>
    <w:multiLevelType w:val="hybridMultilevel"/>
    <w:tmpl w:val="290AE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7135D3"/>
    <w:multiLevelType w:val="hybridMultilevel"/>
    <w:tmpl w:val="2BD01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545171"/>
    <w:multiLevelType w:val="hybridMultilevel"/>
    <w:tmpl w:val="253A6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7"/>
  </w:num>
  <w:num w:numId="4">
    <w:abstractNumId w:val="4"/>
  </w:num>
  <w:num w:numId="5">
    <w:abstractNumId w:val="40"/>
  </w:num>
  <w:num w:numId="6">
    <w:abstractNumId w:val="18"/>
  </w:num>
  <w:num w:numId="7">
    <w:abstractNumId w:val="26"/>
  </w:num>
  <w:num w:numId="8">
    <w:abstractNumId w:val="32"/>
  </w:num>
  <w:num w:numId="9">
    <w:abstractNumId w:val="28"/>
  </w:num>
  <w:num w:numId="10">
    <w:abstractNumId w:val="30"/>
  </w:num>
  <w:num w:numId="11">
    <w:abstractNumId w:val="39"/>
  </w:num>
  <w:num w:numId="12">
    <w:abstractNumId w:val="42"/>
  </w:num>
  <w:num w:numId="13">
    <w:abstractNumId w:val="8"/>
  </w:num>
  <w:num w:numId="14">
    <w:abstractNumId w:val="7"/>
  </w:num>
  <w:num w:numId="15">
    <w:abstractNumId w:val="21"/>
  </w:num>
  <w:num w:numId="16">
    <w:abstractNumId w:val="22"/>
  </w:num>
  <w:num w:numId="17">
    <w:abstractNumId w:val="44"/>
  </w:num>
  <w:num w:numId="18">
    <w:abstractNumId w:val="6"/>
  </w:num>
  <w:num w:numId="19">
    <w:abstractNumId w:val="3"/>
  </w:num>
  <w:num w:numId="20">
    <w:abstractNumId w:val="35"/>
  </w:num>
  <w:num w:numId="21">
    <w:abstractNumId w:val="37"/>
  </w:num>
  <w:num w:numId="22">
    <w:abstractNumId w:val="24"/>
  </w:num>
  <w:num w:numId="23">
    <w:abstractNumId w:val="41"/>
  </w:num>
  <w:num w:numId="24">
    <w:abstractNumId w:val="9"/>
  </w:num>
  <w:num w:numId="25">
    <w:abstractNumId w:val="34"/>
  </w:num>
  <w:num w:numId="26">
    <w:abstractNumId w:val="2"/>
  </w:num>
  <w:num w:numId="27">
    <w:abstractNumId w:val="17"/>
  </w:num>
  <w:num w:numId="28">
    <w:abstractNumId w:val="43"/>
  </w:num>
  <w:num w:numId="29">
    <w:abstractNumId w:val="15"/>
  </w:num>
  <w:num w:numId="30">
    <w:abstractNumId w:val="16"/>
  </w:num>
  <w:num w:numId="31">
    <w:abstractNumId w:val="14"/>
  </w:num>
  <w:num w:numId="32">
    <w:abstractNumId w:val="33"/>
  </w:num>
  <w:num w:numId="33">
    <w:abstractNumId w:val="27"/>
  </w:num>
  <w:num w:numId="34">
    <w:abstractNumId w:val="5"/>
  </w:num>
  <w:num w:numId="35">
    <w:abstractNumId w:val="29"/>
  </w:num>
  <w:num w:numId="36">
    <w:abstractNumId w:val="23"/>
  </w:num>
  <w:num w:numId="37">
    <w:abstractNumId w:val="38"/>
  </w:num>
  <w:num w:numId="38">
    <w:abstractNumId w:val="20"/>
  </w:num>
  <w:num w:numId="39">
    <w:abstractNumId w:val="13"/>
  </w:num>
  <w:num w:numId="40">
    <w:abstractNumId w:val="0"/>
  </w:num>
  <w:num w:numId="41">
    <w:abstractNumId w:val="36"/>
  </w:num>
  <w:num w:numId="42">
    <w:abstractNumId w:val="12"/>
  </w:num>
  <w:num w:numId="43">
    <w:abstractNumId w:val="19"/>
  </w:num>
  <w:num w:numId="44">
    <w:abstractNumId w:val="31"/>
  </w:num>
  <w:num w:numId="45">
    <w:abstractNumId w:val="1"/>
  </w:num>
  <w:num w:numId="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44"/>
    <w:rsid w:val="00000DC9"/>
    <w:rsid w:val="00001773"/>
    <w:rsid w:val="0000227C"/>
    <w:rsid w:val="00002962"/>
    <w:rsid w:val="00004615"/>
    <w:rsid w:val="0000544D"/>
    <w:rsid w:val="0001344B"/>
    <w:rsid w:val="000138CC"/>
    <w:rsid w:val="000145BF"/>
    <w:rsid w:val="000150F9"/>
    <w:rsid w:val="00015A19"/>
    <w:rsid w:val="000169F0"/>
    <w:rsid w:val="00022E27"/>
    <w:rsid w:val="00022F7C"/>
    <w:rsid w:val="000239CF"/>
    <w:rsid w:val="00024727"/>
    <w:rsid w:val="00025011"/>
    <w:rsid w:val="000278F6"/>
    <w:rsid w:val="00030E42"/>
    <w:rsid w:val="00035057"/>
    <w:rsid w:val="00035A18"/>
    <w:rsid w:val="00035C8F"/>
    <w:rsid w:val="000367DA"/>
    <w:rsid w:val="000369AC"/>
    <w:rsid w:val="000374C5"/>
    <w:rsid w:val="00040EBA"/>
    <w:rsid w:val="00041260"/>
    <w:rsid w:val="000423CD"/>
    <w:rsid w:val="00042B04"/>
    <w:rsid w:val="00043022"/>
    <w:rsid w:val="0004323E"/>
    <w:rsid w:val="00045334"/>
    <w:rsid w:val="00047EAC"/>
    <w:rsid w:val="0005047B"/>
    <w:rsid w:val="00050BEC"/>
    <w:rsid w:val="000539EA"/>
    <w:rsid w:val="000545D3"/>
    <w:rsid w:val="00054999"/>
    <w:rsid w:val="000558EC"/>
    <w:rsid w:val="00055E81"/>
    <w:rsid w:val="00060FCB"/>
    <w:rsid w:val="00061745"/>
    <w:rsid w:val="00062F2D"/>
    <w:rsid w:val="0006539C"/>
    <w:rsid w:val="00065DF6"/>
    <w:rsid w:val="000669BA"/>
    <w:rsid w:val="000669FD"/>
    <w:rsid w:val="00067153"/>
    <w:rsid w:val="00067BC4"/>
    <w:rsid w:val="000711BE"/>
    <w:rsid w:val="0007149B"/>
    <w:rsid w:val="00071602"/>
    <w:rsid w:val="0007433B"/>
    <w:rsid w:val="0007447B"/>
    <w:rsid w:val="00074DE9"/>
    <w:rsid w:val="00076EFA"/>
    <w:rsid w:val="00080290"/>
    <w:rsid w:val="0008190F"/>
    <w:rsid w:val="00081B74"/>
    <w:rsid w:val="0008251C"/>
    <w:rsid w:val="0008584C"/>
    <w:rsid w:val="00085890"/>
    <w:rsid w:val="00085A2A"/>
    <w:rsid w:val="00085CD2"/>
    <w:rsid w:val="000869CA"/>
    <w:rsid w:val="0008704F"/>
    <w:rsid w:val="0008717F"/>
    <w:rsid w:val="00087209"/>
    <w:rsid w:val="00092378"/>
    <w:rsid w:val="00093405"/>
    <w:rsid w:val="00093BA0"/>
    <w:rsid w:val="00095D87"/>
    <w:rsid w:val="00096854"/>
    <w:rsid w:val="00097320"/>
    <w:rsid w:val="000A09C9"/>
    <w:rsid w:val="000A2EAA"/>
    <w:rsid w:val="000A481E"/>
    <w:rsid w:val="000A4B26"/>
    <w:rsid w:val="000A7F7E"/>
    <w:rsid w:val="000B04C9"/>
    <w:rsid w:val="000B08AD"/>
    <w:rsid w:val="000B0C62"/>
    <w:rsid w:val="000B1EA1"/>
    <w:rsid w:val="000B22DA"/>
    <w:rsid w:val="000B4856"/>
    <w:rsid w:val="000B641B"/>
    <w:rsid w:val="000B73D3"/>
    <w:rsid w:val="000C03F7"/>
    <w:rsid w:val="000C0997"/>
    <w:rsid w:val="000C0F33"/>
    <w:rsid w:val="000C1369"/>
    <w:rsid w:val="000C167D"/>
    <w:rsid w:val="000C1DB9"/>
    <w:rsid w:val="000C24F1"/>
    <w:rsid w:val="000C36EE"/>
    <w:rsid w:val="000C3FB9"/>
    <w:rsid w:val="000C40DF"/>
    <w:rsid w:val="000C621B"/>
    <w:rsid w:val="000C62C0"/>
    <w:rsid w:val="000D088D"/>
    <w:rsid w:val="000D09F1"/>
    <w:rsid w:val="000D28BA"/>
    <w:rsid w:val="000D2A70"/>
    <w:rsid w:val="000D3006"/>
    <w:rsid w:val="000D3177"/>
    <w:rsid w:val="000D3423"/>
    <w:rsid w:val="000E1C07"/>
    <w:rsid w:val="000E20C4"/>
    <w:rsid w:val="000E2629"/>
    <w:rsid w:val="000E44BC"/>
    <w:rsid w:val="000E5BC9"/>
    <w:rsid w:val="000E74F9"/>
    <w:rsid w:val="000F0B13"/>
    <w:rsid w:val="000F0CED"/>
    <w:rsid w:val="000F2E98"/>
    <w:rsid w:val="000F3572"/>
    <w:rsid w:val="000F6B4F"/>
    <w:rsid w:val="000F70BD"/>
    <w:rsid w:val="00100B6B"/>
    <w:rsid w:val="00100E50"/>
    <w:rsid w:val="001012B7"/>
    <w:rsid w:val="00102E71"/>
    <w:rsid w:val="00102F09"/>
    <w:rsid w:val="001030E2"/>
    <w:rsid w:val="00104610"/>
    <w:rsid w:val="001047A5"/>
    <w:rsid w:val="0010502C"/>
    <w:rsid w:val="00107A85"/>
    <w:rsid w:val="00110FC6"/>
    <w:rsid w:val="0011178E"/>
    <w:rsid w:val="00112962"/>
    <w:rsid w:val="00117FDB"/>
    <w:rsid w:val="001212E8"/>
    <w:rsid w:val="001231AE"/>
    <w:rsid w:val="0012496A"/>
    <w:rsid w:val="00124B1C"/>
    <w:rsid w:val="00125CD9"/>
    <w:rsid w:val="00127668"/>
    <w:rsid w:val="00127724"/>
    <w:rsid w:val="00130258"/>
    <w:rsid w:val="00130981"/>
    <w:rsid w:val="001313BE"/>
    <w:rsid w:val="001318B4"/>
    <w:rsid w:val="0013253F"/>
    <w:rsid w:val="001342C7"/>
    <w:rsid w:val="00136D61"/>
    <w:rsid w:val="00142198"/>
    <w:rsid w:val="0014462A"/>
    <w:rsid w:val="00146375"/>
    <w:rsid w:val="0014654D"/>
    <w:rsid w:val="001474FC"/>
    <w:rsid w:val="00147A92"/>
    <w:rsid w:val="00147DD1"/>
    <w:rsid w:val="0015277B"/>
    <w:rsid w:val="00152B77"/>
    <w:rsid w:val="0015350E"/>
    <w:rsid w:val="001560C4"/>
    <w:rsid w:val="00162C61"/>
    <w:rsid w:val="00166E76"/>
    <w:rsid w:val="001677CA"/>
    <w:rsid w:val="00171ABE"/>
    <w:rsid w:val="00172E6B"/>
    <w:rsid w:val="00173C62"/>
    <w:rsid w:val="0017551B"/>
    <w:rsid w:val="00175627"/>
    <w:rsid w:val="00175879"/>
    <w:rsid w:val="00175F76"/>
    <w:rsid w:val="0017615A"/>
    <w:rsid w:val="00176906"/>
    <w:rsid w:val="0018029A"/>
    <w:rsid w:val="00183F42"/>
    <w:rsid w:val="00184368"/>
    <w:rsid w:val="00185FB5"/>
    <w:rsid w:val="00186069"/>
    <w:rsid w:val="0019090C"/>
    <w:rsid w:val="001910B4"/>
    <w:rsid w:val="00192ABA"/>
    <w:rsid w:val="00192EB6"/>
    <w:rsid w:val="0019315F"/>
    <w:rsid w:val="00193D83"/>
    <w:rsid w:val="00195111"/>
    <w:rsid w:val="001974A2"/>
    <w:rsid w:val="001A1A3F"/>
    <w:rsid w:val="001A1B55"/>
    <w:rsid w:val="001A2344"/>
    <w:rsid w:val="001A26D5"/>
    <w:rsid w:val="001A3260"/>
    <w:rsid w:val="001A560C"/>
    <w:rsid w:val="001A62E0"/>
    <w:rsid w:val="001A6CBE"/>
    <w:rsid w:val="001B0F34"/>
    <w:rsid w:val="001B19CF"/>
    <w:rsid w:val="001B2F51"/>
    <w:rsid w:val="001B310B"/>
    <w:rsid w:val="001B3947"/>
    <w:rsid w:val="001B4657"/>
    <w:rsid w:val="001B48F3"/>
    <w:rsid w:val="001B6A8E"/>
    <w:rsid w:val="001B6B6F"/>
    <w:rsid w:val="001C0114"/>
    <w:rsid w:val="001C0715"/>
    <w:rsid w:val="001C152A"/>
    <w:rsid w:val="001C20B1"/>
    <w:rsid w:val="001C5E23"/>
    <w:rsid w:val="001C71E8"/>
    <w:rsid w:val="001D0022"/>
    <w:rsid w:val="001D033D"/>
    <w:rsid w:val="001D1589"/>
    <w:rsid w:val="001D25CA"/>
    <w:rsid w:val="001D3325"/>
    <w:rsid w:val="001D3F20"/>
    <w:rsid w:val="001D4BEF"/>
    <w:rsid w:val="001D5F12"/>
    <w:rsid w:val="001D64B8"/>
    <w:rsid w:val="001D7B16"/>
    <w:rsid w:val="001E11FB"/>
    <w:rsid w:val="001E2260"/>
    <w:rsid w:val="001E3E1C"/>
    <w:rsid w:val="001E4BC4"/>
    <w:rsid w:val="001E5904"/>
    <w:rsid w:val="001E5F00"/>
    <w:rsid w:val="001E5FEB"/>
    <w:rsid w:val="001E6B09"/>
    <w:rsid w:val="001E73D9"/>
    <w:rsid w:val="001F3AF3"/>
    <w:rsid w:val="001F460A"/>
    <w:rsid w:val="001F4AFA"/>
    <w:rsid w:val="001F506A"/>
    <w:rsid w:val="001F63FD"/>
    <w:rsid w:val="001F64D3"/>
    <w:rsid w:val="001F6DFC"/>
    <w:rsid w:val="001F7449"/>
    <w:rsid w:val="001F7521"/>
    <w:rsid w:val="001F7DBE"/>
    <w:rsid w:val="00200AEA"/>
    <w:rsid w:val="00200E1D"/>
    <w:rsid w:val="002020A7"/>
    <w:rsid w:val="002022A3"/>
    <w:rsid w:val="00204D61"/>
    <w:rsid w:val="00204F88"/>
    <w:rsid w:val="00205980"/>
    <w:rsid w:val="002065C5"/>
    <w:rsid w:val="00207C5C"/>
    <w:rsid w:val="00210AFA"/>
    <w:rsid w:val="00210EF0"/>
    <w:rsid w:val="00211130"/>
    <w:rsid w:val="00212160"/>
    <w:rsid w:val="00212516"/>
    <w:rsid w:val="00212B9C"/>
    <w:rsid w:val="002144BC"/>
    <w:rsid w:val="0021497F"/>
    <w:rsid w:val="00214EDD"/>
    <w:rsid w:val="00215347"/>
    <w:rsid w:val="0021767A"/>
    <w:rsid w:val="00217EE5"/>
    <w:rsid w:val="00221266"/>
    <w:rsid w:val="00223827"/>
    <w:rsid w:val="002266C1"/>
    <w:rsid w:val="002268EB"/>
    <w:rsid w:val="00232B33"/>
    <w:rsid w:val="00233048"/>
    <w:rsid w:val="00233AB6"/>
    <w:rsid w:val="00234F93"/>
    <w:rsid w:val="00235D63"/>
    <w:rsid w:val="00236A48"/>
    <w:rsid w:val="00236FCB"/>
    <w:rsid w:val="002370BE"/>
    <w:rsid w:val="0023717D"/>
    <w:rsid w:val="0024059D"/>
    <w:rsid w:val="00240733"/>
    <w:rsid w:val="00240A78"/>
    <w:rsid w:val="00240BD7"/>
    <w:rsid w:val="00241463"/>
    <w:rsid w:val="002424FD"/>
    <w:rsid w:val="00243006"/>
    <w:rsid w:val="002444AF"/>
    <w:rsid w:val="00245439"/>
    <w:rsid w:val="00245724"/>
    <w:rsid w:val="002458A5"/>
    <w:rsid w:val="00246365"/>
    <w:rsid w:val="00247C37"/>
    <w:rsid w:val="00250373"/>
    <w:rsid w:val="00250E8D"/>
    <w:rsid w:val="00254564"/>
    <w:rsid w:val="0025606F"/>
    <w:rsid w:val="00256A53"/>
    <w:rsid w:val="002601BE"/>
    <w:rsid w:val="00260C22"/>
    <w:rsid w:val="00261E9B"/>
    <w:rsid w:val="002622C8"/>
    <w:rsid w:val="00262E79"/>
    <w:rsid w:val="00264104"/>
    <w:rsid w:val="002642D2"/>
    <w:rsid w:val="00266236"/>
    <w:rsid w:val="00267933"/>
    <w:rsid w:val="002731BA"/>
    <w:rsid w:val="00273333"/>
    <w:rsid w:val="0027467D"/>
    <w:rsid w:val="00274A3A"/>
    <w:rsid w:val="00275E47"/>
    <w:rsid w:val="00275FBD"/>
    <w:rsid w:val="00276263"/>
    <w:rsid w:val="00276641"/>
    <w:rsid w:val="0027670B"/>
    <w:rsid w:val="00277744"/>
    <w:rsid w:val="00284164"/>
    <w:rsid w:val="00284578"/>
    <w:rsid w:val="0028635A"/>
    <w:rsid w:val="00290410"/>
    <w:rsid w:val="0029090A"/>
    <w:rsid w:val="00291210"/>
    <w:rsid w:val="002917FA"/>
    <w:rsid w:val="00292874"/>
    <w:rsid w:val="00293813"/>
    <w:rsid w:val="0029401C"/>
    <w:rsid w:val="00295868"/>
    <w:rsid w:val="00296997"/>
    <w:rsid w:val="002A0271"/>
    <w:rsid w:val="002A0514"/>
    <w:rsid w:val="002A12D6"/>
    <w:rsid w:val="002A2610"/>
    <w:rsid w:val="002A2C7C"/>
    <w:rsid w:val="002A33B4"/>
    <w:rsid w:val="002A3C58"/>
    <w:rsid w:val="002A6CFA"/>
    <w:rsid w:val="002A6D80"/>
    <w:rsid w:val="002A6F0B"/>
    <w:rsid w:val="002B146F"/>
    <w:rsid w:val="002B2991"/>
    <w:rsid w:val="002B4E83"/>
    <w:rsid w:val="002B5DA7"/>
    <w:rsid w:val="002B6A37"/>
    <w:rsid w:val="002C1529"/>
    <w:rsid w:val="002C1993"/>
    <w:rsid w:val="002C27BD"/>
    <w:rsid w:val="002C3205"/>
    <w:rsid w:val="002C3436"/>
    <w:rsid w:val="002C390D"/>
    <w:rsid w:val="002C3C97"/>
    <w:rsid w:val="002C465D"/>
    <w:rsid w:val="002C4D5A"/>
    <w:rsid w:val="002C557D"/>
    <w:rsid w:val="002C5FC4"/>
    <w:rsid w:val="002C6769"/>
    <w:rsid w:val="002C6839"/>
    <w:rsid w:val="002C7BBC"/>
    <w:rsid w:val="002C7BCC"/>
    <w:rsid w:val="002C7F69"/>
    <w:rsid w:val="002D1167"/>
    <w:rsid w:val="002D14D4"/>
    <w:rsid w:val="002D1C8D"/>
    <w:rsid w:val="002D527B"/>
    <w:rsid w:val="002D58B7"/>
    <w:rsid w:val="002D5919"/>
    <w:rsid w:val="002D6EBA"/>
    <w:rsid w:val="002D7AFC"/>
    <w:rsid w:val="002E0759"/>
    <w:rsid w:val="002E0A6E"/>
    <w:rsid w:val="002E1292"/>
    <w:rsid w:val="002E1D78"/>
    <w:rsid w:val="002E2CB7"/>
    <w:rsid w:val="002E3650"/>
    <w:rsid w:val="002E44A1"/>
    <w:rsid w:val="002E458B"/>
    <w:rsid w:val="002E5042"/>
    <w:rsid w:val="002E56B9"/>
    <w:rsid w:val="002E5DE8"/>
    <w:rsid w:val="002E6384"/>
    <w:rsid w:val="002E6492"/>
    <w:rsid w:val="002E72EE"/>
    <w:rsid w:val="002E75FB"/>
    <w:rsid w:val="002F1CB5"/>
    <w:rsid w:val="002F4935"/>
    <w:rsid w:val="002F74D2"/>
    <w:rsid w:val="002F7C2B"/>
    <w:rsid w:val="003000B0"/>
    <w:rsid w:val="003006D5"/>
    <w:rsid w:val="00301586"/>
    <w:rsid w:val="00302916"/>
    <w:rsid w:val="0030351C"/>
    <w:rsid w:val="003055D9"/>
    <w:rsid w:val="00310E1A"/>
    <w:rsid w:val="00310EF6"/>
    <w:rsid w:val="003128FD"/>
    <w:rsid w:val="00312A4F"/>
    <w:rsid w:val="00312C97"/>
    <w:rsid w:val="00313743"/>
    <w:rsid w:val="003149DA"/>
    <w:rsid w:val="00314F66"/>
    <w:rsid w:val="00317BE3"/>
    <w:rsid w:val="00320B4E"/>
    <w:rsid w:val="003212FB"/>
    <w:rsid w:val="00321BB2"/>
    <w:rsid w:val="0032270C"/>
    <w:rsid w:val="003247CB"/>
    <w:rsid w:val="0032553B"/>
    <w:rsid w:val="00325737"/>
    <w:rsid w:val="00326104"/>
    <w:rsid w:val="00327C44"/>
    <w:rsid w:val="00331ABD"/>
    <w:rsid w:val="003323D8"/>
    <w:rsid w:val="003325AE"/>
    <w:rsid w:val="00332FD5"/>
    <w:rsid w:val="00333445"/>
    <w:rsid w:val="0033391A"/>
    <w:rsid w:val="00334395"/>
    <w:rsid w:val="00334CA4"/>
    <w:rsid w:val="00335CD7"/>
    <w:rsid w:val="003372F3"/>
    <w:rsid w:val="0034077A"/>
    <w:rsid w:val="00340F21"/>
    <w:rsid w:val="003435BF"/>
    <w:rsid w:val="0034487C"/>
    <w:rsid w:val="00345C93"/>
    <w:rsid w:val="00346694"/>
    <w:rsid w:val="00346876"/>
    <w:rsid w:val="003469F5"/>
    <w:rsid w:val="00346A4D"/>
    <w:rsid w:val="00347DBE"/>
    <w:rsid w:val="00347FE0"/>
    <w:rsid w:val="00350D85"/>
    <w:rsid w:val="00350E0E"/>
    <w:rsid w:val="003512C1"/>
    <w:rsid w:val="0035165E"/>
    <w:rsid w:val="00351E83"/>
    <w:rsid w:val="0035390B"/>
    <w:rsid w:val="00356ACD"/>
    <w:rsid w:val="003608B8"/>
    <w:rsid w:val="003628E1"/>
    <w:rsid w:val="0036296D"/>
    <w:rsid w:val="003646E5"/>
    <w:rsid w:val="00366BF7"/>
    <w:rsid w:val="0036798C"/>
    <w:rsid w:val="00370337"/>
    <w:rsid w:val="00370748"/>
    <w:rsid w:val="00374057"/>
    <w:rsid w:val="003747B5"/>
    <w:rsid w:val="00374ABC"/>
    <w:rsid w:val="003753B0"/>
    <w:rsid w:val="00375DF9"/>
    <w:rsid w:val="00376A81"/>
    <w:rsid w:val="00377D85"/>
    <w:rsid w:val="003815E7"/>
    <w:rsid w:val="00381670"/>
    <w:rsid w:val="00383CF3"/>
    <w:rsid w:val="003846D5"/>
    <w:rsid w:val="003853E9"/>
    <w:rsid w:val="00385986"/>
    <w:rsid w:val="00385E7B"/>
    <w:rsid w:val="0038619C"/>
    <w:rsid w:val="00387A4D"/>
    <w:rsid w:val="00390C87"/>
    <w:rsid w:val="00390EEF"/>
    <w:rsid w:val="00391626"/>
    <w:rsid w:val="00392717"/>
    <w:rsid w:val="00392D12"/>
    <w:rsid w:val="0039362C"/>
    <w:rsid w:val="00393E9B"/>
    <w:rsid w:val="00394FC8"/>
    <w:rsid w:val="0039556A"/>
    <w:rsid w:val="00396E28"/>
    <w:rsid w:val="00397DDE"/>
    <w:rsid w:val="003A16FD"/>
    <w:rsid w:val="003A1F5E"/>
    <w:rsid w:val="003A287E"/>
    <w:rsid w:val="003A66E7"/>
    <w:rsid w:val="003B05D9"/>
    <w:rsid w:val="003B09B3"/>
    <w:rsid w:val="003B1365"/>
    <w:rsid w:val="003B1E69"/>
    <w:rsid w:val="003B3730"/>
    <w:rsid w:val="003B3DE5"/>
    <w:rsid w:val="003B3EA7"/>
    <w:rsid w:val="003B7CCC"/>
    <w:rsid w:val="003C17CF"/>
    <w:rsid w:val="003C35C0"/>
    <w:rsid w:val="003C3A62"/>
    <w:rsid w:val="003C42B8"/>
    <w:rsid w:val="003C45BB"/>
    <w:rsid w:val="003C57E8"/>
    <w:rsid w:val="003C7D18"/>
    <w:rsid w:val="003D0D0A"/>
    <w:rsid w:val="003D2CA2"/>
    <w:rsid w:val="003D4DFD"/>
    <w:rsid w:val="003D61A4"/>
    <w:rsid w:val="003D68E3"/>
    <w:rsid w:val="003D69B0"/>
    <w:rsid w:val="003D6B52"/>
    <w:rsid w:val="003E041D"/>
    <w:rsid w:val="003E05B4"/>
    <w:rsid w:val="003E0A19"/>
    <w:rsid w:val="003E1359"/>
    <w:rsid w:val="003E2944"/>
    <w:rsid w:val="003E2975"/>
    <w:rsid w:val="003E41B3"/>
    <w:rsid w:val="003E4961"/>
    <w:rsid w:val="003E4D99"/>
    <w:rsid w:val="003E51A8"/>
    <w:rsid w:val="003E5B87"/>
    <w:rsid w:val="003E67B8"/>
    <w:rsid w:val="003F0649"/>
    <w:rsid w:val="003F20F0"/>
    <w:rsid w:val="003F2429"/>
    <w:rsid w:val="003F4091"/>
    <w:rsid w:val="003F5E27"/>
    <w:rsid w:val="003F6E0D"/>
    <w:rsid w:val="003F7091"/>
    <w:rsid w:val="003F7879"/>
    <w:rsid w:val="0040059E"/>
    <w:rsid w:val="00400890"/>
    <w:rsid w:val="004023E7"/>
    <w:rsid w:val="004031A3"/>
    <w:rsid w:val="00403382"/>
    <w:rsid w:val="004053CB"/>
    <w:rsid w:val="0040544B"/>
    <w:rsid w:val="004072C4"/>
    <w:rsid w:val="00407C94"/>
    <w:rsid w:val="0041065E"/>
    <w:rsid w:val="00410D3D"/>
    <w:rsid w:val="00411014"/>
    <w:rsid w:val="004140A3"/>
    <w:rsid w:val="004146BB"/>
    <w:rsid w:val="004150B8"/>
    <w:rsid w:val="00416775"/>
    <w:rsid w:val="00417549"/>
    <w:rsid w:val="00417A24"/>
    <w:rsid w:val="00420D47"/>
    <w:rsid w:val="00420EBB"/>
    <w:rsid w:val="0042163E"/>
    <w:rsid w:val="004217BF"/>
    <w:rsid w:val="0042226B"/>
    <w:rsid w:val="00424B26"/>
    <w:rsid w:val="004250E1"/>
    <w:rsid w:val="00426ADC"/>
    <w:rsid w:val="00426BC4"/>
    <w:rsid w:val="00427533"/>
    <w:rsid w:val="00427DBD"/>
    <w:rsid w:val="004313BA"/>
    <w:rsid w:val="004319A2"/>
    <w:rsid w:val="00432EDC"/>
    <w:rsid w:val="00435464"/>
    <w:rsid w:val="00435B14"/>
    <w:rsid w:val="004368A2"/>
    <w:rsid w:val="00436E31"/>
    <w:rsid w:val="004378FC"/>
    <w:rsid w:val="00442EE1"/>
    <w:rsid w:val="00443B1F"/>
    <w:rsid w:val="00444634"/>
    <w:rsid w:val="00444FD0"/>
    <w:rsid w:val="00451740"/>
    <w:rsid w:val="0045226D"/>
    <w:rsid w:val="0045284F"/>
    <w:rsid w:val="00455885"/>
    <w:rsid w:val="00455B78"/>
    <w:rsid w:val="00455B92"/>
    <w:rsid w:val="0045743D"/>
    <w:rsid w:val="004601E4"/>
    <w:rsid w:val="00461AC8"/>
    <w:rsid w:val="0046391F"/>
    <w:rsid w:val="004650BF"/>
    <w:rsid w:val="00465646"/>
    <w:rsid w:val="0047067E"/>
    <w:rsid w:val="004709A6"/>
    <w:rsid w:val="00470A01"/>
    <w:rsid w:val="00470ECF"/>
    <w:rsid w:val="00471A7C"/>
    <w:rsid w:val="004724B7"/>
    <w:rsid w:val="00472796"/>
    <w:rsid w:val="00472ADD"/>
    <w:rsid w:val="00473E30"/>
    <w:rsid w:val="00476607"/>
    <w:rsid w:val="004767CA"/>
    <w:rsid w:val="00477893"/>
    <w:rsid w:val="00477E06"/>
    <w:rsid w:val="00480252"/>
    <w:rsid w:val="004820EB"/>
    <w:rsid w:val="00482B33"/>
    <w:rsid w:val="004852FE"/>
    <w:rsid w:val="0048799E"/>
    <w:rsid w:val="004918D5"/>
    <w:rsid w:val="00491F0F"/>
    <w:rsid w:val="00493057"/>
    <w:rsid w:val="00494C49"/>
    <w:rsid w:val="00495806"/>
    <w:rsid w:val="00495BA7"/>
    <w:rsid w:val="004A0D88"/>
    <w:rsid w:val="004A1FC9"/>
    <w:rsid w:val="004A234B"/>
    <w:rsid w:val="004A41A2"/>
    <w:rsid w:val="004A444F"/>
    <w:rsid w:val="004A4F05"/>
    <w:rsid w:val="004A5365"/>
    <w:rsid w:val="004A5649"/>
    <w:rsid w:val="004A5BA8"/>
    <w:rsid w:val="004A7167"/>
    <w:rsid w:val="004A7C5E"/>
    <w:rsid w:val="004A7F34"/>
    <w:rsid w:val="004B0C23"/>
    <w:rsid w:val="004B1680"/>
    <w:rsid w:val="004B16C3"/>
    <w:rsid w:val="004B185D"/>
    <w:rsid w:val="004B2061"/>
    <w:rsid w:val="004B2DA5"/>
    <w:rsid w:val="004B45AC"/>
    <w:rsid w:val="004B4797"/>
    <w:rsid w:val="004B6505"/>
    <w:rsid w:val="004B6A5D"/>
    <w:rsid w:val="004C2A57"/>
    <w:rsid w:val="004C3338"/>
    <w:rsid w:val="004C3480"/>
    <w:rsid w:val="004C41CA"/>
    <w:rsid w:val="004C4234"/>
    <w:rsid w:val="004C4698"/>
    <w:rsid w:val="004C4C55"/>
    <w:rsid w:val="004C606D"/>
    <w:rsid w:val="004C737A"/>
    <w:rsid w:val="004D1906"/>
    <w:rsid w:val="004D1F35"/>
    <w:rsid w:val="004D2753"/>
    <w:rsid w:val="004D3AF9"/>
    <w:rsid w:val="004D4939"/>
    <w:rsid w:val="004D7451"/>
    <w:rsid w:val="004D7945"/>
    <w:rsid w:val="004E14CC"/>
    <w:rsid w:val="004E1634"/>
    <w:rsid w:val="004E2FC8"/>
    <w:rsid w:val="004E4C49"/>
    <w:rsid w:val="004E511C"/>
    <w:rsid w:val="004E511E"/>
    <w:rsid w:val="004E6731"/>
    <w:rsid w:val="004F0E18"/>
    <w:rsid w:val="004F3F4B"/>
    <w:rsid w:val="004F434E"/>
    <w:rsid w:val="004F4E77"/>
    <w:rsid w:val="004F5BEE"/>
    <w:rsid w:val="004F5E8B"/>
    <w:rsid w:val="004F716E"/>
    <w:rsid w:val="0050035A"/>
    <w:rsid w:val="005005EB"/>
    <w:rsid w:val="00502005"/>
    <w:rsid w:val="005021FA"/>
    <w:rsid w:val="00504E1C"/>
    <w:rsid w:val="00505FD1"/>
    <w:rsid w:val="00506601"/>
    <w:rsid w:val="0050709C"/>
    <w:rsid w:val="00507A87"/>
    <w:rsid w:val="00507DAE"/>
    <w:rsid w:val="00510B8F"/>
    <w:rsid w:val="00510D3E"/>
    <w:rsid w:val="0051238F"/>
    <w:rsid w:val="005128A3"/>
    <w:rsid w:val="00521314"/>
    <w:rsid w:val="00521B94"/>
    <w:rsid w:val="0052263D"/>
    <w:rsid w:val="005227D7"/>
    <w:rsid w:val="00522E55"/>
    <w:rsid w:val="00523413"/>
    <w:rsid w:val="00524CE5"/>
    <w:rsid w:val="00527818"/>
    <w:rsid w:val="00527DEF"/>
    <w:rsid w:val="00531178"/>
    <w:rsid w:val="005319DE"/>
    <w:rsid w:val="00532918"/>
    <w:rsid w:val="0053340C"/>
    <w:rsid w:val="005344B7"/>
    <w:rsid w:val="00534DE1"/>
    <w:rsid w:val="00535052"/>
    <w:rsid w:val="00536B24"/>
    <w:rsid w:val="0054058E"/>
    <w:rsid w:val="005407FB"/>
    <w:rsid w:val="00541325"/>
    <w:rsid w:val="00542913"/>
    <w:rsid w:val="00542E09"/>
    <w:rsid w:val="00543C33"/>
    <w:rsid w:val="00544D8D"/>
    <w:rsid w:val="005453DB"/>
    <w:rsid w:val="0054689A"/>
    <w:rsid w:val="005476E8"/>
    <w:rsid w:val="00551021"/>
    <w:rsid w:val="005513EA"/>
    <w:rsid w:val="00551A52"/>
    <w:rsid w:val="0055250D"/>
    <w:rsid w:val="005526C4"/>
    <w:rsid w:val="00553086"/>
    <w:rsid w:val="00554046"/>
    <w:rsid w:val="005547F3"/>
    <w:rsid w:val="005549FF"/>
    <w:rsid w:val="00556526"/>
    <w:rsid w:val="00557AA9"/>
    <w:rsid w:val="00564996"/>
    <w:rsid w:val="005667BA"/>
    <w:rsid w:val="00567DAF"/>
    <w:rsid w:val="00571A93"/>
    <w:rsid w:val="00572D34"/>
    <w:rsid w:val="00573BDB"/>
    <w:rsid w:val="00574DE7"/>
    <w:rsid w:val="005754C0"/>
    <w:rsid w:val="00575FA1"/>
    <w:rsid w:val="00577521"/>
    <w:rsid w:val="005818DF"/>
    <w:rsid w:val="00581F3B"/>
    <w:rsid w:val="0058266C"/>
    <w:rsid w:val="005840F2"/>
    <w:rsid w:val="00585932"/>
    <w:rsid w:val="00586CD3"/>
    <w:rsid w:val="0059031C"/>
    <w:rsid w:val="0059177A"/>
    <w:rsid w:val="0059186C"/>
    <w:rsid w:val="00592425"/>
    <w:rsid w:val="0059247B"/>
    <w:rsid w:val="005950C7"/>
    <w:rsid w:val="005A18A4"/>
    <w:rsid w:val="005A20CD"/>
    <w:rsid w:val="005A29D9"/>
    <w:rsid w:val="005A325E"/>
    <w:rsid w:val="005A3598"/>
    <w:rsid w:val="005A4C3F"/>
    <w:rsid w:val="005A5261"/>
    <w:rsid w:val="005A57F2"/>
    <w:rsid w:val="005B1454"/>
    <w:rsid w:val="005B3716"/>
    <w:rsid w:val="005B456D"/>
    <w:rsid w:val="005B4DE6"/>
    <w:rsid w:val="005B5087"/>
    <w:rsid w:val="005B5153"/>
    <w:rsid w:val="005B5982"/>
    <w:rsid w:val="005B5B5C"/>
    <w:rsid w:val="005B5C33"/>
    <w:rsid w:val="005B70FD"/>
    <w:rsid w:val="005C03E9"/>
    <w:rsid w:val="005C0846"/>
    <w:rsid w:val="005C0B46"/>
    <w:rsid w:val="005C0E01"/>
    <w:rsid w:val="005C26B0"/>
    <w:rsid w:val="005C3384"/>
    <w:rsid w:val="005C36BF"/>
    <w:rsid w:val="005C3CEF"/>
    <w:rsid w:val="005C6220"/>
    <w:rsid w:val="005C704E"/>
    <w:rsid w:val="005D0639"/>
    <w:rsid w:val="005D0861"/>
    <w:rsid w:val="005D0AB4"/>
    <w:rsid w:val="005D3D0B"/>
    <w:rsid w:val="005D6B07"/>
    <w:rsid w:val="005D72AD"/>
    <w:rsid w:val="005E0CDE"/>
    <w:rsid w:val="005E3C23"/>
    <w:rsid w:val="005E46C1"/>
    <w:rsid w:val="005E5199"/>
    <w:rsid w:val="005F004B"/>
    <w:rsid w:val="005F23C6"/>
    <w:rsid w:val="005F30B9"/>
    <w:rsid w:val="005F4A30"/>
    <w:rsid w:val="005F5285"/>
    <w:rsid w:val="005F52A8"/>
    <w:rsid w:val="005F5B40"/>
    <w:rsid w:val="005F65D3"/>
    <w:rsid w:val="005F687C"/>
    <w:rsid w:val="005F68F0"/>
    <w:rsid w:val="005F70AF"/>
    <w:rsid w:val="005F7574"/>
    <w:rsid w:val="005F7734"/>
    <w:rsid w:val="005F7ECC"/>
    <w:rsid w:val="00600352"/>
    <w:rsid w:val="00601226"/>
    <w:rsid w:val="006028C0"/>
    <w:rsid w:val="00603B7C"/>
    <w:rsid w:val="00604469"/>
    <w:rsid w:val="006055B9"/>
    <w:rsid w:val="00605A39"/>
    <w:rsid w:val="00606503"/>
    <w:rsid w:val="006066D3"/>
    <w:rsid w:val="00606E8B"/>
    <w:rsid w:val="00610C9F"/>
    <w:rsid w:val="00610E7B"/>
    <w:rsid w:val="00610FA2"/>
    <w:rsid w:val="0061142F"/>
    <w:rsid w:val="00612D08"/>
    <w:rsid w:val="00614687"/>
    <w:rsid w:val="00616A32"/>
    <w:rsid w:val="00616A97"/>
    <w:rsid w:val="00616B04"/>
    <w:rsid w:val="0061723C"/>
    <w:rsid w:val="00620141"/>
    <w:rsid w:val="0062100B"/>
    <w:rsid w:val="00622224"/>
    <w:rsid w:val="00623FF9"/>
    <w:rsid w:val="00624DA9"/>
    <w:rsid w:val="00625128"/>
    <w:rsid w:val="00626A72"/>
    <w:rsid w:val="00627F36"/>
    <w:rsid w:val="00630255"/>
    <w:rsid w:val="00630C37"/>
    <w:rsid w:val="00631EF0"/>
    <w:rsid w:val="00632131"/>
    <w:rsid w:val="00632704"/>
    <w:rsid w:val="0063343B"/>
    <w:rsid w:val="006341D8"/>
    <w:rsid w:val="00634C10"/>
    <w:rsid w:val="00634CAB"/>
    <w:rsid w:val="00634D49"/>
    <w:rsid w:val="00634D57"/>
    <w:rsid w:val="0063572C"/>
    <w:rsid w:val="00641CF5"/>
    <w:rsid w:val="00642887"/>
    <w:rsid w:val="00643857"/>
    <w:rsid w:val="00643D24"/>
    <w:rsid w:val="00644411"/>
    <w:rsid w:val="00644D4D"/>
    <w:rsid w:val="00645B4D"/>
    <w:rsid w:val="00647065"/>
    <w:rsid w:val="006479D1"/>
    <w:rsid w:val="00647D85"/>
    <w:rsid w:val="006504F8"/>
    <w:rsid w:val="00651CB3"/>
    <w:rsid w:val="00651CF1"/>
    <w:rsid w:val="0065281B"/>
    <w:rsid w:val="00652A0A"/>
    <w:rsid w:val="00652D7D"/>
    <w:rsid w:val="00654B4A"/>
    <w:rsid w:val="006550A5"/>
    <w:rsid w:val="00655921"/>
    <w:rsid w:val="00656186"/>
    <w:rsid w:val="00656863"/>
    <w:rsid w:val="006571AF"/>
    <w:rsid w:val="00660287"/>
    <w:rsid w:val="00661D1B"/>
    <w:rsid w:val="006627AA"/>
    <w:rsid w:val="00662E4D"/>
    <w:rsid w:val="00662E5E"/>
    <w:rsid w:val="00662E91"/>
    <w:rsid w:val="00665705"/>
    <w:rsid w:val="00665B0C"/>
    <w:rsid w:val="00667650"/>
    <w:rsid w:val="006710FF"/>
    <w:rsid w:val="006712A1"/>
    <w:rsid w:val="006715A4"/>
    <w:rsid w:val="00672BC3"/>
    <w:rsid w:val="006732B2"/>
    <w:rsid w:val="00680928"/>
    <w:rsid w:val="00680A8E"/>
    <w:rsid w:val="00680F92"/>
    <w:rsid w:val="006819E0"/>
    <w:rsid w:val="006828FE"/>
    <w:rsid w:val="00683045"/>
    <w:rsid w:val="00683C64"/>
    <w:rsid w:val="00683F03"/>
    <w:rsid w:val="00684B5E"/>
    <w:rsid w:val="00684E14"/>
    <w:rsid w:val="00686740"/>
    <w:rsid w:val="0069004C"/>
    <w:rsid w:val="00690C94"/>
    <w:rsid w:val="00691AB6"/>
    <w:rsid w:val="00692EEE"/>
    <w:rsid w:val="00694217"/>
    <w:rsid w:val="00694CCA"/>
    <w:rsid w:val="00696D4A"/>
    <w:rsid w:val="0069734A"/>
    <w:rsid w:val="006A2E33"/>
    <w:rsid w:val="006A350D"/>
    <w:rsid w:val="006A3511"/>
    <w:rsid w:val="006A441C"/>
    <w:rsid w:val="006A4460"/>
    <w:rsid w:val="006B02A4"/>
    <w:rsid w:val="006B0552"/>
    <w:rsid w:val="006B06B0"/>
    <w:rsid w:val="006B11DC"/>
    <w:rsid w:val="006B1626"/>
    <w:rsid w:val="006B3829"/>
    <w:rsid w:val="006B5273"/>
    <w:rsid w:val="006B5834"/>
    <w:rsid w:val="006B6460"/>
    <w:rsid w:val="006C1276"/>
    <w:rsid w:val="006C492C"/>
    <w:rsid w:val="006C50DF"/>
    <w:rsid w:val="006C5435"/>
    <w:rsid w:val="006C6339"/>
    <w:rsid w:val="006C6A8C"/>
    <w:rsid w:val="006D0030"/>
    <w:rsid w:val="006D2510"/>
    <w:rsid w:val="006D3D60"/>
    <w:rsid w:val="006D43F8"/>
    <w:rsid w:val="006D6850"/>
    <w:rsid w:val="006E0D97"/>
    <w:rsid w:val="006E251C"/>
    <w:rsid w:val="006E3FA7"/>
    <w:rsid w:val="006E5271"/>
    <w:rsid w:val="006E5B64"/>
    <w:rsid w:val="006E649F"/>
    <w:rsid w:val="006E6F70"/>
    <w:rsid w:val="006E7080"/>
    <w:rsid w:val="006E7740"/>
    <w:rsid w:val="006E7818"/>
    <w:rsid w:val="006E7E0B"/>
    <w:rsid w:val="006F0242"/>
    <w:rsid w:val="006F02A8"/>
    <w:rsid w:val="006F183B"/>
    <w:rsid w:val="006F2472"/>
    <w:rsid w:val="006F3240"/>
    <w:rsid w:val="006F385A"/>
    <w:rsid w:val="006F387D"/>
    <w:rsid w:val="006F3A50"/>
    <w:rsid w:val="006F4155"/>
    <w:rsid w:val="006F437F"/>
    <w:rsid w:val="006F5420"/>
    <w:rsid w:val="006F5BA6"/>
    <w:rsid w:val="006F6B07"/>
    <w:rsid w:val="006F77DF"/>
    <w:rsid w:val="006F7BEA"/>
    <w:rsid w:val="00701597"/>
    <w:rsid w:val="00701F19"/>
    <w:rsid w:val="00703C21"/>
    <w:rsid w:val="00703EAD"/>
    <w:rsid w:val="007046CD"/>
    <w:rsid w:val="00705282"/>
    <w:rsid w:val="0070589A"/>
    <w:rsid w:val="007063C7"/>
    <w:rsid w:val="0071012E"/>
    <w:rsid w:val="00712165"/>
    <w:rsid w:val="00712487"/>
    <w:rsid w:val="00712AC8"/>
    <w:rsid w:val="00712E5D"/>
    <w:rsid w:val="00713792"/>
    <w:rsid w:val="0071403F"/>
    <w:rsid w:val="0071439E"/>
    <w:rsid w:val="0071443E"/>
    <w:rsid w:val="0071447E"/>
    <w:rsid w:val="00715EE7"/>
    <w:rsid w:val="00716104"/>
    <w:rsid w:val="0071689C"/>
    <w:rsid w:val="00720B82"/>
    <w:rsid w:val="00723883"/>
    <w:rsid w:val="0072458A"/>
    <w:rsid w:val="00724E09"/>
    <w:rsid w:val="007254CA"/>
    <w:rsid w:val="00725526"/>
    <w:rsid w:val="007258EF"/>
    <w:rsid w:val="00725DD7"/>
    <w:rsid w:val="00727841"/>
    <w:rsid w:val="00727B89"/>
    <w:rsid w:val="00734A91"/>
    <w:rsid w:val="00735229"/>
    <w:rsid w:val="007355D5"/>
    <w:rsid w:val="007400AE"/>
    <w:rsid w:val="0074136E"/>
    <w:rsid w:val="00741999"/>
    <w:rsid w:val="00743EC4"/>
    <w:rsid w:val="007456C0"/>
    <w:rsid w:val="00745805"/>
    <w:rsid w:val="00746876"/>
    <w:rsid w:val="00747B1C"/>
    <w:rsid w:val="00750161"/>
    <w:rsid w:val="007507AF"/>
    <w:rsid w:val="00750CFE"/>
    <w:rsid w:val="007513F9"/>
    <w:rsid w:val="007532CF"/>
    <w:rsid w:val="0075379B"/>
    <w:rsid w:val="00753DC1"/>
    <w:rsid w:val="00754705"/>
    <w:rsid w:val="007552F5"/>
    <w:rsid w:val="00755A92"/>
    <w:rsid w:val="007571E3"/>
    <w:rsid w:val="007573F3"/>
    <w:rsid w:val="007609FD"/>
    <w:rsid w:val="0076264B"/>
    <w:rsid w:val="007636E4"/>
    <w:rsid w:val="00764B8E"/>
    <w:rsid w:val="0076594B"/>
    <w:rsid w:val="00765FAB"/>
    <w:rsid w:val="0076781C"/>
    <w:rsid w:val="007707DF"/>
    <w:rsid w:val="00770935"/>
    <w:rsid w:val="00770FEE"/>
    <w:rsid w:val="00771E19"/>
    <w:rsid w:val="00773451"/>
    <w:rsid w:val="007737F4"/>
    <w:rsid w:val="00774D92"/>
    <w:rsid w:val="00776148"/>
    <w:rsid w:val="00776DA1"/>
    <w:rsid w:val="007803E2"/>
    <w:rsid w:val="00781805"/>
    <w:rsid w:val="0078189B"/>
    <w:rsid w:val="00783C19"/>
    <w:rsid w:val="007842DB"/>
    <w:rsid w:val="0078594D"/>
    <w:rsid w:val="00787098"/>
    <w:rsid w:val="00787671"/>
    <w:rsid w:val="0078767A"/>
    <w:rsid w:val="00790886"/>
    <w:rsid w:val="00790A6A"/>
    <w:rsid w:val="00790B56"/>
    <w:rsid w:val="00791777"/>
    <w:rsid w:val="007917F7"/>
    <w:rsid w:val="00791ECC"/>
    <w:rsid w:val="00793920"/>
    <w:rsid w:val="00793BD6"/>
    <w:rsid w:val="00793FF6"/>
    <w:rsid w:val="0079487A"/>
    <w:rsid w:val="00795FB6"/>
    <w:rsid w:val="007960D4"/>
    <w:rsid w:val="007A0F92"/>
    <w:rsid w:val="007A1C6D"/>
    <w:rsid w:val="007A2936"/>
    <w:rsid w:val="007A4253"/>
    <w:rsid w:val="007A4311"/>
    <w:rsid w:val="007A45B3"/>
    <w:rsid w:val="007A5895"/>
    <w:rsid w:val="007A5B7B"/>
    <w:rsid w:val="007A6902"/>
    <w:rsid w:val="007A7CFF"/>
    <w:rsid w:val="007A7D6B"/>
    <w:rsid w:val="007B19F9"/>
    <w:rsid w:val="007B1FEC"/>
    <w:rsid w:val="007B2183"/>
    <w:rsid w:val="007B31AE"/>
    <w:rsid w:val="007B36C5"/>
    <w:rsid w:val="007B45C9"/>
    <w:rsid w:val="007B51AB"/>
    <w:rsid w:val="007B67E2"/>
    <w:rsid w:val="007B72BD"/>
    <w:rsid w:val="007B74CA"/>
    <w:rsid w:val="007C0405"/>
    <w:rsid w:val="007C1497"/>
    <w:rsid w:val="007C4762"/>
    <w:rsid w:val="007C4D39"/>
    <w:rsid w:val="007C4F88"/>
    <w:rsid w:val="007C57EE"/>
    <w:rsid w:val="007C5C08"/>
    <w:rsid w:val="007C656E"/>
    <w:rsid w:val="007C6735"/>
    <w:rsid w:val="007C7574"/>
    <w:rsid w:val="007D059A"/>
    <w:rsid w:val="007D05CE"/>
    <w:rsid w:val="007D12E1"/>
    <w:rsid w:val="007D20D7"/>
    <w:rsid w:val="007D3981"/>
    <w:rsid w:val="007D43EB"/>
    <w:rsid w:val="007D51EF"/>
    <w:rsid w:val="007D6E07"/>
    <w:rsid w:val="007D6F0C"/>
    <w:rsid w:val="007D7645"/>
    <w:rsid w:val="007D7F8B"/>
    <w:rsid w:val="007E1151"/>
    <w:rsid w:val="007E3926"/>
    <w:rsid w:val="007E3CCE"/>
    <w:rsid w:val="007E3DC9"/>
    <w:rsid w:val="007E565E"/>
    <w:rsid w:val="007E571A"/>
    <w:rsid w:val="007E6D11"/>
    <w:rsid w:val="007E726C"/>
    <w:rsid w:val="007F13E5"/>
    <w:rsid w:val="007F22B2"/>
    <w:rsid w:val="007F2690"/>
    <w:rsid w:val="007F2C65"/>
    <w:rsid w:val="007F322D"/>
    <w:rsid w:val="007F3E88"/>
    <w:rsid w:val="007F4F5F"/>
    <w:rsid w:val="007F6CD4"/>
    <w:rsid w:val="007F76E6"/>
    <w:rsid w:val="007F7D61"/>
    <w:rsid w:val="00800333"/>
    <w:rsid w:val="00802023"/>
    <w:rsid w:val="00802717"/>
    <w:rsid w:val="0080332C"/>
    <w:rsid w:val="008036E1"/>
    <w:rsid w:val="00805F7A"/>
    <w:rsid w:val="00807826"/>
    <w:rsid w:val="00807D80"/>
    <w:rsid w:val="008110EF"/>
    <w:rsid w:val="0081116F"/>
    <w:rsid w:val="0081281B"/>
    <w:rsid w:val="008136E2"/>
    <w:rsid w:val="00816A18"/>
    <w:rsid w:val="00817567"/>
    <w:rsid w:val="00820D88"/>
    <w:rsid w:val="00820E39"/>
    <w:rsid w:val="00822313"/>
    <w:rsid w:val="00823C81"/>
    <w:rsid w:val="00824F87"/>
    <w:rsid w:val="008255EC"/>
    <w:rsid w:val="00826898"/>
    <w:rsid w:val="008279F6"/>
    <w:rsid w:val="00830B97"/>
    <w:rsid w:val="00832C9D"/>
    <w:rsid w:val="00832DE7"/>
    <w:rsid w:val="00833F4D"/>
    <w:rsid w:val="0083425A"/>
    <w:rsid w:val="00835C59"/>
    <w:rsid w:val="00835ED5"/>
    <w:rsid w:val="00840C92"/>
    <w:rsid w:val="00841091"/>
    <w:rsid w:val="00841AC6"/>
    <w:rsid w:val="008430B9"/>
    <w:rsid w:val="0084368B"/>
    <w:rsid w:val="00844733"/>
    <w:rsid w:val="00844A88"/>
    <w:rsid w:val="00844CFC"/>
    <w:rsid w:val="0084563D"/>
    <w:rsid w:val="00851199"/>
    <w:rsid w:val="00852DFE"/>
    <w:rsid w:val="008537B6"/>
    <w:rsid w:val="0085469B"/>
    <w:rsid w:val="00854ADD"/>
    <w:rsid w:val="008557C5"/>
    <w:rsid w:val="00856C9A"/>
    <w:rsid w:val="00856F7D"/>
    <w:rsid w:val="008629A3"/>
    <w:rsid w:val="00865211"/>
    <w:rsid w:val="00865EBF"/>
    <w:rsid w:val="0086632B"/>
    <w:rsid w:val="00866667"/>
    <w:rsid w:val="00866BDC"/>
    <w:rsid w:val="00866CD5"/>
    <w:rsid w:val="008670BC"/>
    <w:rsid w:val="00871053"/>
    <w:rsid w:val="00872DCA"/>
    <w:rsid w:val="0087328B"/>
    <w:rsid w:val="00873401"/>
    <w:rsid w:val="008743EC"/>
    <w:rsid w:val="00875232"/>
    <w:rsid w:val="00875A29"/>
    <w:rsid w:val="00876331"/>
    <w:rsid w:val="00877F12"/>
    <w:rsid w:val="008803B5"/>
    <w:rsid w:val="008822DD"/>
    <w:rsid w:val="00882C62"/>
    <w:rsid w:val="00884FAD"/>
    <w:rsid w:val="00885B5D"/>
    <w:rsid w:val="00886379"/>
    <w:rsid w:val="00887243"/>
    <w:rsid w:val="008901BA"/>
    <w:rsid w:val="00890F81"/>
    <w:rsid w:val="00891451"/>
    <w:rsid w:val="00894065"/>
    <w:rsid w:val="0089563A"/>
    <w:rsid w:val="00896848"/>
    <w:rsid w:val="008A1411"/>
    <w:rsid w:val="008A2651"/>
    <w:rsid w:val="008A3708"/>
    <w:rsid w:val="008A4921"/>
    <w:rsid w:val="008A7591"/>
    <w:rsid w:val="008B0DD7"/>
    <w:rsid w:val="008B4499"/>
    <w:rsid w:val="008B575F"/>
    <w:rsid w:val="008B6453"/>
    <w:rsid w:val="008C0BA9"/>
    <w:rsid w:val="008C0CFC"/>
    <w:rsid w:val="008C1F45"/>
    <w:rsid w:val="008C3D56"/>
    <w:rsid w:val="008C4153"/>
    <w:rsid w:val="008C5C74"/>
    <w:rsid w:val="008C6718"/>
    <w:rsid w:val="008C6AAC"/>
    <w:rsid w:val="008C7272"/>
    <w:rsid w:val="008C7370"/>
    <w:rsid w:val="008C7D35"/>
    <w:rsid w:val="008C7D74"/>
    <w:rsid w:val="008D0BFF"/>
    <w:rsid w:val="008D48F1"/>
    <w:rsid w:val="008D5645"/>
    <w:rsid w:val="008D5CA8"/>
    <w:rsid w:val="008D5E9C"/>
    <w:rsid w:val="008D74D2"/>
    <w:rsid w:val="008D7C16"/>
    <w:rsid w:val="008E12E4"/>
    <w:rsid w:val="008E1729"/>
    <w:rsid w:val="008E2384"/>
    <w:rsid w:val="008E4612"/>
    <w:rsid w:val="008E5B77"/>
    <w:rsid w:val="008E65FA"/>
    <w:rsid w:val="008E662A"/>
    <w:rsid w:val="008E6DB4"/>
    <w:rsid w:val="008E7AF8"/>
    <w:rsid w:val="008F221D"/>
    <w:rsid w:val="008F3651"/>
    <w:rsid w:val="008F584C"/>
    <w:rsid w:val="008F5971"/>
    <w:rsid w:val="008F5C86"/>
    <w:rsid w:val="008F6F62"/>
    <w:rsid w:val="00902BBD"/>
    <w:rsid w:val="00902DE1"/>
    <w:rsid w:val="009055D9"/>
    <w:rsid w:val="00905929"/>
    <w:rsid w:val="00905D0A"/>
    <w:rsid w:val="009067C2"/>
    <w:rsid w:val="009068A3"/>
    <w:rsid w:val="00906950"/>
    <w:rsid w:val="00906FD0"/>
    <w:rsid w:val="00907DB9"/>
    <w:rsid w:val="00910A9E"/>
    <w:rsid w:val="00911AFA"/>
    <w:rsid w:val="00911DD1"/>
    <w:rsid w:val="0091223B"/>
    <w:rsid w:val="00913C05"/>
    <w:rsid w:val="00913EFF"/>
    <w:rsid w:val="0091501B"/>
    <w:rsid w:val="00915AF7"/>
    <w:rsid w:val="00915E2A"/>
    <w:rsid w:val="00916896"/>
    <w:rsid w:val="00921A9C"/>
    <w:rsid w:val="00921DB9"/>
    <w:rsid w:val="00922451"/>
    <w:rsid w:val="00924DC8"/>
    <w:rsid w:val="0092616B"/>
    <w:rsid w:val="009326BD"/>
    <w:rsid w:val="00932711"/>
    <w:rsid w:val="00933DF2"/>
    <w:rsid w:val="00934F9F"/>
    <w:rsid w:val="00936647"/>
    <w:rsid w:val="00937189"/>
    <w:rsid w:val="00937821"/>
    <w:rsid w:val="00942838"/>
    <w:rsid w:val="0094320A"/>
    <w:rsid w:val="0094536F"/>
    <w:rsid w:val="009501A6"/>
    <w:rsid w:val="009505CE"/>
    <w:rsid w:val="009516AD"/>
    <w:rsid w:val="00951C3B"/>
    <w:rsid w:val="0095331C"/>
    <w:rsid w:val="00953901"/>
    <w:rsid w:val="009546E9"/>
    <w:rsid w:val="0095582F"/>
    <w:rsid w:val="009564C1"/>
    <w:rsid w:val="009566BD"/>
    <w:rsid w:val="00956CD4"/>
    <w:rsid w:val="00957074"/>
    <w:rsid w:val="0095763D"/>
    <w:rsid w:val="00957F8C"/>
    <w:rsid w:val="0096019E"/>
    <w:rsid w:val="00961141"/>
    <w:rsid w:val="00963CC9"/>
    <w:rsid w:val="00967C9C"/>
    <w:rsid w:val="00967D02"/>
    <w:rsid w:val="009705AB"/>
    <w:rsid w:val="00970D99"/>
    <w:rsid w:val="00971967"/>
    <w:rsid w:val="00971B29"/>
    <w:rsid w:val="00972AB0"/>
    <w:rsid w:val="009736FB"/>
    <w:rsid w:val="009753A7"/>
    <w:rsid w:val="00975B0A"/>
    <w:rsid w:val="00975FD8"/>
    <w:rsid w:val="00976002"/>
    <w:rsid w:val="009769CA"/>
    <w:rsid w:val="00977411"/>
    <w:rsid w:val="009775E1"/>
    <w:rsid w:val="009778AD"/>
    <w:rsid w:val="00980491"/>
    <w:rsid w:val="009809A7"/>
    <w:rsid w:val="009817CE"/>
    <w:rsid w:val="00981D10"/>
    <w:rsid w:val="00982049"/>
    <w:rsid w:val="00983139"/>
    <w:rsid w:val="00983FCE"/>
    <w:rsid w:val="00985A08"/>
    <w:rsid w:val="00985DAB"/>
    <w:rsid w:val="009862B4"/>
    <w:rsid w:val="00990D8A"/>
    <w:rsid w:val="00991326"/>
    <w:rsid w:val="0099260A"/>
    <w:rsid w:val="009929AE"/>
    <w:rsid w:val="00993B21"/>
    <w:rsid w:val="00994D1C"/>
    <w:rsid w:val="00994D44"/>
    <w:rsid w:val="00995FF0"/>
    <w:rsid w:val="00997E35"/>
    <w:rsid w:val="009A0329"/>
    <w:rsid w:val="009A286C"/>
    <w:rsid w:val="009A2F2B"/>
    <w:rsid w:val="009A480D"/>
    <w:rsid w:val="009A4D1B"/>
    <w:rsid w:val="009A5B71"/>
    <w:rsid w:val="009A6976"/>
    <w:rsid w:val="009A69C1"/>
    <w:rsid w:val="009B0EF3"/>
    <w:rsid w:val="009B18CE"/>
    <w:rsid w:val="009B3605"/>
    <w:rsid w:val="009B6221"/>
    <w:rsid w:val="009B6343"/>
    <w:rsid w:val="009B7C90"/>
    <w:rsid w:val="009C0463"/>
    <w:rsid w:val="009C0A54"/>
    <w:rsid w:val="009C1B69"/>
    <w:rsid w:val="009C255D"/>
    <w:rsid w:val="009C2EA8"/>
    <w:rsid w:val="009C709C"/>
    <w:rsid w:val="009D1FC9"/>
    <w:rsid w:val="009D2312"/>
    <w:rsid w:val="009D2E9F"/>
    <w:rsid w:val="009D303C"/>
    <w:rsid w:val="009D4273"/>
    <w:rsid w:val="009D541A"/>
    <w:rsid w:val="009D590C"/>
    <w:rsid w:val="009D5949"/>
    <w:rsid w:val="009D5D5C"/>
    <w:rsid w:val="009D5FCE"/>
    <w:rsid w:val="009D6FF5"/>
    <w:rsid w:val="009D7140"/>
    <w:rsid w:val="009D71D8"/>
    <w:rsid w:val="009E18FA"/>
    <w:rsid w:val="009E2B8A"/>
    <w:rsid w:val="009E2C4F"/>
    <w:rsid w:val="009E39D7"/>
    <w:rsid w:val="009E7D6F"/>
    <w:rsid w:val="009F0552"/>
    <w:rsid w:val="009F067B"/>
    <w:rsid w:val="009F113C"/>
    <w:rsid w:val="009F175A"/>
    <w:rsid w:val="009F22DF"/>
    <w:rsid w:val="009F4902"/>
    <w:rsid w:val="009F4C78"/>
    <w:rsid w:val="009F556F"/>
    <w:rsid w:val="009F5618"/>
    <w:rsid w:val="009F6101"/>
    <w:rsid w:val="009F6F07"/>
    <w:rsid w:val="009F728D"/>
    <w:rsid w:val="009F7C54"/>
    <w:rsid w:val="00A00BD6"/>
    <w:rsid w:val="00A00D1B"/>
    <w:rsid w:val="00A00E00"/>
    <w:rsid w:val="00A00E77"/>
    <w:rsid w:val="00A018BF"/>
    <w:rsid w:val="00A02389"/>
    <w:rsid w:val="00A026FF"/>
    <w:rsid w:val="00A066F8"/>
    <w:rsid w:val="00A07B10"/>
    <w:rsid w:val="00A1031E"/>
    <w:rsid w:val="00A107EC"/>
    <w:rsid w:val="00A10D53"/>
    <w:rsid w:val="00A11FF6"/>
    <w:rsid w:val="00A142F6"/>
    <w:rsid w:val="00A14B3A"/>
    <w:rsid w:val="00A1509E"/>
    <w:rsid w:val="00A153EA"/>
    <w:rsid w:val="00A160F2"/>
    <w:rsid w:val="00A172DA"/>
    <w:rsid w:val="00A1748F"/>
    <w:rsid w:val="00A216B2"/>
    <w:rsid w:val="00A22C3E"/>
    <w:rsid w:val="00A23C0B"/>
    <w:rsid w:val="00A23C29"/>
    <w:rsid w:val="00A24822"/>
    <w:rsid w:val="00A255EA"/>
    <w:rsid w:val="00A25796"/>
    <w:rsid w:val="00A305EF"/>
    <w:rsid w:val="00A30F44"/>
    <w:rsid w:val="00A31892"/>
    <w:rsid w:val="00A3190F"/>
    <w:rsid w:val="00A319CB"/>
    <w:rsid w:val="00A32E42"/>
    <w:rsid w:val="00A33473"/>
    <w:rsid w:val="00A37630"/>
    <w:rsid w:val="00A413ED"/>
    <w:rsid w:val="00A4383E"/>
    <w:rsid w:val="00A43EC9"/>
    <w:rsid w:val="00A444B0"/>
    <w:rsid w:val="00A45224"/>
    <w:rsid w:val="00A45A84"/>
    <w:rsid w:val="00A47DE9"/>
    <w:rsid w:val="00A51310"/>
    <w:rsid w:val="00A51347"/>
    <w:rsid w:val="00A51488"/>
    <w:rsid w:val="00A518C3"/>
    <w:rsid w:val="00A52B4A"/>
    <w:rsid w:val="00A54731"/>
    <w:rsid w:val="00A55067"/>
    <w:rsid w:val="00A550DA"/>
    <w:rsid w:val="00A55E61"/>
    <w:rsid w:val="00A56145"/>
    <w:rsid w:val="00A56AF7"/>
    <w:rsid w:val="00A60786"/>
    <w:rsid w:val="00A60D41"/>
    <w:rsid w:val="00A615E3"/>
    <w:rsid w:val="00A61C58"/>
    <w:rsid w:val="00A63C80"/>
    <w:rsid w:val="00A6446D"/>
    <w:rsid w:val="00A6531E"/>
    <w:rsid w:val="00A659A6"/>
    <w:rsid w:val="00A71317"/>
    <w:rsid w:val="00A7166F"/>
    <w:rsid w:val="00A7259E"/>
    <w:rsid w:val="00A72756"/>
    <w:rsid w:val="00A72B81"/>
    <w:rsid w:val="00A738FE"/>
    <w:rsid w:val="00A73F66"/>
    <w:rsid w:val="00A74C39"/>
    <w:rsid w:val="00A74E0B"/>
    <w:rsid w:val="00A754F0"/>
    <w:rsid w:val="00A75B0B"/>
    <w:rsid w:val="00A77300"/>
    <w:rsid w:val="00A77EAC"/>
    <w:rsid w:val="00A84852"/>
    <w:rsid w:val="00A84D51"/>
    <w:rsid w:val="00A85D8F"/>
    <w:rsid w:val="00A86198"/>
    <w:rsid w:val="00A86405"/>
    <w:rsid w:val="00A872D4"/>
    <w:rsid w:val="00A900DC"/>
    <w:rsid w:val="00A90646"/>
    <w:rsid w:val="00A9067E"/>
    <w:rsid w:val="00A90BD8"/>
    <w:rsid w:val="00A92CFE"/>
    <w:rsid w:val="00A93F82"/>
    <w:rsid w:val="00A96866"/>
    <w:rsid w:val="00A96FC8"/>
    <w:rsid w:val="00A97525"/>
    <w:rsid w:val="00A97CB3"/>
    <w:rsid w:val="00AA011F"/>
    <w:rsid w:val="00AA0B78"/>
    <w:rsid w:val="00AA152C"/>
    <w:rsid w:val="00AA3BA3"/>
    <w:rsid w:val="00AA42EC"/>
    <w:rsid w:val="00AA4626"/>
    <w:rsid w:val="00AA61E8"/>
    <w:rsid w:val="00AA6FAB"/>
    <w:rsid w:val="00AA74C3"/>
    <w:rsid w:val="00AA7812"/>
    <w:rsid w:val="00AA7FE0"/>
    <w:rsid w:val="00AB0AEB"/>
    <w:rsid w:val="00AB13AD"/>
    <w:rsid w:val="00AB19DF"/>
    <w:rsid w:val="00AB28F2"/>
    <w:rsid w:val="00AB33EB"/>
    <w:rsid w:val="00AB64F0"/>
    <w:rsid w:val="00AB65FF"/>
    <w:rsid w:val="00AB7159"/>
    <w:rsid w:val="00AB7E2E"/>
    <w:rsid w:val="00AC0908"/>
    <w:rsid w:val="00AC1607"/>
    <w:rsid w:val="00AC1678"/>
    <w:rsid w:val="00AC1A6E"/>
    <w:rsid w:val="00AC23B6"/>
    <w:rsid w:val="00AC266D"/>
    <w:rsid w:val="00AC26EA"/>
    <w:rsid w:val="00AC3462"/>
    <w:rsid w:val="00AC3D35"/>
    <w:rsid w:val="00AC4DC6"/>
    <w:rsid w:val="00AC58DD"/>
    <w:rsid w:val="00AC740E"/>
    <w:rsid w:val="00AC7E96"/>
    <w:rsid w:val="00AD0FE2"/>
    <w:rsid w:val="00AD11F0"/>
    <w:rsid w:val="00AD2677"/>
    <w:rsid w:val="00AD37DF"/>
    <w:rsid w:val="00AD3AFB"/>
    <w:rsid w:val="00AD6177"/>
    <w:rsid w:val="00AD6B2C"/>
    <w:rsid w:val="00AD7549"/>
    <w:rsid w:val="00AE017E"/>
    <w:rsid w:val="00AE1C79"/>
    <w:rsid w:val="00AE4212"/>
    <w:rsid w:val="00AE4763"/>
    <w:rsid w:val="00AE52D1"/>
    <w:rsid w:val="00AE5C33"/>
    <w:rsid w:val="00AE5D3C"/>
    <w:rsid w:val="00AE6BB1"/>
    <w:rsid w:val="00AE6D11"/>
    <w:rsid w:val="00AF127F"/>
    <w:rsid w:val="00AF1B87"/>
    <w:rsid w:val="00AF2301"/>
    <w:rsid w:val="00AF26EA"/>
    <w:rsid w:val="00AF2F6F"/>
    <w:rsid w:val="00AF6F47"/>
    <w:rsid w:val="00AF77D3"/>
    <w:rsid w:val="00B00C70"/>
    <w:rsid w:val="00B013EB"/>
    <w:rsid w:val="00B022E8"/>
    <w:rsid w:val="00B02FE4"/>
    <w:rsid w:val="00B03F50"/>
    <w:rsid w:val="00B11042"/>
    <w:rsid w:val="00B1183E"/>
    <w:rsid w:val="00B1211B"/>
    <w:rsid w:val="00B14DF7"/>
    <w:rsid w:val="00B16865"/>
    <w:rsid w:val="00B16895"/>
    <w:rsid w:val="00B172AD"/>
    <w:rsid w:val="00B21259"/>
    <w:rsid w:val="00B2195C"/>
    <w:rsid w:val="00B22556"/>
    <w:rsid w:val="00B238C2"/>
    <w:rsid w:val="00B23E8E"/>
    <w:rsid w:val="00B24DBB"/>
    <w:rsid w:val="00B24E8F"/>
    <w:rsid w:val="00B2574D"/>
    <w:rsid w:val="00B25B73"/>
    <w:rsid w:val="00B319DC"/>
    <w:rsid w:val="00B31FEB"/>
    <w:rsid w:val="00B33536"/>
    <w:rsid w:val="00B339B9"/>
    <w:rsid w:val="00B34A96"/>
    <w:rsid w:val="00B34B73"/>
    <w:rsid w:val="00B370F0"/>
    <w:rsid w:val="00B37A15"/>
    <w:rsid w:val="00B42529"/>
    <w:rsid w:val="00B43105"/>
    <w:rsid w:val="00B45943"/>
    <w:rsid w:val="00B468F4"/>
    <w:rsid w:val="00B46DC3"/>
    <w:rsid w:val="00B47077"/>
    <w:rsid w:val="00B470EB"/>
    <w:rsid w:val="00B47549"/>
    <w:rsid w:val="00B50926"/>
    <w:rsid w:val="00B520AB"/>
    <w:rsid w:val="00B52AC4"/>
    <w:rsid w:val="00B57480"/>
    <w:rsid w:val="00B57744"/>
    <w:rsid w:val="00B579C1"/>
    <w:rsid w:val="00B60237"/>
    <w:rsid w:val="00B61EC1"/>
    <w:rsid w:val="00B625D0"/>
    <w:rsid w:val="00B62D59"/>
    <w:rsid w:val="00B63044"/>
    <w:rsid w:val="00B637F7"/>
    <w:rsid w:val="00B63F3F"/>
    <w:rsid w:val="00B64666"/>
    <w:rsid w:val="00B65F68"/>
    <w:rsid w:val="00B67F36"/>
    <w:rsid w:val="00B7054C"/>
    <w:rsid w:val="00B709C5"/>
    <w:rsid w:val="00B7207E"/>
    <w:rsid w:val="00B72811"/>
    <w:rsid w:val="00B76C50"/>
    <w:rsid w:val="00B77E88"/>
    <w:rsid w:val="00B80493"/>
    <w:rsid w:val="00B80ABF"/>
    <w:rsid w:val="00B8101E"/>
    <w:rsid w:val="00B8205A"/>
    <w:rsid w:val="00B860D8"/>
    <w:rsid w:val="00B86698"/>
    <w:rsid w:val="00B90441"/>
    <w:rsid w:val="00B909A4"/>
    <w:rsid w:val="00B90D4F"/>
    <w:rsid w:val="00B9241A"/>
    <w:rsid w:val="00B92803"/>
    <w:rsid w:val="00B92B7B"/>
    <w:rsid w:val="00B93997"/>
    <w:rsid w:val="00B96538"/>
    <w:rsid w:val="00B966E2"/>
    <w:rsid w:val="00B97774"/>
    <w:rsid w:val="00BA196B"/>
    <w:rsid w:val="00BA39A4"/>
    <w:rsid w:val="00BA3AEE"/>
    <w:rsid w:val="00BA757B"/>
    <w:rsid w:val="00BA7BF2"/>
    <w:rsid w:val="00BB437D"/>
    <w:rsid w:val="00BB6069"/>
    <w:rsid w:val="00BB632B"/>
    <w:rsid w:val="00BB794F"/>
    <w:rsid w:val="00BB7D5E"/>
    <w:rsid w:val="00BC2CDF"/>
    <w:rsid w:val="00BC31A2"/>
    <w:rsid w:val="00BC3210"/>
    <w:rsid w:val="00BC5800"/>
    <w:rsid w:val="00BC58B3"/>
    <w:rsid w:val="00BC6309"/>
    <w:rsid w:val="00BC64E9"/>
    <w:rsid w:val="00BC730C"/>
    <w:rsid w:val="00BD1D3B"/>
    <w:rsid w:val="00BD20AB"/>
    <w:rsid w:val="00BD2DB1"/>
    <w:rsid w:val="00BD3273"/>
    <w:rsid w:val="00BD3A07"/>
    <w:rsid w:val="00BD7077"/>
    <w:rsid w:val="00BD7BA6"/>
    <w:rsid w:val="00BE08D3"/>
    <w:rsid w:val="00BE3CDB"/>
    <w:rsid w:val="00BE47FE"/>
    <w:rsid w:val="00BE567D"/>
    <w:rsid w:val="00BE7E43"/>
    <w:rsid w:val="00BF046D"/>
    <w:rsid w:val="00BF0E49"/>
    <w:rsid w:val="00BF17DA"/>
    <w:rsid w:val="00BF22A4"/>
    <w:rsid w:val="00BF2438"/>
    <w:rsid w:val="00BF38C7"/>
    <w:rsid w:val="00BF3D49"/>
    <w:rsid w:val="00BF5F6C"/>
    <w:rsid w:val="00BF647A"/>
    <w:rsid w:val="00C00103"/>
    <w:rsid w:val="00C00466"/>
    <w:rsid w:val="00C00538"/>
    <w:rsid w:val="00C02386"/>
    <w:rsid w:val="00C0373B"/>
    <w:rsid w:val="00C0402E"/>
    <w:rsid w:val="00C044BD"/>
    <w:rsid w:val="00C05CD2"/>
    <w:rsid w:val="00C061D4"/>
    <w:rsid w:val="00C06655"/>
    <w:rsid w:val="00C07C83"/>
    <w:rsid w:val="00C07E8A"/>
    <w:rsid w:val="00C11146"/>
    <w:rsid w:val="00C11601"/>
    <w:rsid w:val="00C12C2E"/>
    <w:rsid w:val="00C12FDF"/>
    <w:rsid w:val="00C134EE"/>
    <w:rsid w:val="00C173A9"/>
    <w:rsid w:val="00C207F2"/>
    <w:rsid w:val="00C208A1"/>
    <w:rsid w:val="00C20DB6"/>
    <w:rsid w:val="00C23918"/>
    <w:rsid w:val="00C248FB"/>
    <w:rsid w:val="00C272BF"/>
    <w:rsid w:val="00C27933"/>
    <w:rsid w:val="00C30091"/>
    <w:rsid w:val="00C30263"/>
    <w:rsid w:val="00C30AB6"/>
    <w:rsid w:val="00C312EB"/>
    <w:rsid w:val="00C31D7E"/>
    <w:rsid w:val="00C32AC9"/>
    <w:rsid w:val="00C32FC0"/>
    <w:rsid w:val="00C33574"/>
    <w:rsid w:val="00C336D4"/>
    <w:rsid w:val="00C337A6"/>
    <w:rsid w:val="00C34106"/>
    <w:rsid w:val="00C341C4"/>
    <w:rsid w:val="00C34D2F"/>
    <w:rsid w:val="00C35275"/>
    <w:rsid w:val="00C370EA"/>
    <w:rsid w:val="00C40A64"/>
    <w:rsid w:val="00C40C17"/>
    <w:rsid w:val="00C40C9B"/>
    <w:rsid w:val="00C4222E"/>
    <w:rsid w:val="00C42420"/>
    <w:rsid w:val="00C42F97"/>
    <w:rsid w:val="00C447D2"/>
    <w:rsid w:val="00C44E25"/>
    <w:rsid w:val="00C45419"/>
    <w:rsid w:val="00C51693"/>
    <w:rsid w:val="00C51828"/>
    <w:rsid w:val="00C51B6D"/>
    <w:rsid w:val="00C54994"/>
    <w:rsid w:val="00C54B32"/>
    <w:rsid w:val="00C560AC"/>
    <w:rsid w:val="00C56D06"/>
    <w:rsid w:val="00C6069E"/>
    <w:rsid w:val="00C6120E"/>
    <w:rsid w:val="00C61876"/>
    <w:rsid w:val="00C64146"/>
    <w:rsid w:val="00C6425E"/>
    <w:rsid w:val="00C6436C"/>
    <w:rsid w:val="00C677DA"/>
    <w:rsid w:val="00C7009D"/>
    <w:rsid w:val="00C71684"/>
    <w:rsid w:val="00C71C32"/>
    <w:rsid w:val="00C731E5"/>
    <w:rsid w:val="00C74D38"/>
    <w:rsid w:val="00C77C93"/>
    <w:rsid w:val="00C800BF"/>
    <w:rsid w:val="00C80992"/>
    <w:rsid w:val="00C83460"/>
    <w:rsid w:val="00C85FF0"/>
    <w:rsid w:val="00C8729C"/>
    <w:rsid w:val="00C93B47"/>
    <w:rsid w:val="00C954D3"/>
    <w:rsid w:val="00CA133B"/>
    <w:rsid w:val="00CA1D03"/>
    <w:rsid w:val="00CA1D71"/>
    <w:rsid w:val="00CA21A8"/>
    <w:rsid w:val="00CA2904"/>
    <w:rsid w:val="00CA3E79"/>
    <w:rsid w:val="00CA45E9"/>
    <w:rsid w:val="00CA5B3C"/>
    <w:rsid w:val="00CA7CDC"/>
    <w:rsid w:val="00CB2C5D"/>
    <w:rsid w:val="00CB2E0E"/>
    <w:rsid w:val="00CB2F3A"/>
    <w:rsid w:val="00CB3D44"/>
    <w:rsid w:val="00CB62A8"/>
    <w:rsid w:val="00CB66D3"/>
    <w:rsid w:val="00CB69E2"/>
    <w:rsid w:val="00CB7374"/>
    <w:rsid w:val="00CB7EC0"/>
    <w:rsid w:val="00CC0398"/>
    <w:rsid w:val="00CC28E3"/>
    <w:rsid w:val="00CC2EE7"/>
    <w:rsid w:val="00CC53F8"/>
    <w:rsid w:val="00CC5B44"/>
    <w:rsid w:val="00CC61ED"/>
    <w:rsid w:val="00CC6EC6"/>
    <w:rsid w:val="00CC6F24"/>
    <w:rsid w:val="00CD0711"/>
    <w:rsid w:val="00CD1664"/>
    <w:rsid w:val="00CD17A1"/>
    <w:rsid w:val="00CD4992"/>
    <w:rsid w:val="00CD4C3B"/>
    <w:rsid w:val="00CD4FEA"/>
    <w:rsid w:val="00CD50D7"/>
    <w:rsid w:val="00CD620C"/>
    <w:rsid w:val="00CD70F5"/>
    <w:rsid w:val="00CD74B7"/>
    <w:rsid w:val="00CE070B"/>
    <w:rsid w:val="00CE08B6"/>
    <w:rsid w:val="00CE14B9"/>
    <w:rsid w:val="00CE3B10"/>
    <w:rsid w:val="00CE412E"/>
    <w:rsid w:val="00CE41D7"/>
    <w:rsid w:val="00CE4BEE"/>
    <w:rsid w:val="00CE5096"/>
    <w:rsid w:val="00CE5C6B"/>
    <w:rsid w:val="00CE5FA3"/>
    <w:rsid w:val="00CE6680"/>
    <w:rsid w:val="00CF04B4"/>
    <w:rsid w:val="00CF0595"/>
    <w:rsid w:val="00CF0BF7"/>
    <w:rsid w:val="00CF0D6D"/>
    <w:rsid w:val="00CF2328"/>
    <w:rsid w:val="00CF4155"/>
    <w:rsid w:val="00CF5719"/>
    <w:rsid w:val="00CF74B2"/>
    <w:rsid w:val="00D008F6"/>
    <w:rsid w:val="00D01FB2"/>
    <w:rsid w:val="00D02474"/>
    <w:rsid w:val="00D025F1"/>
    <w:rsid w:val="00D0347C"/>
    <w:rsid w:val="00D059FA"/>
    <w:rsid w:val="00D070DA"/>
    <w:rsid w:val="00D07223"/>
    <w:rsid w:val="00D07913"/>
    <w:rsid w:val="00D07AC2"/>
    <w:rsid w:val="00D07AC3"/>
    <w:rsid w:val="00D10AC8"/>
    <w:rsid w:val="00D11BC0"/>
    <w:rsid w:val="00D12978"/>
    <w:rsid w:val="00D135DB"/>
    <w:rsid w:val="00D135EB"/>
    <w:rsid w:val="00D152C5"/>
    <w:rsid w:val="00D206CB"/>
    <w:rsid w:val="00D21537"/>
    <w:rsid w:val="00D22674"/>
    <w:rsid w:val="00D22B0B"/>
    <w:rsid w:val="00D22BEF"/>
    <w:rsid w:val="00D26790"/>
    <w:rsid w:val="00D2740C"/>
    <w:rsid w:val="00D274A2"/>
    <w:rsid w:val="00D30A51"/>
    <w:rsid w:val="00D33465"/>
    <w:rsid w:val="00D33AB1"/>
    <w:rsid w:val="00D346B6"/>
    <w:rsid w:val="00D3482D"/>
    <w:rsid w:val="00D34AAB"/>
    <w:rsid w:val="00D37800"/>
    <w:rsid w:val="00D37DF3"/>
    <w:rsid w:val="00D4088E"/>
    <w:rsid w:val="00D4196F"/>
    <w:rsid w:val="00D421F5"/>
    <w:rsid w:val="00D42548"/>
    <w:rsid w:val="00D43DF8"/>
    <w:rsid w:val="00D45105"/>
    <w:rsid w:val="00D468C1"/>
    <w:rsid w:val="00D47B04"/>
    <w:rsid w:val="00D508D9"/>
    <w:rsid w:val="00D51617"/>
    <w:rsid w:val="00D5175D"/>
    <w:rsid w:val="00D51C29"/>
    <w:rsid w:val="00D52B13"/>
    <w:rsid w:val="00D52E28"/>
    <w:rsid w:val="00D53134"/>
    <w:rsid w:val="00D53AC4"/>
    <w:rsid w:val="00D5449F"/>
    <w:rsid w:val="00D55596"/>
    <w:rsid w:val="00D60F71"/>
    <w:rsid w:val="00D61673"/>
    <w:rsid w:val="00D63E5D"/>
    <w:rsid w:val="00D63ED1"/>
    <w:rsid w:val="00D6441F"/>
    <w:rsid w:val="00D6467B"/>
    <w:rsid w:val="00D65043"/>
    <w:rsid w:val="00D653E2"/>
    <w:rsid w:val="00D66373"/>
    <w:rsid w:val="00D6671C"/>
    <w:rsid w:val="00D67209"/>
    <w:rsid w:val="00D67487"/>
    <w:rsid w:val="00D701AF"/>
    <w:rsid w:val="00D72558"/>
    <w:rsid w:val="00D7456D"/>
    <w:rsid w:val="00D74DEC"/>
    <w:rsid w:val="00D759FF"/>
    <w:rsid w:val="00D75BD8"/>
    <w:rsid w:val="00D75EE8"/>
    <w:rsid w:val="00D81D2A"/>
    <w:rsid w:val="00D82850"/>
    <w:rsid w:val="00D83E26"/>
    <w:rsid w:val="00D85020"/>
    <w:rsid w:val="00D85402"/>
    <w:rsid w:val="00D90EAF"/>
    <w:rsid w:val="00D915DB"/>
    <w:rsid w:val="00D94653"/>
    <w:rsid w:val="00D95AB8"/>
    <w:rsid w:val="00D960A6"/>
    <w:rsid w:val="00D96DAE"/>
    <w:rsid w:val="00D97ED2"/>
    <w:rsid w:val="00DA0DFD"/>
    <w:rsid w:val="00DA337C"/>
    <w:rsid w:val="00DA358E"/>
    <w:rsid w:val="00DA55EC"/>
    <w:rsid w:val="00DA773B"/>
    <w:rsid w:val="00DB0CD0"/>
    <w:rsid w:val="00DB165C"/>
    <w:rsid w:val="00DB1D2A"/>
    <w:rsid w:val="00DB2D3A"/>
    <w:rsid w:val="00DB6806"/>
    <w:rsid w:val="00DB6F69"/>
    <w:rsid w:val="00DB7193"/>
    <w:rsid w:val="00DC0265"/>
    <w:rsid w:val="00DC0B98"/>
    <w:rsid w:val="00DC14B2"/>
    <w:rsid w:val="00DC1B47"/>
    <w:rsid w:val="00DC2473"/>
    <w:rsid w:val="00DC3FF1"/>
    <w:rsid w:val="00DC40AA"/>
    <w:rsid w:val="00DC5819"/>
    <w:rsid w:val="00DD0AD9"/>
    <w:rsid w:val="00DD1866"/>
    <w:rsid w:val="00DD31C7"/>
    <w:rsid w:val="00DD3211"/>
    <w:rsid w:val="00DD40BB"/>
    <w:rsid w:val="00DD4385"/>
    <w:rsid w:val="00DD4754"/>
    <w:rsid w:val="00DD5907"/>
    <w:rsid w:val="00DD6F73"/>
    <w:rsid w:val="00DE21F7"/>
    <w:rsid w:val="00DE31AD"/>
    <w:rsid w:val="00DE34F1"/>
    <w:rsid w:val="00DE3A2F"/>
    <w:rsid w:val="00DE3D8B"/>
    <w:rsid w:val="00DE5A1F"/>
    <w:rsid w:val="00DE6C53"/>
    <w:rsid w:val="00DE704F"/>
    <w:rsid w:val="00DE7F8E"/>
    <w:rsid w:val="00DF04C4"/>
    <w:rsid w:val="00DF0C18"/>
    <w:rsid w:val="00DF12DE"/>
    <w:rsid w:val="00DF2F55"/>
    <w:rsid w:val="00DF4B70"/>
    <w:rsid w:val="00DF655F"/>
    <w:rsid w:val="00E006CC"/>
    <w:rsid w:val="00E00DB4"/>
    <w:rsid w:val="00E0116D"/>
    <w:rsid w:val="00E034B3"/>
    <w:rsid w:val="00E04D9B"/>
    <w:rsid w:val="00E06369"/>
    <w:rsid w:val="00E0791C"/>
    <w:rsid w:val="00E07EAB"/>
    <w:rsid w:val="00E11CB9"/>
    <w:rsid w:val="00E12A21"/>
    <w:rsid w:val="00E12A3F"/>
    <w:rsid w:val="00E12C69"/>
    <w:rsid w:val="00E14422"/>
    <w:rsid w:val="00E1470F"/>
    <w:rsid w:val="00E16786"/>
    <w:rsid w:val="00E21897"/>
    <w:rsid w:val="00E2241E"/>
    <w:rsid w:val="00E22AA9"/>
    <w:rsid w:val="00E24648"/>
    <w:rsid w:val="00E25087"/>
    <w:rsid w:val="00E33022"/>
    <w:rsid w:val="00E3320F"/>
    <w:rsid w:val="00E33854"/>
    <w:rsid w:val="00E366B5"/>
    <w:rsid w:val="00E366F5"/>
    <w:rsid w:val="00E36E40"/>
    <w:rsid w:val="00E40277"/>
    <w:rsid w:val="00E423BB"/>
    <w:rsid w:val="00E428E0"/>
    <w:rsid w:val="00E466DC"/>
    <w:rsid w:val="00E46A28"/>
    <w:rsid w:val="00E47B8A"/>
    <w:rsid w:val="00E50058"/>
    <w:rsid w:val="00E50E0F"/>
    <w:rsid w:val="00E51146"/>
    <w:rsid w:val="00E51925"/>
    <w:rsid w:val="00E5192C"/>
    <w:rsid w:val="00E5461E"/>
    <w:rsid w:val="00E55376"/>
    <w:rsid w:val="00E61D50"/>
    <w:rsid w:val="00E636D1"/>
    <w:rsid w:val="00E66B28"/>
    <w:rsid w:val="00E67AD7"/>
    <w:rsid w:val="00E717B5"/>
    <w:rsid w:val="00E7240F"/>
    <w:rsid w:val="00E72701"/>
    <w:rsid w:val="00E73072"/>
    <w:rsid w:val="00E7403E"/>
    <w:rsid w:val="00E76E27"/>
    <w:rsid w:val="00E770B8"/>
    <w:rsid w:val="00E80CAA"/>
    <w:rsid w:val="00E81880"/>
    <w:rsid w:val="00E82826"/>
    <w:rsid w:val="00E83BC5"/>
    <w:rsid w:val="00E83DA1"/>
    <w:rsid w:val="00E84D82"/>
    <w:rsid w:val="00E85B61"/>
    <w:rsid w:val="00E86C49"/>
    <w:rsid w:val="00E872FA"/>
    <w:rsid w:val="00E87583"/>
    <w:rsid w:val="00E90270"/>
    <w:rsid w:val="00E90BDB"/>
    <w:rsid w:val="00E932EF"/>
    <w:rsid w:val="00E947E6"/>
    <w:rsid w:val="00E94A37"/>
    <w:rsid w:val="00E962F2"/>
    <w:rsid w:val="00E970E1"/>
    <w:rsid w:val="00EA04C9"/>
    <w:rsid w:val="00EA0B69"/>
    <w:rsid w:val="00EA0CDA"/>
    <w:rsid w:val="00EA1600"/>
    <w:rsid w:val="00EA1E51"/>
    <w:rsid w:val="00EA1EAB"/>
    <w:rsid w:val="00EA250E"/>
    <w:rsid w:val="00EA2F06"/>
    <w:rsid w:val="00EA2F4E"/>
    <w:rsid w:val="00EA3055"/>
    <w:rsid w:val="00EA572B"/>
    <w:rsid w:val="00EA77EF"/>
    <w:rsid w:val="00EA7B06"/>
    <w:rsid w:val="00EB0311"/>
    <w:rsid w:val="00EB1593"/>
    <w:rsid w:val="00EB2620"/>
    <w:rsid w:val="00EB42D7"/>
    <w:rsid w:val="00EB42E7"/>
    <w:rsid w:val="00EB459B"/>
    <w:rsid w:val="00EB6459"/>
    <w:rsid w:val="00EB69EE"/>
    <w:rsid w:val="00EB747A"/>
    <w:rsid w:val="00EB7AC4"/>
    <w:rsid w:val="00EC0669"/>
    <w:rsid w:val="00EC0ED7"/>
    <w:rsid w:val="00EC1048"/>
    <w:rsid w:val="00EC2782"/>
    <w:rsid w:val="00EC387F"/>
    <w:rsid w:val="00EC4195"/>
    <w:rsid w:val="00EC4635"/>
    <w:rsid w:val="00EC4725"/>
    <w:rsid w:val="00EC6D7F"/>
    <w:rsid w:val="00ED0188"/>
    <w:rsid w:val="00ED0BD4"/>
    <w:rsid w:val="00ED130A"/>
    <w:rsid w:val="00ED154D"/>
    <w:rsid w:val="00ED2035"/>
    <w:rsid w:val="00ED3672"/>
    <w:rsid w:val="00ED387B"/>
    <w:rsid w:val="00ED38E6"/>
    <w:rsid w:val="00ED3B34"/>
    <w:rsid w:val="00ED449D"/>
    <w:rsid w:val="00ED7293"/>
    <w:rsid w:val="00ED7B8E"/>
    <w:rsid w:val="00EE0F8F"/>
    <w:rsid w:val="00EE40C3"/>
    <w:rsid w:val="00EE52B7"/>
    <w:rsid w:val="00EE5884"/>
    <w:rsid w:val="00EE6703"/>
    <w:rsid w:val="00EF0580"/>
    <w:rsid w:val="00EF08D3"/>
    <w:rsid w:val="00EF11CB"/>
    <w:rsid w:val="00EF13C5"/>
    <w:rsid w:val="00EF2472"/>
    <w:rsid w:val="00EF3FAE"/>
    <w:rsid w:val="00EF5292"/>
    <w:rsid w:val="00EF7C18"/>
    <w:rsid w:val="00F00445"/>
    <w:rsid w:val="00F01BF9"/>
    <w:rsid w:val="00F028ED"/>
    <w:rsid w:val="00F03765"/>
    <w:rsid w:val="00F03BC8"/>
    <w:rsid w:val="00F04129"/>
    <w:rsid w:val="00F05119"/>
    <w:rsid w:val="00F05198"/>
    <w:rsid w:val="00F05314"/>
    <w:rsid w:val="00F105C2"/>
    <w:rsid w:val="00F120A3"/>
    <w:rsid w:val="00F13130"/>
    <w:rsid w:val="00F13D02"/>
    <w:rsid w:val="00F16807"/>
    <w:rsid w:val="00F20574"/>
    <w:rsid w:val="00F208D4"/>
    <w:rsid w:val="00F20FC8"/>
    <w:rsid w:val="00F213F2"/>
    <w:rsid w:val="00F22D3D"/>
    <w:rsid w:val="00F23837"/>
    <w:rsid w:val="00F246A0"/>
    <w:rsid w:val="00F24B3E"/>
    <w:rsid w:val="00F250B6"/>
    <w:rsid w:val="00F25866"/>
    <w:rsid w:val="00F26137"/>
    <w:rsid w:val="00F3144B"/>
    <w:rsid w:val="00F3359F"/>
    <w:rsid w:val="00F343EB"/>
    <w:rsid w:val="00F35033"/>
    <w:rsid w:val="00F35590"/>
    <w:rsid w:val="00F366E8"/>
    <w:rsid w:val="00F36796"/>
    <w:rsid w:val="00F36C06"/>
    <w:rsid w:val="00F37B31"/>
    <w:rsid w:val="00F37F56"/>
    <w:rsid w:val="00F37FEA"/>
    <w:rsid w:val="00F42520"/>
    <w:rsid w:val="00F42E96"/>
    <w:rsid w:val="00F4353A"/>
    <w:rsid w:val="00F4389F"/>
    <w:rsid w:val="00F43E02"/>
    <w:rsid w:val="00F449AC"/>
    <w:rsid w:val="00F44FA1"/>
    <w:rsid w:val="00F46B16"/>
    <w:rsid w:val="00F46E2F"/>
    <w:rsid w:val="00F47730"/>
    <w:rsid w:val="00F4782E"/>
    <w:rsid w:val="00F50ACE"/>
    <w:rsid w:val="00F511AC"/>
    <w:rsid w:val="00F51A8D"/>
    <w:rsid w:val="00F51CFD"/>
    <w:rsid w:val="00F55763"/>
    <w:rsid w:val="00F56021"/>
    <w:rsid w:val="00F61084"/>
    <w:rsid w:val="00F6168A"/>
    <w:rsid w:val="00F6338C"/>
    <w:rsid w:val="00F634E1"/>
    <w:rsid w:val="00F6438F"/>
    <w:rsid w:val="00F64D14"/>
    <w:rsid w:val="00F651EB"/>
    <w:rsid w:val="00F65717"/>
    <w:rsid w:val="00F67EA8"/>
    <w:rsid w:val="00F70870"/>
    <w:rsid w:val="00F71535"/>
    <w:rsid w:val="00F716D4"/>
    <w:rsid w:val="00F7313E"/>
    <w:rsid w:val="00F737D8"/>
    <w:rsid w:val="00F73854"/>
    <w:rsid w:val="00F74006"/>
    <w:rsid w:val="00F74727"/>
    <w:rsid w:val="00F74C6D"/>
    <w:rsid w:val="00F759E5"/>
    <w:rsid w:val="00F7636A"/>
    <w:rsid w:val="00F81BFE"/>
    <w:rsid w:val="00F83D22"/>
    <w:rsid w:val="00F8413F"/>
    <w:rsid w:val="00F849AF"/>
    <w:rsid w:val="00F8613A"/>
    <w:rsid w:val="00F86DE2"/>
    <w:rsid w:val="00F86E75"/>
    <w:rsid w:val="00F877FE"/>
    <w:rsid w:val="00F90F56"/>
    <w:rsid w:val="00F911F7"/>
    <w:rsid w:val="00F92946"/>
    <w:rsid w:val="00F93957"/>
    <w:rsid w:val="00F9492A"/>
    <w:rsid w:val="00F95318"/>
    <w:rsid w:val="00F9559E"/>
    <w:rsid w:val="00F95EF8"/>
    <w:rsid w:val="00F96C7A"/>
    <w:rsid w:val="00F96E32"/>
    <w:rsid w:val="00F97326"/>
    <w:rsid w:val="00F97C2F"/>
    <w:rsid w:val="00FA0206"/>
    <w:rsid w:val="00FA0234"/>
    <w:rsid w:val="00FA0456"/>
    <w:rsid w:val="00FA05F4"/>
    <w:rsid w:val="00FA0E22"/>
    <w:rsid w:val="00FA1407"/>
    <w:rsid w:val="00FA4129"/>
    <w:rsid w:val="00FA4749"/>
    <w:rsid w:val="00FA4A18"/>
    <w:rsid w:val="00FA509F"/>
    <w:rsid w:val="00FA535D"/>
    <w:rsid w:val="00FA55DA"/>
    <w:rsid w:val="00FA73C7"/>
    <w:rsid w:val="00FB06AA"/>
    <w:rsid w:val="00FB14B4"/>
    <w:rsid w:val="00FB2074"/>
    <w:rsid w:val="00FB26FA"/>
    <w:rsid w:val="00FB2C23"/>
    <w:rsid w:val="00FB2EB7"/>
    <w:rsid w:val="00FB4A63"/>
    <w:rsid w:val="00FB51F5"/>
    <w:rsid w:val="00FB64BD"/>
    <w:rsid w:val="00FB757E"/>
    <w:rsid w:val="00FC0334"/>
    <w:rsid w:val="00FC1439"/>
    <w:rsid w:val="00FC24D3"/>
    <w:rsid w:val="00FC313E"/>
    <w:rsid w:val="00FC33E1"/>
    <w:rsid w:val="00FC3DDA"/>
    <w:rsid w:val="00FC6D7C"/>
    <w:rsid w:val="00FC7C4E"/>
    <w:rsid w:val="00FD2C48"/>
    <w:rsid w:val="00FD38AA"/>
    <w:rsid w:val="00FD3BBA"/>
    <w:rsid w:val="00FD4B23"/>
    <w:rsid w:val="00FD4CB5"/>
    <w:rsid w:val="00FD54C3"/>
    <w:rsid w:val="00FD6AE0"/>
    <w:rsid w:val="00FE0F78"/>
    <w:rsid w:val="00FE1192"/>
    <w:rsid w:val="00FE166F"/>
    <w:rsid w:val="00FE1CCC"/>
    <w:rsid w:val="00FE42A8"/>
    <w:rsid w:val="00FE4525"/>
    <w:rsid w:val="00FE46D6"/>
    <w:rsid w:val="00FE5B8E"/>
    <w:rsid w:val="00FE5D37"/>
    <w:rsid w:val="00FE5EB9"/>
    <w:rsid w:val="00FE6A98"/>
    <w:rsid w:val="00FE7040"/>
    <w:rsid w:val="00FF1525"/>
    <w:rsid w:val="00FF1D05"/>
    <w:rsid w:val="00FF22EB"/>
    <w:rsid w:val="00FF27E8"/>
    <w:rsid w:val="00FF42DE"/>
    <w:rsid w:val="00FF4F69"/>
    <w:rsid w:val="00FF5250"/>
    <w:rsid w:val="00FF552F"/>
    <w:rsid w:val="00FF5834"/>
    <w:rsid w:val="00FF6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C4581A"/>
  <w15:chartTrackingRefBased/>
  <w15:docId w15:val="{99540B11-7FA7-4FD4-89C7-58C1009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2B7"/>
    <w:pPr>
      <w:keepNext/>
      <w:keepLines/>
      <w:numPr>
        <w:numId w:val="7"/>
      </w:numPr>
      <w:spacing w:before="480" w:after="240"/>
      <w:ind w:left="714" w:hanging="357"/>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52B7"/>
    <w:pPr>
      <w:keepNext/>
      <w:keepLines/>
      <w:spacing w:before="240" w:after="120"/>
      <w:ind w:left="357"/>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D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48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FEE"/>
  </w:style>
  <w:style w:type="paragraph" w:styleId="Footer">
    <w:name w:val="footer"/>
    <w:basedOn w:val="Normal"/>
    <w:link w:val="FooterChar"/>
    <w:uiPriority w:val="99"/>
    <w:unhideWhenUsed/>
    <w:rsid w:val="00770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FEE"/>
  </w:style>
  <w:style w:type="character" w:customStyle="1" w:styleId="Heading1Char">
    <w:name w:val="Heading 1 Char"/>
    <w:basedOn w:val="DefaultParagraphFont"/>
    <w:link w:val="Heading1"/>
    <w:uiPriority w:val="9"/>
    <w:rsid w:val="00EE52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52B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869CA"/>
    <w:pPr>
      <w:outlineLvl w:val="9"/>
    </w:pPr>
    <w:rPr>
      <w:lang w:val="en-US"/>
    </w:rPr>
  </w:style>
  <w:style w:type="paragraph" w:styleId="TOC1">
    <w:name w:val="toc 1"/>
    <w:basedOn w:val="Normal"/>
    <w:next w:val="Normal"/>
    <w:autoRedefine/>
    <w:uiPriority w:val="39"/>
    <w:unhideWhenUsed/>
    <w:rsid w:val="000869CA"/>
    <w:pPr>
      <w:spacing w:after="100"/>
    </w:pPr>
  </w:style>
  <w:style w:type="character" w:styleId="Hyperlink">
    <w:name w:val="Hyperlink"/>
    <w:basedOn w:val="DefaultParagraphFont"/>
    <w:uiPriority w:val="99"/>
    <w:unhideWhenUsed/>
    <w:rsid w:val="000869CA"/>
    <w:rPr>
      <w:color w:val="0563C1" w:themeColor="hyperlink"/>
      <w:u w:val="single"/>
    </w:rPr>
  </w:style>
  <w:style w:type="paragraph" w:styleId="TOC2">
    <w:name w:val="toc 2"/>
    <w:basedOn w:val="Normal"/>
    <w:next w:val="Normal"/>
    <w:autoRedefine/>
    <w:uiPriority w:val="39"/>
    <w:unhideWhenUsed/>
    <w:rsid w:val="00D152C5"/>
    <w:pPr>
      <w:spacing w:after="100"/>
      <w:ind w:left="220"/>
    </w:p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L"/>
    <w:basedOn w:val="Normal"/>
    <w:link w:val="ListParagraphChar"/>
    <w:uiPriority w:val="34"/>
    <w:qFormat/>
    <w:rsid w:val="00BE47FE"/>
    <w:pPr>
      <w:ind w:left="720"/>
      <w:contextualSpacing/>
    </w:p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0A2EAA"/>
  </w:style>
  <w:style w:type="table" w:styleId="TableGrid">
    <w:name w:val="Table Grid"/>
    <w:basedOn w:val="TableNormal"/>
    <w:uiPriority w:val="39"/>
    <w:rsid w:val="003B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74D9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40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17"/>
    <w:rPr>
      <w:rFonts w:ascii="Segoe UI" w:hAnsi="Segoe UI" w:cs="Segoe UI"/>
      <w:sz w:val="18"/>
      <w:szCs w:val="18"/>
    </w:rPr>
  </w:style>
  <w:style w:type="paragraph" w:styleId="NoSpacing">
    <w:name w:val="No Spacing"/>
    <w:uiPriority w:val="1"/>
    <w:qFormat/>
    <w:rsid w:val="00F97326"/>
    <w:pPr>
      <w:spacing w:after="0" w:line="240" w:lineRule="auto"/>
    </w:pPr>
  </w:style>
  <w:style w:type="paragraph" w:styleId="EndnoteText">
    <w:name w:val="endnote text"/>
    <w:basedOn w:val="Normal"/>
    <w:link w:val="EndnoteTextChar"/>
    <w:uiPriority w:val="99"/>
    <w:semiHidden/>
    <w:unhideWhenUsed/>
    <w:rsid w:val="004F0E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0E18"/>
    <w:rPr>
      <w:sz w:val="20"/>
      <w:szCs w:val="20"/>
    </w:rPr>
  </w:style>
  <w:style w:type="character" w:styleId="EndnoteReference">
    <w:name w:val="endnote reference"/>
    <w:basedOn w:val="DefaultParagraphFont"/>
    <w:uiPriority w:val="99"/>
    <w:semiHidden/>
    <w:unhideWhenUsed/>
    <w:rsid w:val="004F0E18"/>
    <w:rPr>
      <w:vertAlign w:val="superscript"/>
    </w:rPr>
  </w:style>
  <w:style w:type="paragraph" w:styleId="FootnoteText">
    <w:name w:val="footnote text"/>
    <w:basedOn w:val="Normal"/>
    <w:link w:val="FootnoteTextChar"/>
    <w:uiPriority w:val="99"/>
    <w:semiHidden/>
    <w:unhideWhenUsed/>
    <w:rsid w:val="004F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E18"/>
    <w:rPr>
      <w:sz w:val="20"/>
      <w:szCs w:val="20"/>
    </w:rPr>
  </w:style>
  <w:style w:type="character" w:styleId="FootnoteReference">
    <w:name w:val="footnote reference"/>
    <w:basedOn w:val="DefaultParagraphFont"/>
    <w:uiPriority w:val="99"/>
    <w:semiHidden/>
    <w:unhideWhenUsed/>
    <w:rsid w:val="004F0E18"/>
    <w:rPr>
      <w:vertAlign w:val="superscript"/>
    </w:rPr>
  </w:style>
  <w:style w:type="character" w:styleId="FollowedHyperlink">
    <w:name w:val="FollowedHyperlink"/>
    <w:basedOn w:val="DefaultParagraphFont"/>
    <w:uiPriority w:val="99"/>
    <w:semiHidden/>
    <w:unhideWhenUsed/>
    <w:rsid w:val="00455B92"/>
    <w:rPr>
      <w:color w:val="954F72" w:themeColor="followedHyperlink"/>
      <w:u w:val="single"/>
    </w:rPr>
  </w:style>
  <w:style w:type="character" w:customStyle="1" w:styleId="UnresolvedMention1">
    <w:name w:val="Unresolved Mention1"/>
    <w:basedOn w:val="DefaultParagraphFont"/>
    <w:uiPriority w:val="99"/>
    <w:semiHidden/>
    <w:unhideWhenUsed/>
    <w:rsid w:val="00DE7F8E"/>
    <w:rPr>
      <w:color w:val="605E5C"/>
      <w:shd w:val="clear" w:color="auto" w:fill="E1DFDD"/>
    </w:rPr>
  </w:style>
  <w:style w:type="character" w:styleId="CommentReference">
    <w:name w:val="annotation reference"/>
    <w:basedOn w:val="DefaultParagraphFont"/>
    <w:uiPriority w:val="99"/>
    <w:semiHidden/>
    <w:unhideWhenUsed/>
    <w:rsid w:val="002C1993"/>
    <w:rPr>
      <w:sz w:val="16"/>
      <w:szCs w:val="16"/>
    </w:rPr>
  </w:style>
  <w:style w:type="paragraph" w:styleId="CommentText">
    <w:name w:val="annotation text"/>
    <w:basedOn w:val="Normal"/>
    <w:link w:val="CommentTextChar"/>
    <w:uiPriority w:val="99"/>
    <w:unhideWhenUsed/>
    <w:rsid w:val="002C1993"/>
    <w:pPr>
      <w:spacing w:line="240" w:lineRule="auto"/>
    </w:pPr>
    <w:rPr>
      <w:sz w:val="20"/>
      <w:szCs w:val="20"/>
    </w:rPr>
  </w:style>
  <w:style w:type="character" w:customStyle="1" w:styleId="CommentTextChar">
    <w:name w:val="Comment Text Char"/>
    <w:basedOn w:val="DefaultParagraphFont"/>
    <w:link w:val="CommentText"/>
    <w:uiPriority w:val="99"/>
    <w:rsid w:val="002C1993"/>
    <w:rPr>
      <w:sz w:val="20"/>
      <w:szCs w:val="20"/>
    </w:rPr>
  </w:style>
  <w:style w:type="paragraph" w:styleId="CommentSubject">
    <w:name w:val="annotation subject"/>
    <w:basedOn w:val="CommentText"/>
    <w:next w:val="CommentText"/>
    <w:link w:val="CommentSubjectChar"/>
    <w:uiPriority w:val="99"/>
    <w:semiHidden/>
    <w:unhideWhenUsed/>
    <w:rsid w:val="002C1993"/>
    <w:rPr>
      <w:b/>
      <w:bCs/>
    </w:rPr>
  </w:style>
  <w:style w:type="character" w:customStyle="1" w:styleId="CommentSubjectChar">
    <w:name w:val="Comment Subject Char"/>
    <w:basedOn w:val="CommentTextChar"/>
    <w:link w:val="CommentSubject"/>
    <w:uiPriority w:val="99"/>
    <w:semiHidden/>
    <w:rsid w:val="002C1993"/>
    <w:rPr>
      <w:b/>
      <w:bCs/>
      <w:sz w:val="20"/>
      <w:szCs w:val="20"/>
    </w:rPr>
  </w:style>
  <w:style w:type="paragraph" w:styleId="Revision">
    <w:name w:val="Revision"/>
    <w:hidden/>
    <w:uiPriority w:val="99"/>
    <w:semiHidden/>
    <w:rsid w:val="00334CA4"/>
    <w:pPr>
      <w:spacing w:after="0" w:line="240" w:lineRule="auto"/>
    </w:pPr>
  </w:style>
  <w:style w:type="character" w:customStyle="1" w:styleId="UnresolvedMention2">
    <w:name w:val="Unresolved Mention2"/>
    <w:basedOn w:val="DefaultParagraphFont"/>
    <w:uiPriority w:val="99"/>
    <w:semiHidden/>
    <w:unhideWhenUsed/>
    <w:rsid w:val="00B77E88"/>
    <w:rPr>
      <w:color w:val="605E5C"/>
      <w:shd w:val="clear" w:color="auto" w:fill="E1DFDD"/>
    </w:rPr>
  </w:style>
  <w:style w:type="paragraph" w:styleId="BodyText">
    <w:name w:val="Body Text"/>
    <w:basedOn w:val="Normal"/>
    <w:link w:val="BodyTextChar"/>
    <w:rsid w:val="00C00466"/>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C00466"/>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F366E8"/>
    <w:rPr>
      <w:color w:val="605E5C"/>
      <w:shd w:val="clear" w:color="auto" w:fill="E1DFDD"/>
    </w:rPr>
  </w:style>
  <w:style w:type="paragraph" w:customStyle="1" w:styleId="CS-Paragraphnumbering">
    <w:name w:val="CS - Paragraph numbering"/>
    <w:basedOn w:val="Normal"/>
    <w:rsid w:val="00B63F3F"/>
    <w:pPr>
      <w:numPr>
        <w:numId w:val="3"/>
      </w:numPr>
      <w:spacing w:after="120" w:line="276" w:lineRule="auto"/>
      <w:ind w:right="-45"/>
    </w:pPr>
    <w:rPr>
      <w:sz w:val="24"/>
      <w:szCs w:val="24"/>
    </w:rPr>
  </w:style>
  <w:style w:type="table" w:styleId="GridTable5Dark-Accent1">
    <w:name w:val="Grid Table 5 Dark Accent 1"/>
    <w:basedOn w:val="TableNormal"/>
    <w:uiPriority w:val="50"/>
    <w:rsid w:val="008078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portText">
    <w:name w:val="Report Text"/>
    <w:link w:val="ReportTextChar"/>
    <w:uiPriority w:val="3"/>
    <w:qFormat/>
    <w:rsid w:val="009516AD"/>
    <w:pPr>
      <w:spacing w:before="170" w:after="170" w:line="260" w:lineRule="atLeast"/>
    </w:pPr>
    <w:rPr>
      <w:rFonts w:eastAsiaTheme="minorEastAsia" w:cs="Times New Roman"/>
      <w:sz w:val="24"/>
      <w:szCs w:val="20"/>
    </w:rPr>
  </w:style>
  <w:style w:type="character" w:customStyle="1" w:styleId="ReportTextChar">
    <w:name w:val="Report Text Char"/>
    <w:basedOn w:val="DefaultParagraphFont"/>
    <w:link w:val="ReportText"/>
    <w:uiPriority w:val="3"/>
    <w:rsid w:val="009516AD"/>
    <w:rPr>
      <w:rFonts w:eastAsiaTheme="minorEastAsia" w:cs="Times New Roman"/>
      <w:sz w:val="24"/>
      <w:szCs w:val="20"/>
    </w:rPr>
  </w:style>
  <w:style w:type="paragraph" w:customStyle="1" w:styleId="ReportLevel4NoNumber">
    <w:name w:val="Report Level 4 No Number"/>
    <w:basedOn w:val="Normal"/>
    <w:next w:val="ReportText"/>
    <w:uiPriority w:val="2"/>
    <w:qFormat/>
    <w:rsid w:val="009516AD"/>
    <w:pPr>
      <w:keepNext/>
      <w:spacing w:before="240" w:after="80" w:line="260" w:lineRule="atLeast"/>
      <w:outlineLvl w:val="2"/>
    </w:pPr>
    <w:rPr>
      <w:rFonts w:eastAsiaTheme="minorEastAsia" w:cs="Times New Roman"/>
      <w:b/>
      <w:sz w:val="24"/>
      <w:szCs w:val="24"/>
    </w:rPr>
  </w:style>
  <w:style w:type="paragraph" w:customStyle="1" w:styleId="ReportList1">
    <w:name w:val="Report List 1"/>
    <w:basedOn w:val="CS-Paragraphnumbering"/>
    <w:qFormat/>
    <w:rsid w:val="00420D47"/>
    <w:pPr>
      <w:numPr>
        <w:numId w:val="25"/>
      </w:numPr>
    </w:pPr>
  </w:style>
  <w:style w:type="paragraph" w:customStyle="1" w:styleId="ReportList2">
    <w:name w:val="Report List 2"/>
    <w:basedOn w:val="ReportList1"/>
    <w:rsid w:val="009516AD"/>
    <w:pPr>
      <w:numPr>
        <w:ilvl w:val="1"/>
      </w:numPr>
      <w:spacing w:after="0"/>
      <w:ind w:left="1440"/>
    </w:pPr>
  </w:style>
  <w:style w:type="paragraph" w:styleId="List">
    <w:name w:val="List"/>
    <w:basedOn w:val="Normal"/>
    <w:uiPriority w:val="99"/>
    <w:semiHidden/>
    <w:unhideWhenUsed/>
    <w:rsid w:val="009516AD"/>
    <w:pPr>
      <w:ind w:left="283" w:hanging="283"/>
      <w:contextualSpacing/>
    </w:pPr>
  </w:style>
  <w:style w:type="character" w:styleId="PlaceholderText">
    <w:name w:val="Placeholder Text"/>
    <w:basedOn w:val="DefaultParagraphFont"/>
    <w:uiPriority w:val="99"/>
    <w:semiHidden/>
    <w:rsid w:val="00554046"/>
    <w:rPr>
      <w:color w:val="808080"/>
    </w:rPr>
  </w:style>
  <w:style w:type="paragraph" w:styleId="TOC3">
    <w:name w:val="toc 3"/>
    <w:basedOn w:val="Normal"/>
    <w:next w:val="Normal"/>
    <w:autoRedefine/>
    <w:uiPriority w:val="39"/>
    <w:unhideWhenUsed/>
    <w:rsid w:val="00F86E75"/>
    <w:pPr>
      <w:spacing w:after="100"/>
      <w:ind w:left="440"/>
    </w:pPr>
  </w:style>
  <w:style w:type="table" w:styleId="GridTable4-Accent1">
    <w:name w:val="Grid Table 4 Accent 1"/>
    <w:basedOn w:val="TableNormal"/>
    <w:uiPriority w:val="49"/>
    <w:rsid w:val="00D2153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B013EB"/>
    <w:pPr>
      <w:spacing w:after="0" w:line="240" w:lineRule="auto"/>
    </w:pPr>
    <w:rPr>
      <w:i/>
      <w:iCs/>
      <w:color w:val="44546A" w:themeColor="text2"/>
    </w:rPr>
  </w:style>
  <w:style w:type="paragraph" w:styleId="TableofFigures">
    <w:name w:val="table of figures"/>
    <w:basedOn w:val="Normal"/>
    <w:next w:val="Normal"/>
    <w:uiPriority w:val="99"/>
    <w:unhideWhenUsed/>
    <w:rsid w:val="009C1B69"/>
    <w:pPr>
      <w:spacing w:after="0"/>
    </w:pPr>
  </w:style>
  <w:style w:type="character" w:customStyle="1" w:styleId="Heading4Char">
    <w:name w:val="Heading 4 Char"/>
    <w:basedOn w:val="DefaultParagraphFont"/>
    <w:link w:val="Heading4"/>
    <w:uiPriority w:val="9"/>
    <w:rsid w:val="0079487A"/>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E519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1925"/>
    <w:rPr>
      <w:rFonts w:eastAsiaTheme="minorEastAsia"/>
      <w:color w:val="5A5A5A" w:themeColor="text1" w:themeTint="A5"/>
      <w:spacing w:val="15"/>
    </w:rPr>
  </w:style>
  <w:style w:type="paragraph" w:styleId="TOC4">
    <w:name w:val="toc 4"/>
    <w:basedOn w:val="Normal"/>
    <w:next w:val="Normal"/>
    <w:autoRedefine/>
    <w:uiPriority w:val="39"/>
    <w:unhideWhenUsed/>
    <w:rsid w:val="006E649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879">
      <w:bodyDiv w:val="1"/>
      <w:marLeft w:val="0"/>
      <w:marRight w:val="0"/>
      <w:marTop w:val="0"/>
      <w:marBottom w:val="0"/>
      <w:divBdr>
        <w:top w:val="none" w:sz="0" w:space="0" w:color="auto"/>
        <w:left w:val="none" w:sz="0" w:space="0" w:color="auto"/>
        <w:bottom w:val="none" w:sz="0" w:space="0" w:color="auto"/>
        <w:right w:val="none" w:sz="0" w:space="0" w:color="auto"/>
      </w:divBdr>
    </w:div>
    <w:div w:id="203105923">
      <w:bodyDiv w:val="1"/>
      <w:marLeft w:val="0"/>
      <w:marRight w:val="0"/>
      <w:marTop w:val="0"/>
      <w:marBottom w:val="0"/>
      <w:divBdr>
        <w:top w:val="none" w:sz="0" w:space="0" w:color="auto"/>
        <w:left w:val="none" w:sz="0" w:space="0" w:color="auto"/>
        <w:bottom w:val="none" w:sz="0" w:space="0" w:color="auto"/>
        <w:right w:val="none" w:sz="0" w:space="0" w:color="auto"/>
      </w:divBdr>
    </w:div>
    <w:div w:id="388192640">
      <w:bodyDiv w:val="1"/>
      <w:marLeft w:val="0"/>
      <w:marRight w:val="0"/>
      <w:marTop w:val="0"/>
      <w:marBottom w:val="0"/>
      <w:divBdr>
        <w:top w:val="none" w:sz="0" w:space="0" w:color="auto"/>
        <w:left w:val="none" w:sz="0" w:space="0" w:color="auto"/>
        <w:bottom w:val="none" w:sz="0" w:space="0" w:color="auto"/>
        <w:right w:val="none" w:sz="0" w:space="0" w:color="auto"/>
      </w:divBdr>
    </w:div>
    <w:div w:id="539559334">
      <w:bodyDiv w:val="1"/>
      <w:marLeft w:val="0"/>
      <w:marRight w:val="0"/>
      <w:marTop w:val="0"/>
      <w:marBottom w:val="0"/>
      <w:divBdr>
        <w:top w:val="none" w:sz="0" w:space="0" w:color="auto"/>
        <w:left w:val="none" w:sz="0" w:space="0" w:color="auto"/>
        <w:bottom w:val="none" w:sz="0" w:space="0" w:color="auto"/>
        <w:right w:val="none" w:sz="0" w:space="0" w:color="auto"/>
      </w:divBdr>
    </w:div>
    <w:div w:id="808785997">
      <w:bodyDiv w:val="1"/>
      <w:marLeft w:val="0"/>
      <w:marRight w:val="0"/>
      <w:marTop w:val="0"/>
      <w:marBottom w:val="0"/>
      <w:divBdr>
        <w:top w:val="none" w:sz="0" w:space="0" w:color="auto"/>
        <w:left w:val="none" w:sz="0" w:space="0" w:color="auto"/>
        <w:bottom w:val="none" w:sz="0" w:space="0" w:color="auto"/>
        <w:right w:val="none" w:sz="0" w:space="0" w:color="auto"/>
      </w:divBdr>
    </w:div>
    <w:div w:id="958797859">
      <w:bodyDiv w:val="1"/>
      <w:marLeft w:val="0"/>
      <w:marRight w:val="0"/>
      <w:marTop w:val="0"/>
      <w:marBottom w:val="0"/>
      <w:divBdr>
        <w:top w:val="none" w:sz="0" w:space="0" w:color="auto"/>
        <w:left w:val="none" w:sz="0" w:space="0" w:color="auto"/>
        <w:bottom w:val="none" w:sz="0" w:space="0" w:color="auto"/>
        <w:right w:val="none" w:sz="0" w:space="0" w:color="auto"/>
      </w:divBdr>
    </w:div>
    <w:div w:id="1040129024">
      <w:bodyDiv w:val="1"/>
      <w:marLeft w:val="0"/>
      <w:marRight w:val="0"/>
      <w:marTop w:val="0"/>
      <w:marBottom w:val="0"/>
      <w:divBdr>
        <w:top w:val="none" w:sz="0" w:space="0" w:color="auto"/>
        <w:left w:val="none" w:sz="0" w:space="0" w:color="auto"/>
        <w:bottom w:val="none" w:sz="0" w:space="0" w:color="auto"/>
        <w:right w:val="none" w:sz="0" w:space="0" w:color="auto"/>
      </w:divBdr>
    </w:div>
    <w:div w:id="1222136659">
      <w:bodyDiv w:val="1"/>
      <w:marLeft w:val="0"/>
      <w:marRight w:val="0"/>
      <w:marTop w:val="0"/>
      <w:marBottom w:val="0"/>
      <w:divBdr>
        <w:top w:val="none" w:sz="0" w:space="0" w:color="auto"/>
        <w:left w:val="none" w:sz="0" w:space="0" w:color="auto"/>
        <w:bottom w:val="none" w:sz="0" w:space="0" w:color="auto"/>
        <w:right w:val="none" w:sz="0" w:space="0" w:color="auto"/>
      </w:divBdr>
      <w:divsChild>
        <w:div w:id="66460873">
          <w:marLeft w:val="0"/>
          <w:marRight w:val="0"/>
          <w:marTop w:val="0"/>
          <w:marBottom w:val="0"/>
          <w:divBdr>
            <w:top w:val="none" w:sz="0" w:space="0" w:color="auto"/>
            <w:left w:val="none" w:sz="0" w:space="0" w:color="auto"/>
            <w:bottom w:val="none" w:sz="0" w:space="0" w:color="auto"/>
            <w:right w:val="none" w:sz="0" w:space="0" w:color="auto"/>
          </w:divBdr>
        </w:div>
        <w:div w:id="93864204">
          <w:marLeft w:val="0"/>
          <w:marRight w:val="0"/>
          <w:marTop w:val="0"/>
          <w:marBottom w:val="0"/>
          <w:divBdr>
            <w:top w:val="none" w:sz="0" w:space="0" w:color="auto"/>
            <w:left w:val="none" w:sz="0" w:space="0" w:color="auto"/>
            <w:bottom w:val="none" w:sz="0" w:space="0" w:color="auto"/>
            <w:right w:val="none" w:sz="0" w:space="0" w:color="auto"/>
          </w:divBdr>
        </w:div>
        <w:div w:id="187957409">
          <w:marLeft w:val="0"/>
          <w:marRight w:val="0"/>
          <w:marTop w:val="0"/>
          <w:marBottom w:val="0"/>
          <w:divBdr>
            <w:top w:val="none" w:sz="0" w:space="0" w:color="auto"/>
            <w:left w:val="none" w:sz="0" w:space="0" w:color="auto"/>
            <w:bottom w:val="none" w:sz="0" w:space="0" w:color="auto"/>
            <w:right w:val="none" w:sz="0" w:space="0" w:color="auto"/>
          </w:divBdr>
        </w:div>
        <w:div w:id="250432635">
          <w:marLeft w:val="0"/>
          <w:marRight w:val="0"/>
          <w:marTop w:val="0"/>
          <w:marBottom w:val="0"/>
          <w:divBdr>
            <w:top w:val="none" w:sz="0" w:space="0" w:color="auto"/>
            <w:left w:val="none" w:sz="0" w:space="0" w:color="auto"/>
            <w:bottom w:val="none" w:sz="0" w:space="0" w:color="auto"/>
            <w:right w:val="none" w:sz="0" w:space="0" w:color="auto"/>
          </w:divBdr>
        </w:div>
        <w:div w:id="421613438">
          <w:marLeft w:val="0"/>
          <w:marRight w:val="0"/>
          <w:marTop w:val="0"/>
          <w:marBottom w:val="0"/>
          <w:divBdr>
            <w:top w:val="none" w:sz="0" w:space="0" w:color="auto"/>
            <w:left w:val="none" w:sz="0" w:space="0" w:color="auto"/>
            <w:bottom w:val="none" w:sz="0" w:space="0" w:color="auto"/>
            <w:right w:val="none" w:sz="0" w:space="0" w:color="auto"/>
          </w:divBdr>
        </w:div>
        <w:div w:id="513737274">
          <w:marLeft w:val="0"/>
          <w:marRight w:val="0"/>
          <w:marTop w:val="0"/>
          <w:marBottom w:val="0"/>
          <w:divBdr>
            <w:top w:val="none" w:sz="0" w:space="0" w:color="auto"/>
            <w:left w:val="none" w:sz="0" w:space="0" w:color="auto"/>
            <w:bottom w:val="none" w:sz="0" w:space="0" w:color="auto"/>
            <w:right w:val="none" w:sz="0" w:space="0" w:color="auto"/>
          </w:divBdr>
        </w:div>
        <w:div w:id="668362477">
          <w:marLeft w:val="0"/>
          <w:marRight w:val="0"/>
          <w:marTop w:val="0"/>
          <w:marBottom w:val="0"/>
          <w:divBdr>
            <w:top w:val="none" w:sz="0" w:space="0" w:color="auto"/>
            <w:left w:val="none" w:sz="0" w:space="0" w:color="auto"/>
            <w:bottom w:val="none" w:sz="0" w:space="0" w:color="auto"/>
            <w:right w:val="none" w:sz="0" w:space="0" w:color="auto"/>
          </w:divBdr>
        </w:div>
        <w:div w:id="708847217">
          <w:marLeft w:val="0"/>
          <w:marRight w:val="0"/>
          <w:marTop w:val="0"/>
          <w:marBottom w:val="0"/>
          <w:divBdr>
            <w:top w:val="none" w:sz="0" w:space="0" w:color="auto"/>
            <w:left w:val="none" w:sz="0" w:space="0" w:color="auto"/>
            <w:bottom w:val="none" w:sz="0" w:space="0" w:color="auto"/>
            <w:right w:val="none" w:sz="0" w:space="0" w:color="auto"/>
          </w:divBdr>
        </w:div>
        <w:div w:id="854806677">
          <w:marLeft w:val="0"/>
          <w:marRight w:val="0"/>
          <w:marTop w:val="0"/>
          <w:marBottom w:val="0"/>
          <w:divBdr>
            <w:top w:val="none" w:sz="0" w:space="0" w:color="auto"/>
            <w:left w:val="none" w:sz="0" w:space="0" w:color="auto"/>
            <w:bottom w:val="none" w:sz="0" w:space="0" w:color="auto"/>
            <w:right w:val="none" w:sz="0" w:space="0" w:color="auto"/>
          </w:divBdr>
        </w:div>
        <w:div w:id="903762180">
          <w:marLeft w:val="0"/>
          <w:marRight w:val="0"/>
          <w:marTop w:val="0"/>
          <w:marBottom w:val="0"/>
          <w:divBdr>
            <w:top w:val="none" w:sz="0" w:space="0" w:color="auto"/>
            <w:left w:val="none" w:sz="0" w:space="0" w:color="auto"/>
            <w:bottom w:val="none" w:sz="0" w:space="0" w:color="auto"/>
            <w:right w:val="none" w:sz="0" w:space="0" w:color="auto"/>
          </w:divBdr>
        </w:div>
        <w:div w:id="939720810">
          <w:marLeft w:val="0"/>
          <w:marRight w:val="0"/>
          <w:marTop w:val="0"/>
          <w:marBottom w:val="0"/>
          <w:divBdr>
            <w:top w:val="none" w:sz="0" w:space="0" w:color="auto"/>
            <w:left w:val="none" w:sz="0" w:space="0" w:color="auto"/>
            <w:bottom w:val="none" w:sz="0" w:space="0" w:color="auto"/>
            <w:right w:val="none" w:sz="0" w:space="0" w:color="auto"/>
          </w:divBdr>
        </w:div>
        <w:div w:id="977800413">
          <w:marLeft w:val="0"/>
          <w:marRight w:val="0"/>
          <w:marTop w:val="0"/>
          <w:marBottom w:val="0"/>
          <w:divBdr>
            <w:top w:val="none" w:sz="0" w:space="0" w:color="auto"/>
            <w:left w:val="none" w:sz="0" w:space="0" w:color="auto"/>
            <w:bottom w:val="none" w:sz="0" w:space="0" w:color="auto"/>
            <w:right w:val="none" w:sz="0" w:space="0" w:color="auto"/>
          </w:divBdr>
        </w:div>
        <w:div w:id="1220943107">
          <w:marLeft w:val="0"/>
          <w:marRight w:val="0"/>
          <w:marTop w:val="0"/>
          <w:marBottom w:val="0"/>
          <w:divBdr>
            <w:top w:val="none" w:sz="0" w:space="0" w:color="auto"/>
            <w:left w:val="none" w:sz="0" w:space="0" w:color="auto"/>
            <w:bottom w:val="none" w:sz="0" w:space="0" w:color="auto"/>
            <w:right w:val="none" w:sz="0" w:space="0" w:color="auto"/>
          </w:divBdr>
        </w:div>
        <w:div w:id="1862743343">
          <w:marLeft w:val="0"/>
          <w:marRight w:val="0"/>
          <w:marTop w:val="0"/>
          <w:marBottom w:val="0"/>
          <w:divBdr>
            <w:top w:val="none" w:sz="0" w:space="0" w:color="auto"/>
            <w:left w:val="none" w:sz="0" w:space="0" w:color="auto"/>
            <w:bottom w:val="none" w:sz="0" w:space="0" w:color="auto"/>
            <w:right w:val="none" w:sz="0" w:space="0" w:color="auto"/>
          </w:divBdr>
        </w:div>
        <w:div w:id="1885020110">
          <w:marLeft w:val="0"/>
          <w:marRight w:val="0"/>
          <w:marTop w:val="0"/>
          <w:marBottom w:val="0"/>
          <w:divBdr>
            <w:top w:val="none" w:sz="0" w:space="0" w:color="auto"/>
            <w:left w:val="none" w:sz="0" w:space="0" w:color="auto"/>
            <w:bottom w:val="none" w:sz="0" w:space="0" w:color="auto"/>
            <w:right w:val="none" w:sz="0" w:space="0" w:color="auto"/>
          </w:divBdr>
        </w:div>
        <w:div w:id="1927689813">
          <w:marLeft w:val="0"/>
          <w:marRight w:val="0"/>
          <w:marTop w:val="0"/>
          <w:marBottom w:val="0"/>
          <w:divBdr>
            <w:top w:val="none" w:sz="0" w:space="0" w:color="auto"/>
            <w:left w:val="none" w:sz="0" w:space="0" w:color="auto"/>
            <w:bottom w:val="none" w:sz="0" w:space="0" w:color="auto"/>
            <w:right w:val="none" w:sz="0" w:space="0" w:color="auto"/>
          </w:divBdr>
        </w:div>
        <w:div w:id="2018918992">
          <w:marLeft w:val="0"/>
          <w:marRight w:val="0"/>
          <w:marTop w:val="0"/>
          <w:marBottom w:val="0"/>
          <w:divBdr>
            <w:top w:val="none" w:sz="0" w:space="0" w:color="auto"/>
            <w:left w:val="none" w:sz="0" w:space="0" w:color="auto"/>
            <w:bottom w:val="none" w:sz="0" w:space="0" w:color="auto"/>
            <w:right w:val="none" w:sz="0" w:space="0" w:color="auto"/>
          </w:divBdr>
        </w:div>
        <w:div w:id="2057386326">
          <w:marLeft w:val="0"/>
          <w:marRight w:val="0"/>
          <w:marTop w:val="0"/>
          <w:marBottom w:val="0"/>
          <w:divBdr>
            <w:top w:val="none" w:sz="0" w:space="0" w:color="auto"/>
            <w:left w:val="none" w:sz="0" w:space="0" w:color="auto"/>
            <w:bottom w:val="none" w:sz="0" w:space="0" w:color="auto"/>
            <w:right w:val="none" w:sz="0" w:space="0" w:color="auto"/>
          </w:divBdr>
        </w:div>
        <w:div w:id="2089038274">
          <w:marLeft w:val="0"/>
          <w:marRight w:val="0"/>
          <w:marTop w:val="0"/>
          <w:marBottom w:val="0"/>
          <w:divBdr>
            <w:top w:val="none" w:sz="0" w:space="0" w:color="auto"/>
            <w:left w:val="none" w:sz="0" w:space="0" w:color="auto"/>
            <w:bottom w:val="none" w:sz="0" w:space="0" w:color="auto"/>
            <w:right w:val="none" w:sz="0" w:space="0" w:color="auto"/>
          </w:divBdr>
        </w:div>
      </w:divsChild>
    </w:div>
    <w:div w:id="1308321277">
      <w:bodyDiv w:val="1"/>
      <w:marLeft w:val="0"/>
      <w:marRight w:val="0"/>
      <w:marTop w:val="0"/>
      <w:marBottom w:val="0"/>
      <w:divBdr>
        <w:top w:val="none" w:sz="0" w:space="0" w:color="auto"/>
        <w:left w:val="none" w:sz="0" w:space="0" w:color="auto"/>
        <w:bottom w:val="none" w:sz="0" w:space="0" w:color="auto"/>
        <w:right w:val="none" w:sz="0" w:space="0" w:color="auto"/>
      </w:divBdr>
    </w:div>
    <w:div w:id="1314795999">
      <w:bodyDiv w:val="1"/>
      <w:marLeft w:val="0"/>
      <w:marRight w:val="0"/>
      <w:marTop w:val="0"/>
      <w:marBottom w:val="0"/>
      <w:divBdr>
        <w:top w:val="none" w:sz="0" w:space="0" w:color="auto"/>
        <w:left w:val="none" w:sz="0" w:space="0" w:color="auto"/>
        <w:bottom w:val="none" w:sz="0" w:space="0" w:color="auto"/>
        <w:right w:val="none" w:sz="0" w:space="0" w:color="auto"/>
      </w:divBdr>
    </w:div>
    <w:div w:id="1317690276">
      <w:bodyDiv w:val="1"/>
      <w:marLeft w:val="0"/>
      <w:marRight w:val="0"/>
      <w:marTop w:val="0"/>
      <w:marBottom w:val="0"/>
      <w:divBdr>
        <w:top w:val="none" w:sz="0" w:space="0" w:color="auto"/>
        <w:left w:val="none" w:sz="0" w:space="0" w:color="auto"/>
        <w:bottom w:val="none" w:sz="0" w:space="0" w:color="auto"/>
        <w:right w:val="none" w:sz="0" w:space="0" w:color="auto"/>
      </w:divBdr>
    </w:div>
    <w:div w:id="1500385327">
      <w:bodyDiv w:val="1"/>
      <w:marLeft w:val="0"/>
      <w:marRight w:val="0"/>
      <w:marTop w:val="0"/>
      <w:marBottom w:val="0"/>
      <w:divBdr>
        <w:top w:val="none" w:sz="0" w:space="0" w:color="auto"/>
        <w:left w:val="none" w:sz="0" w:space="0" w:color="auto"/>
        <w:bottom w:val="none" w:sz="0" w:space="0" w:color="auto"/>
        <w:right w:val="none" w:sz="0" w:space="0" w:color="auto"/>
      </w:divBdr>
    </w:div>
    <w:div w:id="1505127038">
      <w:bodyDiv w:val="1"/>
      <w:marLeft w:val="0"/>
      <w:marRight w:val="0"/>
      <w:marTop w:val="0"/>
      <w:marBottom w:val="0"/>
      <w:divBdr>
        <w:top w:val="none" w:sz="0" w:space="0" w:color="auto"/>
        <w:left w:val="none" w:sz="0" w:space="0" w:color="auto"/>
        <w:bottom w:val="none" w:sz="0" w:space="0" w:color="auto"/>
        <w:right w:val="none" w:sz="0" w:space="0" w:color="auto"/>
      </w:divBdr>
    </w:div>
    <w:div w:id="1662081130">
      <w:bodyDiv w:val="1"/>
      <w:marLeft w:val="0"/>
      <w:marRight w:val="0"/>
      <w:marTop w:val="0"/>
      <w:marBottom w:val="0"/>
      <w:divBdr>
        <w:top w:val="none" w:sz="0" w:space="0" w:color="auto"/>
        <w:left w:val="none" w:sz="0" w:space="0" w:color="auto"/>
        <w:bottom w:val="none" w:sz="0" w:space="0" w:color="auto"/>
        <w:right w:val="none" w:sz="0" w:space="0" w:color="auto"/>
      </w:divBdr>
    </w:div>
    <w:div w:id="1675958293">
      <w:bodyDiv w:val="1"/>
      <w:marLeft w:val="0"/>
      <w:marRight w:val="0"/>
      <w:marTop w:val="0"/>
      <w:marBottom w:val="0"/>
      <w:divBdr>
        <w:top w:val="none" w:sz="0" w:space="0" w:color="auto"/>
        <w:left w:val="none" w:sz="0" w:space="0" w:color="auto"/>
        <w:bottom w:val="none" w:sz="0" w:space="0" w:color="auto"/>
        <w:right w:val="none" w:sz="0" w:space="0" w:color="auto"/>
      </w:divBdr>
    </w:div>
    <w:div w:id="1702121829">
      <w:bodyDiv w:val="1"/>
      <w:marLeft w:val="0"/>
      <w:marRight w:val="0"/>
      <w:marTop w:val="0"/>
      <w:marBottom w:val="0"/>
      <w:divBdr>
        <w:top w:val="none" w:sz="0" w:space="0" w:color="auto"/>
        <w:left w:val="none" w:sz="0" w:space="0" w:color="auto"/>
        <w:bottom w:val="none" w:sz="0" w:space="0" w:color="auto"/>
        <w:right w:val="none" w:sz="0" w:space="0" w:color="auto"/>
      </w:divBdr>
    </w:div>
    <w:div w:id="1904753097">
      <w:bodyDiv w:val="1"/>
      <w:marLeft w:val="0"/>
      <w:marRight w:val="0"/>
      <w:marTop w:val="0"/>
      <w:marBottom w:val="0"/>
      <w:divBdr>
        <w:top w:val="none" w:sz="0" w:space="0" w:color="auto"/>
        <w:left w:val="none" w:sz="0" w:space="0" w:color="auto"/>
        <w:bottom w:val="none" w:sz="0" w:space="0" w:color="auto"/>
        <w:right w:val="none" w:sz="0" w:space="0" w:color="auto"/>
      </w:divBdr>
    </w:div>
    <w:div w:id="1947228006">
      <w:bodyDiv w:val="1"/>
      <w:marLeft w:val="0"/>
      <w:marRight w:val="0"/>
      <w:marTop w:val="0"/>
      <w:marBottom w:val="0"/>
      <w:divBdr>
        <w:top w:val="none" w:sz="0" w:space="0" w:color="auto"/>
        <w:left w:val="none" w:sz="0" w:space="0" w:color="auto"/>
        <w:bottom w:val="none" w:sz="0" w:space="0" w:color="auto"/>
        <w:right w:val="none" w:sz="0" w:space="0" w:color="auto"/>
      </w:divBdr>
    </w:div>
    <w:div w:id="1985965654">
      <w:bodyDiv w:val="1"/>
      <w:marLeft w:val="0"/>
      <w:marRight w:val="0"/>
      <w:marTop w:val="0"/>
      <w:marBottom w:val="0"/>
      <w:divBdr>
        <w:top w:val="none" w:sz="0" w:space="0" w:color="auto"/>
        <w:left w:val="none" w:sz="0" w:space="0" w:color="auto"/>
        <w:bottom w:val="none" w:sz="0" w:space="0" w:color="auto"/>
        <w:right w:val="none" w:sz="0" w:space="0" w:color="auto"/>
      </w:divBdr>
    </w:div>
    <w:div w:id="2025934370">
      <w:bodyDiv w:val="1"/>
      <w:marLeft w:val="0"/>
      <w:marRight w:val="0"/>
      <w:marTop w:val="0"/>
      <w:marBottom w:val="0"/>
      <w:divBdr>
        <w:top w:val="none" w:sz="0" w:space="0" w:color="auto"/>
        <w:left w:val="none" w:sz="0" w:space="0" w:color="auto"/>
        <w:bottom w:val="none" w:sz="0" w:space="0" w:color="auto"/>
        <w:right w:val="none" w:sz="0" w:space="0" w:color="auto"/>
      </w:divBdr>
    </w:div>
    <w:div w:id="2070155289">
      <w:bodyDiv w:val="1"/>
      <w:marLeft w:val="0"/>
      <w:marRight w:val="0"/>
      <w:marTop w:val="0"/>
      <w:marBottom w:val="0"/>
      <w:divBdr>
        <w:top w:val="none" w:sz="0" w:space="0" w:color="auto"/>
        <w:left w:val="none" w:sz="0" w:space="0" w:color="auto"/>
        <w:bottom w:val="none" w:sz="0" w:space="0" w:color="auto"/>
        <w:right w:val="none" w:sz="0" w:space="0" w:color="auto"/>
      </w:divBdr>
      <w:divsChild>
        <w:div w:id="778111804">
          <w:marLeft w:val="0"/>
          <w:marRight w:val="0"/>
          <w:marTop w:val="0"/>
          <w:marBottom w:val="0"/>
          <w:divBdr>
            <w:top w:val="none" w:sz="0" w:space="0" w:color="auto"/>
            <w:left w:val="none" w:sz="0" w:space="0" w:color="auto"/>
            <w:bottom w:val="none" w:sz="0" w:space="0" w:color="auto"/>
            <w:right w:val="none" w:sz="0" w:space="0" w:color="auto"/>
          </w:divBdr>
        </w:div>
      </w:divsChild>
    </w:div>
    <w:div w:id="20871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s://www.legislation.act.gov.au/View/sl/2017-20/current/PDF/2017-20.PDF"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legislation.act.gov.au/View/a/1997-92/current/PDF/1997-92.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files.accesscanberra.act.gov.au/legacy/3470/Assessment%20and%20classification%20of%20liquid%20and%20non-liquid%20wastes.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nsw.gov.au/-/media/epa/corporate-site/resources/wastestrategy/20p2373-appendix-waste-resource-recovery-report-2108-19.xlsx?la=en&amp;hash=FDCE65DFA69AA7BD854471429BB39E09F9FCFA72" TargetMode="External"/><Relationship Id="rId13" Type="http://schemas.openxmlformats.org/officeDocument/2006/relationships/hyperlink" Target="https://www.news.com.au/lifestyle/real-life/news-life/queensland-councils-alter-law-and-potential-fine-for-residents-who-leave-their-wheelie-bins-out/news-story/43a6b44f4123a20d58efb18791272f28" TargetMode="External"/><Relationship Id="rId18" Type="http://schemas.openxmlformats.org/officeDocument/2006/relationships/hyperlink" Target="https://www.domain.com.au/living/is-it-ever-ok-to-put-your-rubbish-in-a-neighbours-bin-20180829-h14lle-760721/" TargetMode="External"/><Relationship Id="rId26" Type="http://schemas.openxmlformats.org/officeDocument/2006/relationships/hyperlink" Target="https://www.environment.gov.au/system/files/resources/3b8179ea-c9ce-4b51-939c-deca12abd6a7/files/aus-hazwaste-data-reporting-standard-2019.pdf" TargetMode="External"/><Relationship Id="rId3" Type="http://schemas.openxmlformats.org/officeDocument/2006/relationships/hyperlink" Target="https://www.environment.act.gov.au/__data/assets/pdf_file/0003/1414641/ACT-Climate-Change-Strategy-2019-2025.pdf/_recache" TargetMode="External"/><Relationship Id="rId21" Type="http://schemas.openxmlformats.org/officeDocument/2006/relationships/hyperlink" Target="https://www.behaviourworksaustralia.org/portfolios/tackling-the-problem-charity-dumping/" TargetMode="External"/><Relationship Id="rId7" Type="http://schemas.openxmlformats.org/officeDocument/2006/relationships/hyperlink" Target="https://www.epa.nsw.gov.au/-/media/epa/corporate-site/resources/wastestrategy/20p2373-appendix-waste-resource-recovery-report-2108-19.xlsx?la=en&amp;hash=FDCE65DFA69AA7BD854471429BB39E09F9FCFA72" TargetMode="External"/><Relationship Id="rId12" Type="http://schemas.openxmlformats.org/officeDocument/2006/relationships/hyperlink" Target="https://www.facebook.com/groups/951618864874073/permalink/3903712529664677" TargetMode="External"/><Relationship Id="rId17" Type="http://schemas.openxmlformats.org/officeDocument/2006/relationships/hyperlink" Target="https://www.bhg.com.au/is-it-illegal-to-go-through-rubbish-in-australia" TargetMode="External"/><Relationship Id="rId25" Type="http://schemas.openxmlformats.org/officeDocument/2006/relationships/hyperlink" Target="https://designawards.core77.com/Strategy-Research/107773/Behavioural-Wayfinding-Design-for-Sustainable-Resource-Recovery" TargetMode="External"/><Relationship Id="rId2" Type="http://schemas.openxmlformats.org/officeDocument/2006/relationships/hyperlink" Target="https://s3.ap-southeast-2.amazonaws.com/hdp.au.prod.app.act-yoursay.files/8615/2575/8129/WFS_roadmap.pdf" TargetMode="External"/><Relationship Id="rId16" Type="http://schemas.openxmlformats.org/officeDocument/2006/relationships/hyperlink" Target="https://www.paulsrubbish.com.au/is-it-illegal-throw-someone-elses-trash-can/" TargetMode="External"/><Relationship Id="rId20" Type="http://schemas.openxmlformats.org/officeDocument/2006/relationships/hyperlink" Target="https://www.epa.vic.gov.au/report-pollution/illegal-waste-disposal/household-information" TargetMode="External"/><Relationship Id="rId29" Type="http://schemas.openxmlformats.org/officeDocument/2006/relationships/hyperlink" Target="https://www.epa.sa.gov.au/environmental_info/waste_recycling/mass-balance-reporting" TargetMode="External"/><Relationship Id="rId1" Type="http://schemas.openxmlformats.org/officeDocument/2006/relationships/hyperlink" Target="https://www.environment.act.gov.au/__data/assets/pdf_file/0007/576916/ACT-Waste-Strategy-Policy_access.pdf" TargetMode="External"/><Relationship Id="rId6" Type="http://schemas.openxmlformats.org/officeDocument/2006/relationships/hyperlink" Target="https://www.epa.nsw.gov.au/-/media/epa/corporate-site/resources/wastestrategy/20p2373-appendix-waste-resource-recovery-report-2108-19.xlsx?la=en&amp;hash=FDCE65DFA69AA7BD854471429BB39E09F9FCFA72" TargetMode="External"/><Relationship Id="rId11" Type="http://schemas.openxmlformats.org/officeDocument/2006/relationships/hyperlink" Target="https://www.wsms.act.gov.au/bins/s/request-additional-bins?addressId=a0J5m000000Rz28EAC&amp;concession=No" TargetMode="External"/><Relationship Id="rId24" Type="http://schemas.openxmlformats.org/officeDocument/2006/relationships/hyperlink" Target="https://www.insidewaste.com.au/index.php/2019/06/21/opinion-australias-80m-illegal-rubbish-dumping-issue-tackled-through-tech/" TargetMode="External"/><Relationship Id="rId32" Type="http://schemas.openxmlformats.org/officeDocument/2006/relationships/hyperlink" Target="https://www.cityservices.act.gov.au/recyclopaedia/home" TargetMode="External"/><Relationship Id="rId5" Type="http://schemas.openxmlformats.org/officeDocument/2006/relationships/hyperlink" Target="https://www.wasteauthority.wa.gov.au/images/resources/files/FOGO_session_4_presentation__Taryn_Davis.pdf" TargetMode="External"/><Relationship Id="rId15" Type="http://schemas.openxmlformats.org/officeDocument/2006/relationships/hyperlink" Target="https://www.playford.sa.gov.au/live/environment-and-waste/waste-management" TargetMode="External"/><Relationship Id="rId23" Type="http://schemas.openxmlformats.org/officeDocument/2006/relationships/hyperlink" Target="https://www.epa.nsw.gov.au/~/media/EPA/Corporate%20Site/resources/illegaldumping/080045-illegal-dumping.ashx" TargetMode="External"/><Relationship Id="rId28" Type="http://schemas.openxmlformats.org/officeDocument/2006/relationships/hyperlink" Target="https://www.environment.gov.au/system/files/resources/5b86c9f8-074e-4d66-ab11-08bbc69da240/files/national-waste-policy-action-plan-2019.pdf" TargetMode="External"/><Relationship Id="rId10" Type="http://schemas.openxmlformats.org/officeDocument/2006/relationships/hyperlink" Target="https://www.cityservices.act.gov.au/recycling-and-waste/single-use-plastics" TargetMode="External"/><Relationship Id="rId19" Type="http://schemas.openxmlformats.org/officeDocument/2006/relationships/hyperlink" Target="https://the-riotact.com/illegal-unsafe-dumping-at-gungahlin-recycling-centre-shocks-locals/470433" TargetMode="External"/><Relationship Id="rId31" Type="http://schemas.openxmlformats.org/officeDocument/2006/relationships/hyperlink" Target="https://files.accesscanberra.act.gov.au/legacy/3470/Assessment%20and%20classification%20of%20liquid%20and%20non-liquid%20wastes.pdf" TargetMode="External"/><Relationship Id="rId4" Type="http://schemas.openxmlformats.org/officeDocument/2006/relationships/hyperlink" Target="https://www.environment.gov.au/system/files/resources/4683826b-5d9f-4e65-9344-a900060915b1/files/national-food-waste-strategy.pdf" TargetMode="External"/><Relationship Id="rId9" Type="http://schemas.openxmlformats.org/officeDocument/2006/relationships/hyperlink" Target="https://www.qprc.nsw.gov.au/Waste-Environment/Waste/Resource-Recovery-and-Recycling-Programs" TargetMode="External"/><Relationship Id="rId14" Type="http://schemas.openxmlformats.org/officeDocument/2006/relationships/hyperlink" Target="https://www.perthnow.com.au/community-news/comment-news/city-of-gosnells-passes-law-allowing-fines-for-messy-bins-c-782323" TargetMode="External"/><Relationship Id="rId22" Type="http://schemas.openxmlformats.org/officeDocument/2006/relationships/hyperlink" Target="https://www.epa.sa.gov.au/environmental_info/waste_recycling/waste-management" TargetMode="External"/><Relationship Id="rId27" Type="http://schemas.openxmlformats.org/officeDocument/2006/relationships/hyperlink" Target="https://www.legislation.gov.au/Details/F2012C00858" TargetMode="External"/><Relationship Id="rId30" Type="http://schemas.openxmlformats.org/officeDocument/2006/relationships/hyperlink" Target="https://www.epa.vic.gov.au/for-business/business-forms-permits-online-tools/waste-tracker/features-of-waste-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B25E-DFE5-436F-A88B-36C39789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17372</Words>
  <Characters>96009</Characters>
  <Application>Microsoft Office Word</Application>
  <DocSecurity>0</DocSecurity>
  <Lines>2096</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Kirra</dc:creator>
  <cp:keywords/>
  <dc:description/>
  <cp:lastModifiedBy>Moxon, KarenL</cp:lastModifiedBy>
  <cp:revision>4</cp:revision>
  <dcterms:created xsi:type="dcterms:W3CDTF">2021-10-28T01:09:00Z</dcterms:created>
  <dcterms:modified xsi:type="dcterms:W3CDTF">2021-10-28T01:09:00Z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A30462603</vt:lpwstr>
  </property>
  <property fmtid="{D5CDD505-2E9C-101B-9397-08002B2CF9AE}" pid="4" name="Objective-Title">
    <vt:lpwstr>Regulatory Impact Statement</vt:lpwstr>
  </property>
  <property fmtid="{D5CDD505-2E9C-101B-9397-08002B2CF9AE}" pid="5" name="Objective-Comment">
    <vt:lpwstr/>
  </property>
  <property fmtid="{D5CDD505-2E9C-101B-9397-08002B2CF9AE}" pid="6" name="Objective-CreationStamp">
    <vt:filetime>2021-09-08T03:15:06Z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2021-10-27T04:56:24Z</vt:filetime>
  </property>
  <property fmtid="{D5CDD505-2E9C-101B-9397-08002B2CF9AE}" pid="10" name="Objective-ModificationStamp">
    <vt:filetime>2021-10-27T04:58:12Z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Submissons:2021:21/233 - Waste Management and Resource Recovery Regulation Amendment:Final:</vt:lpwstr>
  </property>
  <property fmtid="{D5CDD505-2E9C-101B-9397-08002B2CF9AE}" pid="13" name="Objective-Parent">
    <vt:lpwstr>Final</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1-2021/31509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M Author [system]">
    <vt:lpwstr/>
  </property>
  <property fmtid="{D5CDD505-2E9C-101B-9397-08002B2CF9AE}" pid="33" name="Objective-OM Author Organisation [system]">
    <vt:lpwstr/>
  </property>
  <property fmtid="{D5CDD505-2E9C-101B-9397-08002B2CF9AE}" pid="34" name="Objective-OM Author Type [system]">
    <vt:lpwstr/>
  </property>
  <property fmtid="{D5CDD505-2E9C-101B-9397-08002B2CF9AE}" pid="35" name="Objective-OM Date Received [system]">
    <vt:lpwstr/>
  </property>
  <property fmtid="{D5CDD505-2E9C-101B-9397-08002B2CF9AE}" pid="36" name="Objective-OM Date of Document [system]">
    <vt:lpwstr/>
  </property>
  <property fmtid="{D5CDD505-2E9C-101B-9397-08002B2CF9AE}" pid="37" name="Objective-OM External Reference [system]">
    <vt:lpwstr/>
  </property>
  <property fmtid="{D5CDD505-2E9C-101B-9397-08002B2CF9AE}" pid="38" name="Objective-OM Reference [system]">
    <vt:lpwstr/>
  </property>
  <property fmtid="{D5CDD505-2E9C-101B-9397-08002B2CF9AE}" pid="39" name="Objective-OM Topic [system]">
    <vt:lpwstr/>
  </property>
  <property fmtid="{D5CDD505-2E9C-101B-9397-08002B2CF9AE}" pid="40" name="Objective-Suburb [system]">
    <vt:lpwstr/>
  </property>
  <property fmtid="{D5CDD505-2E9C-101B-9397-08002B2CF9AE}" pid="41" name="Objective-OM Author">
    <vt:lpwstr/>
  </property>
  <property fmtid="{D5CDD505-2E9C-101B-9397-08002B2CF9AE}" pid="42" name="Objective-OM Author Organisation">
    <vt:lpwstr/>
  </property>
  <property fmtid="{D5CDD505-2E9C-101B-9397-08002B2CF9AE}" pid="43" name="Objective-OM Author Type">
    <vt:lpwstr/>
  </property>
  <property fmtid="{D5CDD505-2E9C-101B-9397-08002B2CF9AE}" pid="44" name="Objective-OM Date Received">
    <vt:lpwstr/>
  </property>
  <property fmtid="{D5CDD505-2E9C-101B-9397-08002B2CF9AE}" pid="45" name="Objective-OM Date of Document">
    <vt:lpwstr/>
  </property>
  <property fmtid="{D5CDD505-2E9C-101B-9397-08002B2CF9AE}" pid="46" name="Objective-OM External Reference">
    <vt:lpwstr/>
  </property>
  <property fmtid="{D5CDD505-2E9C-101B-9397-08002B2CF9AE}" pid="47" name="Objective-OM Reference">
    <vt:lpwstr/>
  </property>
  <property fmtid="{D5CDD505-2E9C-101B-9397-08002B2CF9AE}" pid="48" name="Objective-OM Topic">
    <vt:lpwstr/>
  </property>
  <property fmtid="{D5CDD505-2E9C-101B-9397-08002B2CF9AE}" pid="49" name="Objective-Suburb">
    <vt:lpwstr/>
  </property>
  <property fmtid="{D5CDD505-2E9C-101B-9397-08002B2CF9AE}" pid="50" name="Objective-Owner Agency">
    <vt:lpwstr>TCCS</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ies>
</file>