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27.xml" ContentType="application/vnd.openxmlformats-officedocument.wordprocessingml.footer+xml"/>
  <Override PartName="/word/header29.xml" ContentType="application/vnd.openxmlformats-officedocument.wordprocessingml.header+xml"/>
  <Override PartName="/word/footer28.xml" ContentType="application/vnd.openxmlformats-officedocument.wordprocessingml.footer+xml"/>
  <Override PartName="/word/header30.xml" ContentType="application/vnd.openxmlformats-officedocument.wordprocessingml.header+xml"/>
  <Override PartName="/word/footer29.xml" ContentType="application/vnd.openxmlformats-officedocument.wordprocessingml.footer+xml"/>
  <Override PartName="/word/header31.xml" ContentType="application/vnd.openxmlformats-officedocument.wordprocessingml.header+xml"/>
  <Override PartName="/word/footer3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4.xml" ContentType="application/vnd.openxmlformats-officedocument.wordprocessingml.header+xml"/>
  <Override PartName="/word/footer33.xml" ContentType="application/vnd.openxmlformats-officedocument.wordprocessingml.footer+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35.xml" ContentType="application/vnd.openxmlformats-officedocument.wordprocessingml.header+xml"/>
  <Override PartName="/word/header36.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7.xml" ContentType="application/vnd.openxmlformats-officedocument.wordprocessingml.header+xml"/>
  <Override PartName="/word/footer36.xml" ContentType="application/vnd.openxmlformats-officedocument.wordprocessingml.footer+xml"/>
  <Override PartName="/word/header38.xml" ContentType="application/vnd.openxmlformats-officedocument.wordprocessingml.header+xml"/>
  <Override PartName="/word/footer37.xml" ContentType="application/vnd.openxmlformats-officedocument.wordprocessingml.footer+xml"/>
  <Override PartName="/word/header39.xml" ContentType="application/vnd.openxmlformats-officedocument.wordprocessingml.header+xml"/>
  <Override PartName="/word/footer38.xml" ContentType="application/vnd.openxmlformats-officedocument.wordprocessingml.footer+xml"/>
  <Override PartName="/word/header40.xml" ContentType="application/vnd.openxmlformats-officedocument.wordprocessingml.header+xml"/>
  <Override PartName="/word/footer39.xml" ContentType="application/vnd.openxmlformats-officedocument.wordprocessingml.footer+xml"/>
  <Override PartName="/word/header41.xml" ContentType="application/vnd.openxmlformats-officedocument.wordprocessingml.header+xml"/>
  <Override PartName="/word/footer40.xml" ContentType="application/vnd.openxmlformats-officedocument.wordprocessingml.footer+xml"/>
  <Override PartName="/word/header42.xml" ContentType="application/vnd.openxmlformats-officedocument.wordprocessingml.header+xml"/>
  <Override PartName="/word/footer41.xml" ContentType="application/vnd.openxmlformats-officedocument.wordprocessingml.footer+xml"/>
  <Override PartName="/word/header43.xml" ContentType="application/vnd.openxmlformats-officedocument.wordprocessingml.header+xml"/>
  <Override PartName="/word/footer42.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6.xml" ContentType="application/vnd.openxmlformats-officedocument.wordprocessingml.header+xml"/>
  <Override PartName="/word/footer4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61" w:type="dxa"/>
        <w:tblLayout w:type="fixed"/>
        <w:tblCellMar>
          <w:left w:w="0" w:type="dxa"/>
          <w:right w:w="0" w:type="dxa"/>
        </w:tblCellMar>
        <w:tblLook w:val="0000" w:firstRow="0" w:lastRow="0" w:firstColumn="0" w:lastColumn="0" w:noHBand="0" w:noVBand="0"/>
      </w:tblPr>
      <w:tblGrid>
        <w:gridCol w:w="1200"/>
        <w:gridCol w:w="8461"/>
      </w:tblGrid>
      <w:tr w:rsidR="00676882" w:rsidRPr="0030451B" w14:paraId="14BAC71E" w14:textId="77777777" w:rsidTr="00DF45FA">
        <w:trPr>
          <w:trHeight w:hRule="exact" w:val="332"/>
        </w:trPr>
        <w:tc>
          <w:tcPr>
            <w:tcW w:w="9661" w:type="dxa"/>
            <w:gridSpan w:val="2"/>
            <w:shd w:val="clear" w:color="auto" w:fill="auto"/>
            <w:vAlign w:val="center"/>
          </w:tcPr>
          <w:p w14:paraId="5E3790CC" w14:textId="77777777" w:rsidR="00676882" w:rsidRPr="0030451B" w:rsidRDefault="00676882" w:rsidP="00DF45FA">
            <w:pPr>
              <w:pStyle w:val="CpReportDate"/>
            </w:pPr>
            <w:r>
              <w:t>6</w:t>
            </w:r>
            <w:r w:rsidRPr="0030451B">
              <w:t xml:space="preserve"> </w:t>
            </w:r>
            <w:sdt>
              <w:sdtPr>
                <w:id w:val="637381329"/>
                <w:placeholder>
                  <w:docPart w:val="3CA2EAF96CBE47A787C225B98BD4D891"/>
                </w:placeholder>
                <w:date w:fullDate="2021-09-07T00:00:00Z">
                  <w:dateFormat w:val="MMMM yyyy"/>
                  <w:lid w:val="en-AU"/>
                  <w:storeMappedDataAs w:val="dateTime"/>
                  <w:calendar w:val="gregorian"/>
                </w:date>
              </w:sdtPr>
              <w:sdtContent>
                <w:r w:rsidRPr="00205B1B">
                  <w:t>September 2021</w:t>
                </w:r>
              </w:sdtContent>
            </w:sdt>
          </w:p>
        </w:tc>
      </w:tr>
      <w:tr w:rsidR="00676882" w14:paraId="595C6D8F" w14:textId="77777777" w:rsidTr="00DF45FA">
        <w:sdt>
          <w:sdtPr>
            <w:rPr>
              <w:color w:val="FFFFFF" w:themeColor="background1"/>
            </w:rPr>
            <w:id w:val="58070252"/>
            <w:placeholder>
              <w:docPart w:val="5353BE9BF02E4449917F71C9348A8F3E"/>
            </w:placeholder>
            <w:showingPlcHdr/>
            <w:comboBox>
              <w:listItem w:displayText="Report to" w:value="Report to"/>
              <w:listItem w:displayText="Proposal to" w:value="Proposal to"/>
            </w:comboBox>
          </w:sdtPr>
          <w:sdtContent>
            <w:tc>
              <w:tcPr>
                <w:tcW w:w="1200" w:type="dxa"/>
                <w:shd w:val="clear" w:color="auto" w:fill="auto"/>
                <w:tcMar>
                  <w:bottom w:w="432" w:type="dxa"/>
                </w:tcMar>
              </w:tcPr>
              <w:p w14:paraId="5C7577AE" w14:textId="77777777" w:rsidR="00676882" w:rsidRPr="004D166C" w:rsidRDefault="00676882" w:rsidP="00DF45FA">
                <w:pPr>
                  <w:pStyle w:val="CpReportTo"/>
                  <w:rPr>
                    <w:color w:val="FFFFFF" w:themeColor="background1"/>
                  </w:rPr>
                </w:pPr>
                <w:r w:rsidRPr="00205B1B">
                  <w:rPr>
                    <w:rStyle w:val="PlaceholderText"/>
                    <w:color w:val="9D85BE"/>
                  </w:rPr>
                  <w:t>Report to</w:t>
                </w:r>
              </w:p>
            </w:tc>
          </w:sdtContent>
        </w:sdt>
        <w:tc>
          <w:tcPr>
            <w:tcW w:w="8461" w:type="dxa"/>
            <w:shd w:val="clear" w:color="auto" w:fill="auto"/>
          </w:tcPr>
          <w:p w14:paraId="217D2761" w14:textId="77777777" w:rsidR="00676882" w:rsidRPr="004D166C" w:rsidRDefault="00676882" w:rsidP="00DF45FA">
            <w:pPr>
              <w:pStyle w:val="CpClientName"/>
              <w:rPr>
                <w:color w:val="FFFFFF" w:themeColor="background1"/>
              </w:rPr>
            </w:pPr>
            <w:r w:rsidRPr="004D166C">
              <w:rPr>
                <w:color w:val="FFFFFF" w:themeColor="background1"/>
              </w:rPr>
              <w:t>Environment, Planning and Sustainable Development Directorate</w:t>
            </w:r>
          </w:p>
        </w:tc>
      </w:tr>
      <w:tr w:rsidR="00676882" w14:paraId="45F15A07" w14:textId="77777777" w:rsidTr="00DF45FA">
        <w:tc>
          <w:tcPr>
            <w:tcW w:w="9661" w:type="dxa"/>
            <w:gridSpan w:val="2"/>
            <w:shd w:val="clear" w:color="auto" w:fill="auto"/>
          </w:tcPr>
          <w:p w14:paraId="49E3DF11" w14:textId="77777777" w:rsidR="00676882" w:rsidRPr="00D2365F" w:rsidRDefault="00676882" w:rsidP="00DF45FA">
            <w:pPr>
              <w:pStyle w:val="CpTitle"/>
            </w:pPr>
            <w:r w:rsidRPr="00D2365F">
              <w:t>Minimum standards for residential rental properties</w:t>
            </w:r>
          </w:p>
        </w:tc>
      </w:tr>
      <w:tr w:rsidR="00676882" w14:paraId="41E13AE2" w14:textId="77777777" w:rsidTr="00DF45FA">
        <w:tc>
          <w:tcPr>
            <w:tcW w:w="9661" w:type="dxa"/>
            <w:gridSpan w:val="2"/>
            <w:shd w:val="clear" w:color="auto" w:fill="auto"/>
          </w:tcPr>
          <w:p w14:paraId="5717A9FD" w14:textId="77777777" w:rsidR="00676882" w:rsidRPr="00D2365F" w:rsidRDefault="00676882" w:rsidP="00DF45FA">
            <w:pPr>
              <w:pStyle w:val="CpSubTitle"/>
              <w:spacing w:after="120"/>
              <w:rPr>
                <w:color w:val="FFFFFF" w:themeColor="background1"/>
              </w:rPr>
            </w:pPr>
            <w:r w:rsidRPr="00D2365F">
              <w:rPr>
                <w:color w:val="FFFFFF" w:themeColor="background1"/>
              </w:rPr>
              <w:t>Regulation Impact Statement</w:t>
            </w:r>
          </w:p>
        </w:tc>
      </w:tr>
    </w:tbl>
    <w:p w14:paraId="789CC01F" w14:textId="77777777" w:rsidR="00676882" w:rsidRPr="00F24675" w:rsidRDefault="00676882" w:rsidP="00676882">
      <w:pPr>
        <w:pStyle w:val="BodyText"/>
        <w:rPr>
          <w:color w:val="FFFFFF" w:themeColor="background1"/>
        </w:rPr>
      </w:pPr>
      <w:r>
        <w:rPr>
          <w:noProof/>
        </w:rPr>
        <w:drawing>
          <wp:anchor distT="0" distB="0" distL="114300" distR="114300" simplePos="0" relativeHeight="251678720" behindDoc="1" locked="0" layoutInCell="1" allowOverlap="1" wp14:anchorId="2DF3E5CD" wp14:editId="00C3C185">
            <wp:simplePos x="0" y="0"/>
            <wp:positionH relativeFrom="page">
              <wp:align>left</wp:align>
            </wp:positionH>
            <wp:positionV relativeFrom="paragraph">
              <wp:posOffset>-4812030</wp:posOffset>
            </wp:positionV>
            <wp:extent cx="7559675" cy="10693400"/>
            <wp:effectExtent l="0" t="0" r="317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59675" cy="10693400"/>
                    </a:xfrm>
                    <a:prstGeom prst="rect">
                      <a:avLst/>
                    </a:prstGeom>
                    <a:noFill/>
                  </pic:spPr>
                </pic:pic>
              </a:graphicData>
            </a:graphic>
            <wp14:sizeRelH relativeFrom="page">
              <wp14:pctWidth>0</wp14:pctWidth>
            </wp14:sizeRelH>
            <wp14:sizeRelV relativeFrom="page">
              <wp14:pctHeight>0</wp14:pctHeight>
            </wp14:sizeRelV>
          </wp:anchor>
        </w:drawing>
      </w:r>
      <w:r>
        <w:rPr>
          <w:color w:val="FFFFFF" w:themeColor="background1"/>
        </w:rPr>
        <w:t>SL2022-16</w:t>
      </w:r>
    </w:p>
    <w:p w14:paraId="3083652A" w14:textId="77777777" w:rsidR="00676882" w:rsidRPr="00F24675" w:rsidRDefault="00676882" w:rsidP="00676882">
      <w:pPr>
        <w:pStyle w:val="BodyText"/>
        <w:rPr>
          <w:rFonts w:ascii="Yu Gothic Medium" w:hAnsi="Yu Gothic Medium"/>
          <w:color w:val="FFFFFF" w:themeColor="background1"/>
          <w:sz w:val="48"/>
        </w:rPr>
        <w:sectPr w:rsidR="00676882" w:rsidRPr="00F24675" w:rsidSect="008D7430">
          <w:headerReference w:type="even" r:id="rId9"/>
          <w:headerReference w:type="default" r:id="rId10"/>
          <w:footerReference w:type="even" r:id="rId11"/>
          <w:footerReference w:type="default" r:id="rId12"/>
          <w:headerReference w:type="first" r:id="rId13"/>
          <w:footerReference w:type="first" r:id="rId14"/>
          <w:pgSz w:w="11906" w:h="16838" w:code="9"/>
          <w:pgMar w:top="2557" w:right="1111" w:bottom="1134" w:left="1134" w:header="454" w:footer="164" w:gutter="0"/>
          <w:cols w:space="708"/>
          <w:titlePg/>
          <w:docGrid w:linePitch="360"/>
        </w:sectPr>
      </w:pPr>
    </w:p>
    <w:tbl>
      <w:tblPr>
        <w:tblW w:w="10052" w:type="dxa"/>
        <w:tblLayout w:type="fixed"/>
        <w:tblLook w:val="0000" w:firstRow="0" w:lastRow="0" w:firstColumn="0" w:lastColumn="0" w:noHBand="0" w:noVBand="0"/>
      </w:tblPr>
      <w:tblGrid>
        <w:gridCol w:w="10052"/>
      </w:tblGrid>
      <w:tr w:rsidR="00676882" w14:paraId="3C9A4A9E" w14:textId="77777777" w:rsidTr="00DF45FA">
        <w:trPr>
          <w:trHeight w:hRule="exact" w:val="140"/>
        </w:trPr>
        <w:tc>
          <w:tcPr>
            <w:tcW w:w="10052" w:type="dxa"/>
            <w:shd w:val="clear" w:color="auto" w:fill="auto"/>
          </w:tcPr>
          <w:p w14:paraId="3BCCD87F" w14:textId="77777777" w:rsidR="00676882" w:rsidRDefault="00676882" w:rsidP="00DF45FA">
            <w:pPr>
              <w:pStyle w:val="tagcontactsPage-Front"/>
            </w:pPr>
            <w:r w:rsidRPr="00071FB4">
              <w:rPr>
                <w:noProof/>
              </w:rPr>
              <w:lastRenderedPageBreak/>
              <mc:AlternateContent>
                <mc:Choice Requires="wps">
                  <w:drawing>
                    <wp:anchor distT="0" distB="0" distL="114300" distR="114300" simplePos="0" relativeHeight="251675648" behindDoc="1" locked="1" layoutInCell="1" allowOverlap="1" wp14:anchorId="70E3A8D6" wp14:editId="68D1094F">
                      <wp:simplePos x="0" y="0"/>
                      <wp:positionH relativeFrom="page">
                        <wp:posOffset>-728980</wp:posOffset>
                      </wp:positionH>
                      <wp:positionV relativeFrom="page">
                        <wp:posOffset>-709930</wp:posOffset>
                      </wp:positionV>
                      <wp:extent cx="7560310" cy="10692130"/>
                      <wp:effectExtent l="0" t="0" r="2540" b="0"/>
                      <wp:wrapNone/>
                      <wp:docPr id="30" name="aac_BackColour">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310" cy="10692130"/>
                              </a:xfrm>
                              <a:prstGeom prst="rect">
                                <a:avLst/>
                              </a:prstGeom>
                              <a:solidFill>
                                <a:srgbClr val="14003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044EA4" id="aac_BackColour" o:spid="_x0000_s1026" alt="&quot;&quot;" style="position:absolute;margin-left:-57.4pt;margin-top:-55.9pt;width:595.3pt;height:841.9pt;z-index:-25164083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" fillcolor="#140034" stroked="f" strokeweight="1pt">
                      <w10:wrap anchorx="page" anchory="page"/>
                      <w10:anchorlock/>
                    </v:rect>
                  </w:pict>
                </mc:Fallback>
              </mc:AlternateContent>
            </w:r>
          </w:p>
        </w:tc>
      </w:tr>
      <w:tr w:rsidR="00676882" w14:paraId="43E6E2F2" w14:textId="77777777" w:rsidTr="00DF45FA">
        <w:trPr>
          <w:trHeight w:hRule="exact" w:val="14432"/>
        </w:trPr>
        <w:tc>
          <w:tcPr>
            <w:tcW w:w="10052" w:type="dxa"/>
            <w:shd w:val="clear" w:color="auto" w:fill="auto"/>
            <w:vAlign w:val="bottom"/>
          </w:tcPr>
          <w:tbl>
            <w:tblPr>
              <w:tblW w:w="9836" w:type="dxa"/>
              <w:tblLayout w:type="fixed"/>
              <w:tblLook w:val="0000" w:firstRow="0" w:lastRow="0" w:firstColumn="0" w:lastColumn="0" w:noHBand="0" w:noVBand="0"/>
              <w:tblCaption w:val="About ACIL Allen"/>
              <w:tblDescription w:val="About ACIL Allen"/>
            </w:tblPr>
            <w:tblGrid>
              <w:gridCol w:w="9836"/>
            </w:tblGrid>
            <w:tr w:rsidR="00676882" w14:paraId="1495F894" w14:textId="77777777" w:rsidTr="00DF45FA">
              <w:tc>
                <w:tcPr>
                  <w:tcW w:w="9836" w:type="dxa"/>
                  <w:shd w:val="clear" w:color="auto" w:fill="auto"/>
                  <w:tcMar>
                    <w:bottom w:w="136" w:type="dxa"/>
                  </w:tcMar>
                </w:tcPr>
                <w:p w14:paraId="062D5802" w14:textId="77777777" w:rsidR="00676882" w:rsidRPr="008D7430" w:rsidRDefault="00676882" w:rsidP="00DF45FA">
                  <w:pPr>
                    <w:pStyle w:val="CpAboutAcilAllen"/>
                    <w:rPr>
                      <w:b/>
                      <w:color w:val="FFFEFF"/>
                    </w:rPr>
                  </w:pPr>
                  <w:r>
                    <w:rPr>
                      <w:b/>
                      <w:color w:val="FFFEFF"/>
                    </w:rPr>
                    <w:t>About ACIL Allen</w:t>
                  </w:r>
                </w:p>
              </w:tc>
            </w:tr>
            <w:tr w:rsidR="00676882" w14:paraId="674511FE" w14:textId="77777777" w:rsidTr="00DF45FA">
              <w:tc>
                <w:tcPr>
                  <w:tcW w:w="9836" w:type="dxa"/>
                  <w:shd w:val="clear" w:color="auto" w:fill="auto"/>
                  <w:tcMar>
                    <w:bottom w:w="320" w:type="dxa"/>
                  </w:tcMar>
                </w:tcPr>
                <w:p w14:paraId="586E13EA" w14:textId="77777777" w:rsidR="00676882" w:rsidRPr="00D2365F" w:rsidRDefault="00676882" w:rsidP="00DF45FA">
                  <w:pPr>
                    <w:pStyle w:val="CpAboutAcilAllen"/>
                    <w:rPr>
                      <w:color w:val="FFFFFF" w:themeColor="background1"/>
                    </w:rPr>
                  </w:pPr>
                  <w:r w:rsidRPr="00D2365F">
                    <w:rPr>
                      <w:color w:val="FFFFFF" w:themeColor="background1"/>
                    </w:rPr>
                    <w:t>ACIL Allen is a leading independent economics, policy and strategy advisory firm, dedicated to helping clients solve complex issues.</w:t>
                  </w:r>
                </w:p>
                <w:p w14:paraId="11FEE329" w14:textId="77777777" w:rsidR="00676882" w:rsidRPr="00D2365F" w:rsidRDefault="00676882" w:rsidP="00DF45FA">
                  <w:pPr>
                    <w:pStyle w:val="CpAboutAcilAllen"/>
                    <w:rPr>
                      <w:color w:val="FFFFFF" w:themeColor="background1"/>
                    </w:rPr>
                  </w:pPr>
                  <w:r w:rsidRPr="00D2365F">
                    <w:rPr>
                      <w:color w:val="FFFFFF" w:themeColor="background1"/>
                    </w:rPr>
                    <w:t>Our purpose is to help clients make informed decisions about complex economic and public policy issues.</w:t>
                  </w:r>
                </w:p>
                <w:p w14:paraId="7A5D45A0" w14:textId="77777777" w:rsidR="00676882" w:rsidRDefault="00676882" w:rsidP="00DF45FA">
                  <w:pPr>
                    <w:pStyle w:val="CpAboutAcilAllen"/>
                  </w:pPr>
                  <w:r w:rsidRPr="00D2365F">
                    <w:rPr>
                      <w:color w:val="FFFFFF" w:themeColor="background1"/>
                    </w:rPr>
                    <w:t>Our vision is to be Australia’s most trusted economics, policy and strategy advisory firm. We are committed and passionate about providing rigorous independent advice that contributes to a better world.</w:t>
                  </w:r>
                </w:p>
              </w:tc>
            </w:tr>
            <w:tr w:rsidR="00676882" w14:paraId="3723F64A" w14:textId="77777777" w:rsidTr="00DF45FA">
              <w:tc>
                <w:tcPr>
                  <w:tcW w:w="9836" w:type="dxa"/>
                  <w:shd w:val="clear" w:color="auto" w:fill="auto"/>
                </w:tcPr>
                <w:p w14:paraId="5FD03BAD" w14:textId="77777777" w:rsidR="00676882" w:rsidRPr="003B2C2B" w:rsidRDefault="00676882" w:rsidP="00DF45FA">
                  <w:pPr>
                    <w:pStyle w:val="CpDisclaimer9pt"/>
                  </w:pPr>
                  <w:r>
                    <w:t xml:space="preserve">Suggested </w:t>
                  </w:r>
                  <w:r w:rsidRPr="003B2C2B">
                    <w:t>citation</w:t>
                  </w:r>
                  <w:r>
                    <w:t xml:space="preserve"> </w:t>
                  </w:r>
                  <w:r w:rsidRPr="003B2C2B">
                    <w:t>for</w:t>
                  </w:r>
                  <w:r>
                    <w:t xml:space="preserve"> </w:t>
                  </w:r>
                  <w:r w:rsidRPr="003B2C2B">
                    <w:t>this</w:t>
                  </w:r>
                  <w:r>
                    <w:t xml:space="preserve"> </w:t>
                  </w:r>
                  <w:r w:rsidRPr="003B2C2B">
                    <w:t>report</w:t>
                  </w:r>
                </w:p>
                <w:p w14:paraId="528E4618" w14:textId="77777777" w:rsidR="00676882" w:rsidRPr="00EC4734" w:rsidRDefault="00676882" w:rsidP="00DF45FA">
                  <w:pPr>
                    <w:pStyle w:val="CpDisclaimer9pt"/>
                  </w:pPr>
                  <w:r w:rsidRPr="003B2C2B">
                    <w:t>ACIL</w:t>
                  </w:r>
                  <w:r>
                    <w:t xml:space="preserve"> </w:t>
                  </w:r>
                  <w:r w:rsidRPr="003B2C2B">
                    <w:t>Allen.</w:t>
                  </w:r>
                  <w:r>
                    <w:t xml:space="preserve"> </w:t>
                  </w:r>
                  <w:r w:rsidRPr="003B2C2B">
                    <w:t>(2021).</w:t>
                  </w:r>
                  <w:r>
                    <w:t xml:space="preserve"> </w:t>
                  </w:r>
                  <w:r w:rsidRPr="003B2C2B">
                    <w:rPr>
                      <w:i/>
                      <w:iCs/>
                    </w:rPr>
                    <w:t>Minimum</w:t>
                  </w:r>
                  <w:r>
                    <w:rPr>
                      <w:i/>
                      <w:iCs/>
                    </w:rPr>
                    <w:t xml:space="preserve"> </w:t>
                  </w:r>
                  <w:r w:rsidRPr="003B2C2B">
                    <w:rPr>
                      <w:i/>
                      <w:iCs/>
                    </w:rPr>
                    <w:t>standards</w:t>
                  </w:r>
                  <w:r>
                    <w:rPr>
                      <w:i/>
                      <w:iCs/>
                    </w:rPr>
                    <w:t xml:space="preserve"> </w:t>
                  </w:r>
                  <w:r w:rsidRPr="003B2C2B">
                    <w:rPr>
                      <w:i/>
                      <w:iCs/>
                    </w:rPr>
                    <w:t>for</w:t>
                  </w:r>
                  <w:r>
                    <w:rPr>
                      <w:i/>
                      <w:iCs/>
                    </w:rPr>
                    <w:t xml:space="preserve"> </w:t>
                  </w:r>
                  <w:r w:rsidRPr="003B2C2B">
                    <w:rPr>
                      <w:i/>
                      <w:iCs/>
                    </w:rPr>
                    <w:t>residential</w:t>
                  </w:r>
                  <w:r>
                    <w:rPr>
                      <w:i/>
                      <w:iCs/>
                    </w:rPr>
                    <w:t xml:space="preserve"> </w:t>
                  </w:r>
                  <w:r w:rsidRPr="003B2C2B">
                    <w:rPr>
                      <w:i/>
                      <w:iCs/>
                    </w:rPr>
                    <w:t>rental</w:t>
                  </w:r>
                  <w:r>
                    <w:rPr>
                      <w:i/>
                      <w:iCs/>
                    </w:rPr>
                    <w:t xml:space="preserve"> </w:t>
                  </w:r>
                  <w:r w:rsidRPr="003B2C2B">
                    <w:rPr>
                      <w:i/>
                      <w:iCs/>
                    </w:rPr>
                    <w:t>properties: Regulation</w:t>
                  </w:r>
                  <w:r>
                    <w:rPr>
                      <w:i/>
                      <w:iCs/>
                    </w:rPr>
                    <w:t xml:space="preserve"> </w:t>
                  </w:r>
                  <w:r w:rsidRPr="003B2C2B">
                    <w:rPr>
                      <w:i/>
                      <w:iCs/>
                    </w:rPr>
                    <w:t>Impact</w:t>
                  </w:r>
                  <w:r>
                    <w:rPr>
                      <w:i/>
                      <w:iCs/>
                    </w:rPr>
                    <w:t xml:space="preserve"> </w:t>
                  </w:r>
                  <w:r w:rsidRPr="003B2C2B">
                    <w:rPr>
                      <w:i/>
                      <w:iCs/>
                    </w:rPr>
                    <w:t>Statement.</w:t>
                  </w:r>
                  <w:r>
                    <w:rPr>
                      <w:i/>
                      <w:iCs/>
                    </w:rPr>
                    <w:t xml:space="preserve"> </w:t>
                  </w:r>
                  <w:r>
                    <w:t xml:space="preserve">Canberra. </w:t>
                  </w:r>
                  <w:r w:rsidRPr="003B2C2B">
                    <w:t>Report</w:t>
                  </w:r>
                  <w:r>
                    <w:t xml:space="preserve"> </w:t>
                  </w:r>
                  <w:r w:rsidRPr="003B2C2B">
                    <w:t>prepared</w:t>
                  </w:r>
                  <w:r>
                    <w:t xml:space="preserve"> </w:t>
                  </w:r>
                  <w:r w:rsidRPr="003B2C2B">
                    <w:t>for</w:t>
                  </w:r>
                  <w:r>
                    <w:t xml:space="preserve"> </w:t>
                  </w:r>
                  <w:r w:rsidRPr="003B2C2B">
                    <w:t>Environment,</w:t>
                  </w:r>
                  <w:r>
                    <w:t xml:space="preserve"> </w:t>
                  </w:r>
                  <w:r w:rsidRPr="003B2C2B">
                    <w:t>Planning</w:t>
                  </w:r>
                  <w:r>
                    <w:t xml:space="preserve"> </w:t>
                  </w:r>
                  <w:r w:rsidRPr="003B2C2B">
                    <w:t>and</w:t>
                  </w:r>
                  <w:r>
                    <w:t xml:space="preserve"> </w:t>
                  </w:r>
                  <w:r w:rsidRPr="003B2C2B">
                    <w:t>Sustainable</w:t>
                  </w:r>
                  <w:r>
                    <w:t xml:space="preserve"> </w:t>
                  </w:r>
                  <w:r w:rsidRPr="003B2C2B">
                    <w:t>Development</w:t>
                  </w:r>
                  <w:r>
                    <w:t xml:space="preserve"> </w:t>
                  </w:r>
                  <w:r w:rsidRPr="003B2C2B">
                    <w:t>Directorate.</w:t>
                  </w:r>
                </w:p>
              </w:tc>
            </w:tr>
            <w:tr w:rsidR="00676882" w14:paraId="5F3E6471" w14:textId="77777777" w:rsidTr="00DF45FA">
              <w:tc>
                <w:tcPr>
                  <w:tcW w:w="9836" w:type="dxa"/>
                  <w:shd w:val="clear" w:color="auto" w:fill="auto"/>
                </w:tcPr>
                <w:p w14:paraId="79AC3A1D" w14:textId="77777777" w:rsidR="00676882" w:rsidRDefault="00676882" w:rsidP="00DF45FA">
                  <w:pPr>
                    <w:pStyle w:val="CpDisclaimer"/>
                  </w:pPr>
                  <w:r>
                    <w:fldChar w:fldCharType="begin"/>
                  </w:r>
                  <w:r>
                    <w:instrText xml:space="preserve"> COMMENTS  \* MERGEFORMAT </w:instrText>
                  </w:r>
                  <w:r>
                    <w:fldChar w:fldCharType="separate"/>
                  </w:r>
                  <w:r>
                    <w:t>© ACIL Allen 2021</w:t>
                  </w:r>
                  <w:r>
                    <w:fldChar w:fldCharType="end"/>
                  </w:r>
                </w:p>
              </w:tc>
            </w:tr>
            <w:tr w:rsidR="00676882" w14:paraId="578F0552" w14:textId="77777777" w:rsidTr="00DF45FA">
              <w:trPr>
                <w:trHeight w:hRule="exact" w:val="64"/>
              </w:trPr>
              <w:tc>
                <w:tcPr>
                  <w:tcW w:w="9836" w:type="dxa"/>
                  <w:shd w:val="clear" w:color="auto" w:fill="auto"/>
                </w:tcPr>
                <w:p w14:paraId="77A03144" w14:textId="77777777" w:rsidR="00676882" w:rsidRDefault="00676882" w:rsidP="00DF45FA">
                  <w:pPr>
                    <w:pStyle w:val="spacer"/>
                  </w:pPr>
                </w:p>
              </w:tc>
            </w:tr>
          </w:tbl>
          <w:p w14:paraId="24CC124D" w14:textId="77777777" w:rsidR="00676882" w:rsidRDefault="00676882" w:rsidP="00DF45FA">
            <w:pPr>
              <w:pStyle w:val="BodyText"/>
            </w:pPr>
          </w:p>
        </w:tc>
      </w:tr>
    </w:tbl>
    <w:p w14:paraId="0B9D48FD" w14:textId="77777777" w:rsidR="00676882" w:rsidRDefault="00676882" w:rsidP="00676882">
      <w:pPr>
        <w:pStyle w:val="BodyText"/>
      </w:pPr>
    </w:p>
    <w:p w14:paraId="2C05DB0B" w14:textId="77777777" w:rsidR="00676882" w:rsidRDefault="00676882" w:rsidP="00676882">
      <w:pPr>
        <w:pStyle w:val="BodyText"/>
        <w:sectPr w:rsidR="00676882" w:rsidSect="008D7430">
          <w:headerReference w:type="even" r:id="rId15"/>
          <w:headerReference w:type="default" r:id="rId16"/>
          <w:footerReference w:type="even" r:id="rId17"/>
          <w:footerReference w:type="default" r:id="rId18"/>
          <w:headerReference w:type="first" r:id="rId19"/>
          <w:footerReference w:type="first" r:id="rId20"/>
          <w:pgSz w:w="11906" w:h="16838" w:code="9"/>
          <w:pgMar w:top="1134" w:right="720" w:bottom="518" w:left="1134" w:header="454" w:footer="288" w:gutter="0"/>
          <w:cols w:space="708"/>
          <w:docGrid w:linePitch="360"/>
        </w:sectPr>
      </w:pPr>
    </w:p>
    <w:p w14:paraId="77B0F342" w14:textId="77777777" w:rsidR="00676882" w:rsidRDefault="00676882" w:rsidP="00676882">
      <w:pPr>
        <w:pStyle w:val="TOC1"/>
        <w:rPr>
          <w:rFonts w:asciiTheme="minorHAnsi" w:eastAsiaTheme="minorEastAsia" w:hAnsiTheme="minorHAnsi"/>
          <w:b w:val="0"/>
          <w:color w:val="auto"/>
          <w:sz w:val="22"/>
          <w:lang w:eastAsia="en-AU"/>
        </w:rPr>
      </w:pPr>
      <w:r>
        <w:rPr>
          <w:b w:val="0"/>
          <w:color w:val="000100"/>
        </w:rPr>
        <w:lastRenderedPageBreak/>
        <w:fldChar w:fldCharType="begin"/>
      </w:r>
      <w:r>
        <w:rPr>
          <w:b w:val="0"/>
          <w:color w:val="000100"/>
        </w:rPr>
        <w:instrText xml:space="preserve"> TOC \o "2-2" \h \z \t "Heading 1,2,Heading 2,3,Part xx,1,Heading 1 (ES),1,App - Divider (Heading),1,Heading 1 (AP),2,Heading 2 (AP),3,Heading (glossary),1" </w:instrText>
      </w:r>
      <w:r>
        <w:rPr>
          <w:b w:val="0"/>
          <w:color w:val="000100"/>
        </w:rPr>
        <w:fldChar w:fldCharType="separate"/>
      </w:r>
      <w:hyperlink w:anchor="_Toc80712570" w:history="1">
        <w:r w:rsidRPr="00817188">
          <w:rPr>
            <w:rStyle w:val="Hyperlink"/>
          </w:rPr>
          <w:t>Executive summary</w:t>
        </w:r>
        <w:r>
          <w:rPr>
            <w:webHidden/>
          </w:rPr>
          <w:tab/>
        </w:r>
        <w:r>
          <w:rPr>
            <w:webHidden/>
          </w:rPr>
          <w:fldChar w:fldCharType="begin"/>
        </w:r>
        <w:r>
          <w:rPr>
            <w:webHidden/>
          </w:rPr>
          <w:instrText xml:space="preserve"> PAGEREF _Toc80712570 \h </w:instrText>
        </w:r>
        <w:r>
          <w:rPr>
            <w:webHidden/>
          </w:rPr>
        </w:r>
        <w:r>
          <w:rPr>
            <w:webHidden/>
          </w:rPr>
          <w:fldChar w:fldCharType="separate"/>
        </w:r>
        <w:r>
          <w:rPr>
            <w:webHidden/>
          </w:rPr>
          <w:t>1</w:t>
        </w:r>
        <w:r>
          <w:rPr>
            <w:webHidden/>
          </w:rPr>
          <w:fldChar w:fldCharType="end"/>
        </w:r>
      </w:hyperlink>
    </w:p>
    <w:p w14:paraId="5A712901" w14:textId="77777777" w:rsidR="00676882" w:rsidRDefault="00676882" w:rsidP="00676882">
      <w:pPr>
        <w:pStyle w:val="TOC2"/>
        <w:rPr>
          <w:rFonts w:asciiTheme="minorHAnsi" w:eastAsiaTheme="minorEastAsia" w:hAnsiTheme="minorHAnsi"/>
          <w:b w:val="0"/>
          <w:color w:val="auto"/>
          <w:sz w:val="22"/>
          <w:lang w:eastAsia="en-AU"/>
        </w:rPr>
      </w:pPr>
      <w:hyperlink w:anchor="_Toc80712571" w:history="1">
        <w:r w:rsidRPr="00817188">
          <w:rPr>
            <w:rStyle w:val="Hyperlink"/>
          </w:rPr>
          <w:t>1</w:t>
        </w:r>
        <w:r>
          <w:rPr>
            <w:rFonts w:asciiTheme="minorHAnsi" w:eastAsiaTheme="minorEastAsia" w:hAnsiTheme="minorHAnsi"/>
            <w:b w:val="0"/>
            <w:color w:val="auto"/>
            <w:sz w:val="22"/>
            <w:lang w:eastAsia="en-AU"/>
          </w:rPr>
          <w:tab/>
        </w:r>
        <w:r w:rsidRPr="00817188">
          <w:rPr>
            <w:rStyle w:val="Hyperlink"/>
          </w:rPr>
          <w:t>Introduction</w:t>
        </w:r>
        <w:r>
          <w:rPr>
            <w:webHidden/>
          </w:rPr>
          <w:tab/>
        </w:r>
        <w:r>
          <w:rPr>
            <w:webHidden/>
          </w:rPr>
          <w:fldChar w:fldCharType="begin"/>
        </w:r>
        <w:r>
          <w:rPr>
            <w:webHidden/>
          </w:rPr>
          <w:instrText xml:space="preserve"> PAGEREF _Toc80712571 \h </w:instrText>
        </w:r>
        <w:r>
          <w:rPr>
            <w:webHidden/>
          </w:rPr>
        </w:r>
        <w:r>
          <w:rPr>
            <w:webHidden/>
          </w:rPr>
          <w:fldChar w:fldCharType="separate"/>
        </w:r>
        <w:r>
          <w:rPr>
            <w:webHidden/>
          </w:rPr>
          <w:t>5</w:t>
        </w:r>
        <w:r>
          <w:rPr>
            <w:webHidden/>
          </w:rPr>
          <w:fldChar w:fldCharType="end"/>
        </w:r>
      </w:hyperlink>
    </w:p>
    <w:p w14:paraId="423EF949" w14:textId="77777777" w:rsidR="00676882" w:rsidRDefault="00676882" w:rsidP="00676882">
      <w:pPr>
        <w:pStyle w:val="TOC2"/>
        <w:rPr>
          <w:rFonts w:asciiTheme="minorHAnsi" w:eastAsiaTheme="minorEastAsia" w:hAnsiTheme="minorHAnsi"/>
          <w:b w:val="0"/>
          <w:color w:val="auto"/>
          <w:sz w:val="22"/>
          <w:lang w:eastAsia="en-AU"/>
        </w:rPr>
      </w:pPr>
      <w:hyperlink w:anchor="_Toc80712573" w:history="1">
        <w:r w:rsidRPr="00817188">
          <w:rPr>
            <w:rStyle w:val="Hyperlink"/>
          </w:rPr>
          <w:t>2</w:t>
        </w:r>
        <w:r>
          <w:rPr>
            <w:rFonts w:asciiTheme="minorHAnsi" w:eastAsiaTheme="minorEastAsia" w:hAnsiTheme="minorHAnsi"/>
            <w:b w:val="0"/>
            <w:color w:val="auto"/>
            <w:sz w:val="22"/>
            <w:lang w:eastAsia="en-AU"/>
          </w:rPr>
          <w:tab/>
        </w:r>
        <w:r w:rsidRPr="00817188">
          <w:rPr>
            <w:rStyle w:val="Hyperlink"/>
          </w:rPr>
          <w:t>The problem</w:t>
        </w:r>
        <w:r>
          <w:rPr>
            <w:webHidden/>
          </w:rPr>
          <w:tab/>
        </w:r>
        <w:r>
          <w:rPr>
            <w:webHidden/>
          </w:rPr>
          <w:fldChar w:fldCharType="begin"/>
        </w:r>
        <w:r>
          <w:rPr>
            <w:webHidden/>
          </w:rPr>
          <w:instrText xml:space="preserve"> PAGEREF _Toc80712573 \h </w:instrText>
        </w:r>
        <w:r>
          <w:rPr>
            <w:webHidden/>
          </w:rPr>
        </w:r>
        <w:r>
          <w:rPr>
            <w:webHidden/>
          </w:rPr>
          <w:fldChar w:fldCharType="separate"/>
        </w:r>
        <w:r>
          <w:rPr>
            <w:webHidden/>
          </w:rPr>
          <w:t>6</w:t>
        </w:r>
        <w:r>
          <w:rPr>
            <w:webHidden/>
          </w:rPr>
          <w:fldChar w:fldCharType="end"/>
        </w:r>
      </w:hyperlink>
    </w:p>
    <w:p w14:paraId="04EE2AE8"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74" w:history="1">
        <w:r w:rsidRPr="00817188">
          <w:rPr>
            <w:rStyle w:val="Hyperlink"/>
          </w:rPr>
          <w:t>2.1</w:t>
        </w:r>
        <w:r>
          <w:rPr>
            <w:rFonts w:asciiTheme="minorHAnsi" w:eastAsiaTheme="minorEastAsia" w:hAnsiTheme="minorHAnsi"/>
            <w:color w:val="auto"/>
            <w:position w:val="0"/>
            <w:lang w:eastAsia="en-AU"/>
          </w:rPr>
          <w:tab/>
        </w:r>
        <w:r w:rsidRPr="00817188">
          <w:rPr>
            <w:rStyle w:val="Hyperlink"/>
          </w:rPr>
          <w:t>The rental housing stock</w:t>
        </w:r>
        <w:r>
          <w:rPr>
            <w:webHidden/>
          </w:rPr>
          <w:tab/>
        </w:r>
        <w:r>
          <w:rPr>
            <w:webHidden/>
          </w:rPr>
          <w:fldChar w:fldCharType="begin"/>
        </w:r>
        <w:r>
          <w:rPr>
            <w:webHidden/>
          </w:rPr>
          <w:instrText xml:space="preserve"> PAGEREF _Toc80712574 \h </w:instrText>
        </w:r>
        <w:r>
          <w:rPr>
            <w:webHidden/>
          </w:rPr>
        </w:r>
        <w:r>
          <w:rPr>
            <w:webHidden/>
          </w:rPr>
          <w:fldChar w:fldCharType="separate"/>
        </w:r>
        <w:r>
          <w:rPr>
            <w:webHidden/>
          </w:rPr>
          <w:t>6</w:t>
        </w:r>
        <w:r>
          <w:rPr>
            <w:webHidden/>
          </w:rPr>
          <w:fldChar w:fldCharType="end"/>
        </w:r>
      </w:hyperlink>
    </w:p>
    <w:p w14:paraId="3FF0C16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75" w:history="1">
        <w:r w:rsidRPr="00817188">
          <w:rPr>
            <w:rStyle w:val="Hyperlink"/>
          </w:rPr>
          <w:t>2.2</w:t>
        </w:r>
        <w:r>
          <w:rPr>
            <w:rFonts w:asciiTheme="minorHAnsi" w:eastAsiaTheme="minorEastAsia" w:hAnsiTheme="minorHAnsi"/>
            <w:color w:val="auto"/>
            <w:position w:val="0"/>
            <w:lang w:eastAsia="en-AU"/>
          </w:rPr>
          <w:tab/>
        </w:r>
        <w:r w:rsidRPr="00817188">
          <w:rPr>
            <w:rStyle w:val="Hyperlink"/>
          </w:rPr>
          <w:t>Energy costs to tenants</w:t>
        </w:r>
        <w:r>
          <w:rPr>
            <w:webHidden/>
          </w:rPr>
          <w:tab/>
        </w:r>
        <w:r>
          <w:rPr>
            <w:webHidden/>
          </w:rPr>
          <w:fldChar w:fldCharType="begin"/>
        </w:r>
        <w:r>
          <w:rPr>
            <w:webHidden/>
          </w:rPr>
          <w:instrText xml:space="preserve"> PAGEREF _Toc80712575 \h </w:instrText>
        </w:r>
        <w:r>
          <w:rPr>
            <w:webHidden/>
          </w:rPr>
        </w:r>
        <w:r>
          <w:rPr>
            <w:webHidden/>
          </w:rPr>
          <w:fldChar w:fldCharType="separate"/>
        </w:r>
        <w:r>
          <w:rPr>
            <w:webHidden/>
          </w:rPr>
          <w:t>9</w:t>
        </w:r>
        <w:r>
          <w:rPr>
            <w:webHidden/>
          </w:rPr>
          <w:fldChar w:fldCharType="end"/>
        </w:r>
      </w:hyperlink>
    </w:p>
    <w:p w14:paraId="12384BF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76" w:history="1">
        <w:r w:rsidRPr="00817188">
          <w:rPr>
            <w:rStyle w:val="Hyperlink"/>
          </w:rPr>
          <w:t>2.3</w:t>
        </w:r>
        <w:r>
          <w:rPr>
            <w:rFonts w:asciiTheme="minorHAnsi" w:eastAsiaTheme="minorEastAsia" w:hAnsiTheme="minorHAnsi"/>
            <w:color w:val="auto"/>
            <w:position w:val="0"/>
            <w:lang w:eastAsia="en-AU"/>
          </w:rPr>
          <w:tab/>
        </w:r>
        <w:r w:rsidRPr="00817188">
          <w:rPr>
            <w:rStyle w:val="Hyperlink"/>
          </w:rPr>
          <w:t>Tenancy impacts of poor thermal control</w:t>
        </w:r>
        <w:r>
          <w:rPr>
            <w:webHidden/>
          </w:rPr>
          <w:tab/>
        </w:r>
        <w:r>
          <w:rPr>
            <w:webHidden/>
          </w:rPr>
          <w:fldChar w:fldCharType="begin"/>
        </w:r>
        <w:r>
          <w:rPr>
            <w:webHidden/>
          </w:rPr>
          <w:instrText xml:space="preserve"> PAGEREF _Toc80712576 \h </w:instrText>
        </w:r>
        <w:r>
          <w:rPr>
            <w:webHidden/>
          </w:rPr>
        </w:r>
        <w:r>
          <w:rPr>
            <w:webHidden/>
          </w:rPr>
          <w:fldChar w:fldCharType="separate"/>
        </w:r>
        <w:r>
          <w:rPr>
            <w:webHidden/>
          </w:rPr>
          <w:t>11</w:t>
        </w:r>
        <w:r>
          <w:rPr>
            <w:webHidden/>
          </w:rPr>
          <w:fldChar w:fldCharType="end"/>
        </w:r>
      </w:hyperlink>
    </w:p>
    <w:p w14:paraId="14C6D10B"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77" w:history="1">
        <w:r w:rsidRPr="00817188">
          <w:rPr>
            <w:rStyle w:val="Hyperlink"/>
          </w:rPr>
          <w:t>2.4</w:t>
        </w:r>
        <w:r>
          <w:rPr>
            <w:rFonts w:asciiTheme="minorHAnsi" w:eastAsiaTheme="minorEastAsia" w:hAnsiTheme="minorHAnsi"/>
            <w:color w:val="auto"/>
            <w:position w:val="0"/>
            <w:lang w:eastAsia="en-AU"/>
          </w:rPr>
          <w:tab/>
        </w:r>
        <w:r w:rsidRPr="00817188">
          <w:rPr>
            <w:rStyle w:val="Hyperlink"/>
          </w:rPr>
          <w:t>Environmental impacts of poor thermal control</w:t>
        </w:r>
        <w:r>
          <w:rPr>
            <w:webHidden/>
          </w:rPr>
          <w:tab/>
        </w:r>
        <w:r>
          <w:rPr>
            <w:webHidden/>
          </w:rPr>
          <w:fldChar w:fldCharType="begin"/>
        </w:r>
        <w:r>
          <w:rPr>
            <w:webHidden/>
          </w:rPr>
          <w:instrText xml:space="preserve"> PAGEREF _Toc80712577 \h </w:instrText>
        </w:r>
        <w:r>
          <w:rPr>
            <w:webHidden/>
          </w:rPr>
        </w:r>
        <w:r>
          <w:rPr>
            <w:webHidden/>
          </w:rPr>
          <w:fldChar w:fldCharType="separate"/>
        </w:r>
        <w:r>
          <w:rPr>
            <w:webHidden/>
          </w:rPr>
          <w:t>15</w:t>
        </w:r>
        <w:r>
          <w:rPr>
            <w:webHidden/>
          </w:rPr>
          <w:fldChar w:fldCharType="end"/>
        </w:r>
      </w:hyperlink>
    </w:p>
    <w:p w14:paraId="2A4E611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78" w:history="1">
        <w:r w:rsidRPr="00817188">
          <w:rPr>
            <w:rStyle w:val="Hyperlink"/>
          </w:rPr>
          <w:t>2.5</w:t>
        </w:r>
        <w:r>
          <w:rPr>
            <w:rFonts w:asciiTheme="minorHAnsi" w:eastAsiaTheme="minorEastAsia" w:hAnsiTheme="minorHAnsi"/>
            <w:color w:val="auto"/>
            <w:position w:val="0"/>
            <w:lang w:eastAsia="en-AU"/>
          </w:rPr>
          <w:tab/>
        </w:r>
        <w:r w:rsidRPr="00817188">
          <w:rPr>
            <w:rStyle w:val="Hyperlink"/>
          </w:rPr>
          <w:t>Conclusion</w:t>
        </w:r>
        <w:r>
          <w:rPr>
            <w:webHidden/>
          </w:rPr>
          <w:tab/>
        </w:r>
        <w:r>
          <w:rPr>
            <w:webHidden/>
          </w:rPr>
          <w:fldChar w:fldCharType="begin"/>
        </w:r>
        <w:r>
          <w:rPr>
            <w:webHidden/>
          </w:rPr>
          <w:instrText xml:space="preserve"> PAGEREF _Toc80712578 \h </w:instrText>
        </w:r>
        <w:r>
          <w:rPr>
            <w:webHidden/>
          </w:rPr>
        </w:r>
        <w:r>
          <w:rPr>
            <w:webHidden/>
          </w:rPr>
          <w:fldChar w:fldCharType="separate"/>
        </w:r>
        <w:r>
          <w:rPr>
            <w:webHidden/>
          </w:rPr>
          <w:t>16</w:t>
        </w:r>
        <w:r>
          <w:rPr>
            <w:webHidden/>
          </w:rPr>
          <w:fldChar w:fldCharType="end"/>
        </w:r>
      </w:hyperlink>
    </w:p>
    <w:p w14:paraId="1BEED3B9" w14:textId="77777777" w:rsidR="00676882" w:rsidRDefault="00676882" w:rsidP="00676882">
      <w:pPr>
        <w:pStyle w:val="TOC2"/>
        <w:rPr>
          <w:rFonts w:asciiTheme="minorHAnsi" w:eastAsiaTheme="minorEastAsia" w:hAnsiTheme="minorHAnsi"/>
          <w:b w:val="0"/>
          <w:color w:val="auto"/>
          <w:sz w:val="22"/>
          <w:lang w:eastAsia="en-AU"/>
        </w:rPr>
      </w:pPr>
      <w:hyperlink w:anchor="_Toc80712580" w:history="1">
        <w:r w:rsidRPr="00817188">
          <w:rPr>
            <w:rStyle w:val="Hyperlink"/>
          </w:rPr>
          <w:t>3</w:t>
        </w:r>
        <w:r>
          <w:rPr>
            <w:rFonts w:asciiTheme="minorHAnsi" w:eastAsiaTheme="minorEastAsia" w:hAnsiTheme="minorHAnsi"/>
            <w:b w:val="0"/>
            <w:color w:val="auto"/>
            <w:sz w:val="22"/>
            <w:lang w:eastAsia="en-AU"/>
          </w:rPr>
          <w:tab/>
        </w:r>
        <w:r w:rsidRPr="00817188">
          <w:rPr>
            <w:rStyle w:val="Hyperlink"/>
          </w:rPr>
          <w:t>The need for government intervention</w:t>
        </w:r>
        <w:r>
          <w:rPr>
            <w:webHidden/>
          </w:rPr>
          <w:tab/>
        </w:r>
        <w:r>
          <w:rPr>
            <w:webHidden/>
          </w:rPr>
          <w:fldChar w:fldCharType="begin"/>
        </w:r>
        <w:r>
          <w:rPr>
            <w:webHidden/>
          </w:rPr>
          <w:instrText xml:space="preserve"> PAGEREF _Toc80712580 \h </w:instrText>
        </w:r>
        <w:r>
          <w:rPr>
            <w:webHidden/>
          </w:rPr>
        </w:r>
        <w:r>
          <w:rPr>
            <w:webHidden/>
          </w:rPr>
          <w:fldChar w:fldCharType="separate"/>
        </w:r>
        <w:r>
          <w:rPr>
            <w:webHidden/>
          </w:rPr>
          <w:t>17</w:t>
        </w:r>
        <w:r>
          <w:rPr>
            <w:webHidden/>
          </w:rPr>
          <w:fldChar w:fldCharType="end"/>
        </w:r>
      </w:hyperlink>
    </w:p>
    <w:p w14:paraId="343D0E10"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1" w:history="1">
        <w:r w:rsidRPr="00817188">
          <w:rPr>
            <w:rStyle w:val="Hyperlink"/>
          </w:rPr>
          <w:t>3.1</w:t>
        </w:r>
        <w:r>
          <w:rPr>
            <w:rFonts w:asciiTheme="minorHAnsi" w:eastAsiaTheme="minorEastAsia" w:hAnsiTheme="minorHAnsi"/>
            <w:color w:val="auto"/>
            <w:position w:val="0"/>
            <w:lang w:eastAsia="en-AU"/>
          </w:rPr>
          <w:tab/>
        </w:r>
        <w:r w:rsidRPr="00817188">
          <w:rPr>
            <w:rStyle w:val="Hyperlink"/>
          </w:rPr>
          <w:t>Market failures</w:t>
        </w:r>
        <w:r>
          <w:rPr>
            <w:webHidden/>
          </w:rPr>
          <w:tab/>
        </w:r>
        <w:r>
          <w:rPr>
            <w:webHidden/>
          </w:rPr>
          <w:fldChar w:fldCharType="begin"/>
        </w:r>
        <w:r>
          <w:rPr>
            <w:webHidden/>
          </w:rPr>
          <w:instrText xml:space="preserve"> PAGEREF _Toc80712581 \h </w:instrText>
        </w:r>
        <w:r>
          <w:rPr>
            <w:webHidden/>
          </w:rPr>
        </w:r>
        <w:r>
          <w:rPr>
            <w:webHidden/>
          </w:rPr>
          <w:fldChar w:fldCharType="separate"/>
        </w:r>
        <w:r>
          <w:rPr>
            <w:webHidden/>
          </w:rPr>
          <w:t>17</w:t>
        </w:r>
        <w:r>
          <w:rPr>
            <w:webHidden/>
          </w:rPr>
          <w:fldChar w:fldCharType="end"/>
        </w:r>
      </w:hyperlink>
    </w:p>
    <w:p w14:paraId="25515BF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2" w:history="1">
        <w:r w:rsidRPr="00817188">
          <w:rPr>
            <w:rStyle w:val="Hyperlink"/>
          </w:rPr>
          <w:t>3.2</w:t>
        </w:r>
        <w:r>
          <w:rPr>
            <w:rFonts w:asciiTheme="minorHAnsi" w:eastAsiaTheme="minorEastAsia" w:hAnsiTheme="minorHAnsi"/>
            <w:color w:val="auto"/>
            <w:position w:val="0"/>
            <w:lang w:eastAsia="en-AU"/>
          </w:rPr>
          <w:tab/>
        </w:r>
        <w:r w:rsidRPr="00817188">
          <w:rPr>
            <w:rStyle w:val="Hyperlink"/>
          </w:rPr>
          <w:t>Split incentives in the context of thermal comfort for rental households</w:t>
        </w:r>
        <w:r>
          <w:rPr>
            <w:webHidden/>
          </w:rPr>
          <w:tab/>
        </w:r>
        <w:r>
          <w:rPr>
            <w:webHidden/>
          </w:rPr>
          <w:fldChar w:fldCharType="begin"/>
        </w:r>
        <w:r>
          <w:rPr>
            <w:webHidden/>
          </w:rPr>
          <w:instrText xml:space="preserve"> PAGEREF _Toc80712582 \h </w:instrText>
        </w:r>
        <w:r>
          <w:rPr>
            <w:webHidden/>
          </w:rPr>
        </w:r>
        <w:r>
          <w:rPr>
            <w:webHidden/>
          </w:rPr>
          <w:fldChar w:fldCharType="separate"/>
        </w:r>
        <w:r>
          <w:rPr>
            <w:webHidden/>
          </w:rPr>
          <w:t>17</w:t>
        </w:r>
        <w:r>
          <w:rPr>
            <w:webHidden/>
          </w:rPr>
          <w:fldChar w:fldCharType="end"/>
        </w:r>
      </w:hyperlink>
    </w:p>
    <w:p w14:paraId="3D412E7A"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3" w:history="1">
        <w:r w:rsidRPr="00817188">
          <w:rPr>
            <w:rStyle w:val="Hyperlink"/>
          </w:rPr>
          <w:t>3.3</w:t>
        </w:r>
        <w:r>
          <w:rPr>
            <w:rFonts w:asciiTheme="minorHAnsi" w:eastAsiaTheme="minorEastAsia" w:hAnsiTheme="minorHAnsi"/>
            <w:color w:val="auto"/>
            <w:position w:val="0"/>
            <w:lang w:eastAsia="en-AU"/>
          </w:rPr>
          <w:tab/>
        </w:r>
        <w:r w:rsidRPr="00817188">
          <w:rPr>
            <w:rStyle w:val="Hyperlink"/>
          </w:rPr>
          <w:t>Interaction of split incentives and information asymmetry</w:t>
        </w:r>
        <w:r>
          <w:rPr>
            <w:webHidden/>
          </w:rPr>
          <w:tab/>
        </w:r>
        <w:r>
          <w:rPr>
            <w:webHidden/>
          </w:rPr>
          <w:fldChar w:fldCharType="begin"/>
        </w:r>
        <w:r>
          <w:rPr>
            <w:webHidden/>
          </w:rPr>
          <w:instrText xml:space="preserve"> PAGEREF _Toc80712583 \h </w:instrText>
        </w:r>
        <w:r>
          <w:rPr>
            <w:webHidden/>
          </w:rPr>
        </w:r>
        <w:r>
          <w:rPr>
            <w:webHidden/>
          </w:rPr>
          <w:fldChar w:fldCharType="separate"/>
        </w:r>
        <w:r>
          <w:rPr>
            <w:webHidden/>
          </w:rPr>
          <w:t>18</w:t>
        </w:r>
        <w:r>
          <w:rPr>
            <w:webHidden/>
          </w:rPr>
          <w:fldChar w:fldCharType="end"/>
        </w:r>
      </w:hyperlink>
    </w:p>
    <w:p w14:paraId="08A0D6D0"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4" w:history="1">
        <w:r w:rsidRPr="00817188">
          <w:rPr>
            <w:rStyle w:val="Hyperlink"/>
          </w:rPr>
          <w:t>3.4</w:t>
        </w:r>
        <w:r>
          <w:rPr>
            <w:rFonts w:asciiTheme="minorHAnsi" w:eastAsiaTheme="minorEastAsia" w:hAnsiTheme="minorHAnsi"/>
            <w:color w:val="auto"/>
            <w:position w:val="0"/>
            <w:lang w:eastAsia="en-AU"/>
          </w:rPr>
          <w:tab/>
        </w:r>
        <w:r w:rsidRPr="00817188">
          <w:rPr>
            <w:rStyle w:val="Hyperlink"/>
          </w:rPr>
          <w:t>Other barriers</w:t>
        </w:r>
        <w:r>
          <w:rPr>
            <w:webHidden/>
          </w:rPr>
          <w:tab/>
        </w:r>
        <w:r>
          <w:rPr>
            <w:webHidden/>
          </w:rPr>
          <w:fldChar w:fldCharType="begin"/>
        </w:r>
        <w:r>
          <w:rPr>
            <w:webHidden/>
          </w:rPr>
          <w:instrText xml:space="preserve"> PAGEREF _Toc80712584 \h </w:instrText>
        </w:r>
        <w:r>
          <w:rPr>
            <w:webHidden/>
          </w:rPr>
        </w:r>
        <w:r>
          <w:rPr>
            <w:webHidden/>
          </w:rPr>
          <w:fldChar w:fldCharType="separate"/>
        </w:r>
        <w:r>
          <w:rPr>
            <w:webHidden/>
          </w:rPr>
          <w:t>19</w:t>
        </w:r>
        <w:r>
          <w:rPr>
            <w:webHidden/>
          </w:rPr>
          <w:fldChar w:fldCharType="end"/>
        </w:r>
      </w:hyperlink>
    </w:p>
    <w:p w14:paraId="1D5DB0E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5" w:history="1">
        <w:r w:rsidRPr="00817188">
          <w:rPr>
            <w:rStyle w:val="Hyperlink"/>
            <w:rFonts w:cstheme="majorBidi"/>
          </w:rPr>
          <w:t>3.5</w:t>
        </w:r>
        <w:r>
          <w:rPr>
            <w:rFonts w:asciiTheme="minorHAnsi" w:eastAsiaTheme="minorEastAsia" w:hAnsiTheme="minorHAnsi"/>
            <w:color w:val="auto"/>
            <w:position w:val="0"/>
            <w:lang w:eastAsia="en-AU"/>
          </w:rPr>
          <w:tab/>
        </w:r>
        <w:r w:rsidRPr="00817188">
          <w:rPr>
            <w:rStyle w:val="Hyperlink"/>
          </w:rPr>
          <w:t>Summarising the case for government action</w:t>
        </w:r>
        <w:r>
          <w:rPr>
            <w:webHidden/>
          </w:rPr>
          <w:tab/>
        </w:r>
        <w:r>
          <w:rPr>
            <w:webHidden/>
          </w:rPr>
          <w:fldChar w:fldCharType="begin"/>
        </w:r>
        <w:r>
          <w:rPr>
            <w:webHidden/>
          </w:rPr>
          <w:instrText xml:space="preserve"> PAGEREF _Toc80712585 \h </w:instrText>
        </w:r>
        <w:r>
          <w:rPr>
            <w:webHidden/>
          </w:rPr>
        </w:r>
        <w:r>
          <w:rPr>
            <w:webHidden/>
          </w:rPr>
          <w:fldChar w:fldCharType="separate"/>
        </w:r>
        <w:r>
          <w:rPr>
            <w:webHidden/>
          </w:rPr>
          <w:t>24</w:t>
        </w:r>
        <w:r>
          <w:rPr>
            <w:webHidden/>
          </w:rPr>
          <w:fldChar w:fldCharType="end"/>
        </w:r>
      </w:hyperlink>
    </w:p>
    <w:p w14:paraId="2E581809" w14:textId="77777777" w:rsidR="00676882" w:rsidRDefault="00676882" w:rsidP="00676882">
      <w:pPr>
        <w:pStyle w:val="TOC2"/>
        <w:rPr>
          <w:rFonts w:asciiTheme="minorHAnsi" w:eastAsiaTheme="minorEastAsia" w:hAnsiTheme="minorHAnsi"/>
          <w:b w:val="0"/>
          <w:color w:val="auto"/>
          <w:sz w:val="22"/>
          <w:lang w:eastAsia="en-AU"/>
        </w:rPr>
      </w:pPr>
      <w:hyperlink w:anchor="_Toc80712586" w:history="1">
        <w:r w:rsidRPr="00817188">
          <w:rPr>
            <w:rStyle w:val="Hyperlink"/>
          </w:rPr>
          <w:t>4</w:t>
        </w:r>
        <w:r>
          <w:rPr>
            <w:rFonts w:asciiTheme="minorHAnsi" w:eastAsiaTheme="minorEastAsia" w:hAnsiTheme="minorHAnsi"/>
            <w:b w:val="0"/>
            <w:color w:val="auto"/>
            <w:sz w:val="22"/>
            <w:lang w:eastAsia="en-AU"/>
          </w:rPr>
          <w:tab/>
        </w:r>
        <w:r w:rsidRPr="00817188">
          <w:rPr>
            <w:rStyle w:val="Hyperlink"/>
          </w:rPr>
          <w:t>Policy options</w:t>
        </w:r>
        <w:r>
          <w:rPr>
            <w:webHidden/>
          </w:rPr>
          <w:tab/>
        </w:r>
        <w:r>
          <w:rPr>
            <w:webHidden/>
          </w:rPr>
          <w:fldChar w:fldCharType="begin"/>
        </w:r>
        <w:r>
          <w:rPr>
            <w:webHidden/>
          </w:rPr>
          <w:instrText xml:space="preserve"> PAGEREF _Toc80712586 \h </w:instrText>
        </w:r>
        <w:r>
          <w:rPr>
            <w:webHidden/>
          </w:rPr>
        </w:r>
        <w:r>
          <w:rPr>
            <w:webHidden/>
          </w:rPr>
          <w:fldChar w:fldCharType="separate"/>
        </w:r>
        <w:r>
          <w:rPr>
            <w:webHidden/>
          </w:rPr>
          <w:t>25</w:t>
        </w:r>
        <w:r>
          <w:rPr>
            <w:webHidden/>
          </w:rPr>
          <w:fldChar w:fldCharType="end"/>
        </w:r>
      </w:hyperlink>
    </w:p>
    <w:p w14:paraId="049ED8C1"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7" w:history="1">
        <w:r w:rsidRPr="00817188">
          <w:rPr>
            <w:rStyle w:val="Hyperlink"/>
          </w:rPr>
          <w:t>4.1</w:t>
        </w:r>
        <w:r>
          <w:rPr>
            <w:rFonts w:asciiTheme="minorHAnsi" w:eastAsiaTheme="minorEastAsia" w:hAnsiTheme="minorHAnsi"/>
            <w:color w:val="auto"/>
            <w:position w:val="0"/>
            <w:lang w:eastAsia="en-AU"/>
          </w:rPr>
          <w:tab/>
        </w:r>
        <w:r w:rsidRPr="00817188">
          <w:rPr>
            <w:rStyle w:val="Hyperlink"/>
          </w:rPr>
          <w:t>Spectrum of potential government actions</w:t>
        </w:r>
        <w:r>
          <w:rPr>
            <w:webHidden/>
          </w:rPr>
          <w:tab/>
        </w:r>
        <w:r>
          <w:rPr>
            <w:webHidden/>
          </w:rPr>
          <w:fldChar w:fldCharType="begin"/>
        </w:r>
        <w:r>
          <w:rPr>
            <w:webHidden/>
          </w:rPr>
          <w:instrText xml:space="preserve"> PAGEREF _Toc80712587 \h </w:instrText>
        </w:r>
        <w:r>
          <w:rPr>
            <w:webHidden/>
          </w:rPr>
        </w:r>
        <w:r>
          <w:rPr>
            <w:webHidden/>
          </w:rPr>
          <w:fldChar w:fldCharType="separate"/>
        </w:r>
        <w:r>
          <w:rPr>
            <w:webHidden/>
          </w:rPr>
          <w:t>25</w:t>
        </w:r>
        <w:r>
          <w:rPr>
            <w:webHidden/>
          </w:rPr>
          <w:fldChar w:fldCharType="end"/>
        </w:r>
      </w:hyperlink>
    </w:p>
    <w:p w14:paraId="5CEE2287"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8" w:history="1">
        <w:r w:rsidRPr="00817188">
          <w:rPr>
            <w:rStyle w:val="Hyperlink"/>
          </w:rPr>
          <w:t>4.2</w:t>
        </w:r>
        <w:r>
          <w:rPr>
            <w:rFonts w:asciiTheme="minorHAnsi" w:eastAsiaTheme="minorEastAsia" w:hAnsiTheme="minorHAnsi"/>
            <w:color w:val="auto"/>
            <w:position w:val="0"/>
            <w:lang w:eastAsia="en-AU"/>
          </w:rPr>
          <w:tab/>
        </w:r>
        <w:r w:rsidRPr="00817188">
          <w:rPr>
            <w:rStyle w:val="Hyperlink"/>
          </w:rPr>
          <w:t>How best can government intervene?</w:t>
        </w:r>
        <w:r>
          <w:rPr>
            <w:webHidden/>
          </w:rPr>
          <w:tab/>
        </w:r>
        <w:r>
          <w:rPr>
            <w:webHidden/>
          </w:rPr>
          <w:fldChar w:fldCharType="begin"/>
        </w:r>
        <w:r>
          <w:rPr>
            <w:webHidden/>
          </w:rPr>
          <w:instrText xml:space="preserve"> PAGEREF _Toc80712588 \h </w:instrText>
        </w:r>
        <w:r>
          <w:rPr>
            <w:webHidden/>
          </w:rPr>
        </w:r>
        <w:r>
          <w:rPr>
            <w:webHidden/>
          </w:rPr>
          <w:fldChar w:fldCharType="separate"/>
        </w:r>
        <w:r>
          <w:rPr>
            <w:webHidden/>
          </w:rPr>
          <w:t>26</w:t>
        </w:r>
        <w:r>
          <w:rPr>
            <w:webHidden/>
          </w:rPr>
          <w:fldChar w:fldCharType="end"/>
        </w:r>
      </w:hyperlink>
    </w:p>
    <w:p w14:paraId="36AF7AA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89" w:history="1">
        <w:r w:rsidRPr="00817188">
          <w:rPr>
            <w:rStyle w:val="Hyperlink"/>
          </w:rPr>
          <w:t>4.3</w:t>
        </w:r>
        <w:r>
          <w:rPr>
            <w:rFonts w:asciiTheme="minorHAnsi" w:eastAsiaTheme="minorEastAsia" w:hAnsiTheme="minorHAnsi"/>
            <w:color w:val="auto"/>
            <w:position w:val="0"/>
            <w:lang w:eastAsia="en-AU"/>
          </w:rPr>
          <w:tab/>
        </w:r>
        <w:r w:rsidRPr="00817188">
          <w:rPr>
            <w:rStyle w:val="Hyperlink"/>
          </w:rPr>
          <w:t>Options considered</w:t>
        </w:r>
        <w:r>
          <w:rPr>
            <w:webHidden/>
          </w:rPr>
          <w:tab/>
        </w:r>
        <w:r>
          <w:rPr>
            <w:webHidden/>
          </w:rPr>
          <w:fldChar w:fldCharType="begin"/>
        </w:r>
        <w:r>
          <w:rPr>
            <w:webHidden/>
          </w:rPr>
          <w:instrText xml:space="preserve"> PAGEREF _Toc80712589 \h </w:instrText>
        </w:r>
        <w:r>
          <w:rPr>
            <w:webHidden/>
          </w:rPr>
        </w:r>
        <w:r>
          <w:rPr>
            <w:webHidden/>
          </w:rPr>
          <w:fldChar w:fldCharType="separate"/>
        </w:r>
        <w:r>
          <w:rPr>
            <w:webHidden/>
          </w:rPr>
          <w:t>32</w:t>
        </w:r>
        <w:r>
          <w:rPr>
            <w:webHidden/>
          </w:rPr>
          <w:fldChar w:fldCharType="end"/>
        </w:r>
      </w:hyperlink>
    </w:p>
    <w:p w14:paraId="0500F179" w14:textId="77777777" w:rsidR="00676882" w:rsidRDefault="00676882" w:rsidP="00676882">
      <w:pPr>
        <w:pStyle w:val="TOC2"/>
        <w:rPr>
          <w:rFonts w:asciiTheme="minorHAnsi" w:eastAsiaTheme="minorEastAsia" w:hAnsiTheme="minorHAnsi"/>
          <w:b w:val="0"/>
          <w:color w:val="auto"/>
          <w:sz w:val="22"/>
          <w:lang w:eastAsia="en-AU"/>
        </w:rPr>
      </w:pPr>
      <w:hyperlink w:anchor="_Toc80712590" w:history="1">
        <w:r w:rsidRPr="00817188">
          <w:rPr>
            <w:rStyle w:val="Hyperlink"/>
          </w:rPr>
          <w:t>5</w:t>
        </w:r>
        <w:r>
          <w:rPr>
            <w:rFonts w:asciiTheme="minorHAnsi" w:eastAsiaTheme="minorEastAsia" w:hAnsiTheme="minorHAnsi"/>
            <w:b w:val="0"/>
            <w:color w:val="auto"/>
            <w:sz w:val="22"/>
            <w:lang w:eastAsia="en-AU"/>
          </w:rPr>
          <w:tab/>
        </w:r>
        <w:r w:rsidRPr="00817188">
          <w:rPr>
            <w:rStyle w:val="Hyperlink"/>
          </w:rPr>
          <w:t>Impact analysis</w:t>
        </w:r>
        <w:r>
          <w:rPr>
            <w:webHidden/>
          </w:rPr>
          <w:tab/>
        </w:r>
        <w:r>
          <w:rPr>
            <w:webHidden/>
          </w:rPr>
          <w:fldChar w:fldCharType="begin"/>
        </w:r>
        <w:r>
          <w:rPr>
            <w:webHidden/>
          </w:rPr>
          <w:instrText xml:space="preserve"> PAGEREF _Toc80712590 \h </w:instrText>
        </w:r>
        <w:r>
          <w:rPr>
            <w:webHidden/>
          </w:rPr>
        </w:r>
        <w:r>
          <w:rPr>
            <w:webHidden/>
          </w:rPr>
          <w:fldChar w:fldCharType="separate"/>
        </w:r>
        <w:r>
          <w:rPr>
            <w:webHidden/>
          </w:rPr>
          <w:t>35</w:t>
        </w:r>
        <w:r>
          <w:rPr>
            <w:webHidden/>
          </w:rPr>
          <w:fldChar w:fldCharType="end"/>
        </w:r>
      </w:hyperlink>
    </w:p>
    <w:p w14:paraId="103C6728"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1" w:history="1">
        <w:r w:rsidRPr="00817188">
          <w:rPr>
            <w:rStyle w:val="Hyperlink"/>
          </w:rPr>
          <w:t>5.1</w:t>
        </w:r>
        <w:r>
          <w:rPr>
            <w:rFonts w:asciiTheme="minorHAnsi" w:eastAsiaTheme="minorEastAsia" w:hAnsiTheme="minorHAnsi"/>
            <w:color w:val="auto"/>
            <w:position w:val="0"/>
            <w:lang w:eastAsia="en-AU"/>
          </w:rPr>
          <w:tab/>
        </w:r>
        <w:r w:rsidRPr="00817188">
          <w:rPr>
            <w:rStyle w:val="Hyperlink"/>
          </w:rPr>
          <w:t>Impacts included in the analysis</w:t>
        </w:r>
        <w:r>
          <w:rPr>
            <w:webHidden/>
          </w:rPr>
          <w:tab/>
        </w:r>
        <w:r>
          <w:rPr>
            <w:webHidden/>
          </w:rPr>
          <w:fldChar w:fldCharType="begin"/>
        </w:r>
        <w:r>
          <w:rPr>
            <w:webHidden/>
          </w:rPr>
          <w:instrText xml:space="preserve"> PAGEREF _Toc80712591 \h </w:instrText>
        </w:r>
        <w:r>
          <w:rPr>
            <w:webHidden/>
          </w:rPr>
        </w:r>
        <w:r>
          <w:rPr>
            <w:webHidden/>
          </w:rPr>
          <w:fldChar w:fldCharType="separate"/>
        </w:r>
        <w:r>
          <w:rPr>
            <w:webHidden/>
          </w:rPr>
          <w:t>35</w:t>
        </w:r>
        <w:r>
          <w:rPr>
            <w:webHidden/>
          </w:rPr>
          <w:fldChar w:fldCharType="end"/>
        </w:r>
      </w:hyperlink>
    </w:p>
    <w:p w14:paraId="784E25D8"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2" w:history="1">
        <w:r w:rsidRPr="00817188">
          <w:rPr>
            <w:rStyle w:val="Hyperlink"/>
          </w:rPr>
          <w:t>5.2</w:t>
        </w:r>
        <w:r>
          <w:rPr>
            <w:rFonts w:asciiTheme="minorHAnsi" w:eastAsiaTheme="minorEastAsia" w:hAnsiTheme="minorHAnsi"/>
            <w:color w:val="auto"/>
            <w:position w:val="0"/>
            <w:lang w:eastAsia="en-AU"/>
          </w:rPr>
          <w:tab/>
        </w:r>
        <w:r w:rsidRPr="00817188">
          <w:rPr>
            <w:rStyle w:val="Hyperlink"/>
          </w:rPr>
          <w:t>Net impacts</w:t>
        </w:r>
        <w:r>
          <w:rPr>
            <w:webHidden/>
          </w:rPr>
          <w:tab/>
        </w:r>
        <w:r>
          <w:rPr>
            <w:webHidden/>
          </w:rPr>
          <w:fldChar w:fldCharType="begin"/>
        </w:r>
        <w:r>
          <w:rPr>
            <w:webHidden/>
          </w:rPr>
          <w:instrText xml:space="preserve"> PAGEREF _Toc80712592 \h </w:instrText>
        </w:r>
        <w:r>
          <w:rPr>
            <w:webHidden/>
          </w:rPr>
        </w:r>
        <w:r>
          <w:rPr>
            <w:webHidden/>
          </w:rPr>
          <w:fldChar w:fldCharType="separate"/>
        </w:r>
        <w:r>
          <w:rPr>
            <w:webHidden/>
          </w:rPr>
          <w:t>38</w:t>
        </w:r>
        <w:r>
          <w:rPr>
            <w:webHidden/>
          </w:rPr>
          <w:fldChar w:fldCharType="end"/>
        </w:r>
      </w:hyperlink>
    </w:p>
    <w:p w14:paraId="690ED82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3" w:history="1">
        <w:r w:rsidRPr="00817188">
          <w:rPr>
            <w:rStyle w:val="Hyperlink"/>
          </w:rPr>
          <w:t>5.3</w:t>
        </w:r>
        <w:r>
          <w:rPr>
            <w:rFonts w:asciiTheme="minorHAnsi" w:eastAsiaTheme="minorEastAsia" w:hAnsiTheme="minorHAnsi"/>
            <w:color w:val="auto"/>
            <w:position w:val="0"/>
            <w:lang w:eastAsia="en-AU"/>
          </w:rPr>
          <w:tab/>
        </w:r>
        <w:r w:rsidRPr="00817188">
          <w:rPr>
            <w:rStyle w:val="Hyperlink"/>
          </w:rPr>
          <w:t>Non-measurable benefits</w:t>
        </w:r>
        <w:r>
          <w:rPr>
            <w:webHidden/>
          </w:rPr>
          <w:tab/>
        </w:r>
        <w:r>
          <w:rPr>
            <w:webHidden/>
          </w:rPr>
          <w:fldChar w:fldCharType="begin"/>
        </w:r>
        <w:r>
          <w:rPr>
            <w:webHidden/>
          </w:rPr>
          <w:instrText xml:space="preserve"> PAGEREF _Toc80712593 \h </w:instrText>
        </w:r>
        <w:r>
          <w:rPr>
            <w:webHidden/>
          </w:rPr>
        </w:r>
        <w:r>
          <w:rPr>
            <w:webHidden/>
          </w:rPr>
          <w:fldChar w:fldCharType="separate"/>
        </w:r>
        <w:r>
          <w:rPr>
            <w:webHidden/>
          </w:rPr>
          <w:t>55</w:t>
        </w:r>
        <w:r>
          <w:rPr>
            <w:webHidden/>
          </w:rPr>
          <w:fldChar w:fldCharType="end"/>
        </w:r>
      </w:hyperlink>
    </w:p>
    <w:p w14:paraId="79869C8A"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4" w:history="1">
        <w:r w:rsidRPr="00817188">
          <w:rPr>
            <w:rStyle w:val="Hyperlink"/>
          </w:rPr>
          <w:t>5.4</w:t>
        </w:r>
        <w:r>
          <w:rPr>
            <w:rFonts w:asciiTheme="minorHAnsi" w:eastAsiaTheme="minorEastAsia" w:hAnsiTheme="minorHAnsi"/>
            <w:color w:val="auto"/>
            <w:position w:val="0"/>
            <w:lang w:eastAsia="en-AU"/>
          </w:rPr>
          <w:tab/>
        </w:r>
        <w:r w:rsidRPr="00817188">
          <w:rPr>
            <w:rStyle w:val="Hyperlink"/>
          </w:rPr>
          <w:t>Sensitivity analysis</w:t>
        </w:r>
        <w:r>
          <w:rPr>
            <w:webHidden/>
          </w:rPr>
          <w:tab/>
        </w:r>
        <w:r>
          <w:rPr>
            <w:webHidden/>
          </w:rPr>
          <w:fldChar w:fldCharType="begin"/>
        </w:r>
        <w:r>
          <w:rPr>
            <w:webHidden/>
          </w:rPr>
          <w:instrText xml:space="preserve"> PAGEREF _Toc80712594 \h </w:instrText>
        </w:r>
        <w:r>
          <w:rPr>
            <w:webHidden/>
          </w:rPr>
        </w:r>
        <w:r>
          <w:rPr>
            <w:webHidden/>
          </w:rPr>
          <w:fldChar w:fldCharType="separate"/>
        </w:r>
        <w:r>
          <w:rPr>
            <w:webHidden/>
          </w:rPr>
          <w:t>59</w:t>
        </w:r>
        <w:r>
          <w:rPr>
            <w:webHidden/>
          </w:rPr>
          <w:fldChar w:fldCharType="end"/>
        </w:r>
      </w:hyperlink>
    </w:p>
    <w:p w14:paraId="3C305491" w14:textId="77777777" w:rsidR="00676882" w:rsidRDefault="00676882" w:rsidP="00676882">
      <w:pPr>
        <w:pStyle w:val="TOC2"/>
        <w:rPr>
          <w:rFonts w:asciiTheme="minorHAnsi" w:eastAsiaTheme="minorEastAsia" w:hAnsiTheme="minorHAnsi"/>
          <w:b w:val="0"/>
          <w:color w:val="auto"/>
          <w:sz w:val="22"/>
          <w:lang w:eastAsia="en-AU"/>
        </w:rPr>
      </w:pPr>
      <w:hyperlink w:anchor="_Toc80712595" w:history="1">
        <w:r w:rsidRPr="00817188">
          <w:rPr>
            <w:rStyle w:val="Hyperlink"/>
          </w:rPr>
          <w:t>6</w:t>
        </w:r>
        <w:r>
          <w:rPr>
            <w:rFonts w:asciiTheme="minorHAnsi" w:eastAsiaTheme="minorEastAsia" w:hAnsiTheme="minorHAnsi"/>
            <w:b w:val="0"/>
            <w:color w:val="auto"/>
            <w:sz w:val="22"/>
            <w:lang w:eastAsia="en-AU"/>
          </w:rPr>
          <w:tab/>
        </w:r>
        <w:r w:rsidRPr="00817188">
          <w:rPr>
            <w:rStyle w:val="Hyperlink"/>
          </w:rPr>
          <w:t>Implementation and review</w:t>
        </w:r>
        <w:r>
          <w:rPr>
            <w:webHidden/>
          </w:rPr>
          <w:tab/>
        </w:r>
        <w:r>
          <w:rPr>
            <w:webHidden/>
          </w:rPr>
          <w:fldChar w:fldCharType="begin"/>
        </w:r>
        <w:r>
          <w:rPr>
            <w:webHidden/>
          </w:rPr>
          <w:instrText xml:space="preserve"> PAGEREF _Toc80712595 \h </w:instrText>
        </w:r>
        <w:r>
          <w:rPr>
            <w:webHidden/>
          </w:rPr>
        </w:r>
        <w:r>
          <w:rPr>
            <w:webHidden/>
          </w:rPr>
          <w:fldChar w:fldCharType="separate"/>
        </w:r>
        <w:r>
          <w:rPr>
            <w:webHidden/>
          </w:rPr>
          <w:t>66</w:t>
        </w:r>
        <w:r>
          <w:rPr>
            <w:webHidden/>
          </w:rPr>
          <w:fldChar w:fldCharType="end"/>
        </w:r>
      </w:hyperlink>
    </w:p>
    <w:p w14:paraId="2529110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6" w:history="1">
        <w:r w:rsidRPr="00817188">
          <w:rPr>
            <w:rStyle w:val="Hyperlink"/>
          </w:rPr>
          <w:t>6.1</w:t>
        </w:r>
        <w:r>
          <w:rPr>
            <w:rFonts w:asciiTheme="minorHAnsi" w:eastAsiaTheme="minorEastAsia" w:hAnsiTheme="minorHAnsi"/>
            <w:color w:val="auto"/>
            <w:position w:val="0"/>
            <w:lang w:eastAsia="en-AU"/>
          </w:rPr>
          <w:tab/>
        </w:r>
        <w:r w:rsidRPr="00817188">
          <w:rPr>
            <w:rStyle w:val="Hyperlink"/>
          </w:rPr>
          <w:t>Administration and enforcement</w:t>
        </w:r>
        <w:r>
          <w:rPr>
            <w:webHidden/>
          </w:rPr>
          <w:tab/>
        </w:r>
        <w:r>
          <w:rPr>
            <w:webHidden/>
          </w:rPr>
          <w:fldChar w:fldCharType="begin"/>
        </w:r>
        <w:r>
          <w:rPr>
            <w:webHidden/>
          </w:rPr>
          <w:instrText xml:space="preserve"> PAGEREF _Toc80712596 \h </w:instrText>
        </w:r>
        <w:r>
          <w:rPr>
            <w:webHidden/>
          </w:rPr>
        </w:r>
        <w:r>
          <w:rPr>
            <w:webHidden/>
          </w:rPr>
          <w:fldChar w:fldCharType="separate"/>
        </w:r>
        <w:r>
          <w:rPr>
            <w:webHidden/>
          </w:rPr>
          <w:t>66</w:t>
        </w:r>
        <w:r>
          <w:rPr>
            <w:webHidden/>
          </w:rPr>
          <w:fldChar w:fldCharType="end"/>
        </w:r>
      </w:hyperlink>
    </w:p>
    <w:p w14:paraId="337EDE8F"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7" w:history="1">
        <w:r w:rsidRPr="00817188">
          <w:rPr>
            <w:rStyle w:val="Hyperlink"/>
          </w:rPr>
          <w:t>6.2</w:t>
        </w:r>
        <w:r>
          <w:rPr>
            <w:rFonts w:asciiTheme="minorHAnsi" w:eastAsiaTheme="minorEastAsia" w:hAnsiTheme="minorHAnsi"/>
            <w:color w:val="auto"/>
            <w:position w:val="0"/>
            <w:lang w:eastAsia="en-AU"/>
          </w:rPr>
          <w:tab/>
        </w:r>
        <w:r w:rsidRPr="00817188">
          <w:rPr>
            <w:rStyle w:val="Hyperlink"/>
          </w:rPr>
          <w:t>Supporting mechanisms</w:t>
        </w:r>
        <w:r>
          <w:rPr>
            <w:webHidden/>
          </w:rPr>
          <w:tab/>
        </w:r>
        <w:r>
          <w:rPr>
            <w:webHidden/>
          </w:rPr>
          <w:fldChar w:fldCharType="begin"/>
        </w:r>
        <w:r>
          <w:rPr>
            <w:webHidden/>
          </w:rPr>
          <w:instrText xml:space="preserve"> PAGEREF _Toc80712597 \h </w:instrText>
        </w:r>
        <w:r>
          <w:rPr>
            <w:webHidden/>
          </w:rPr>
        </w:r>
        <w:r>
          <w:rPr>
            <w:webHidden/>
          </w:rPr>
          <w:fldChar w:fldCharType="separate"/>
        </w:r>
        <w:r>
          <w:rPr>
            <w:webHidden/>
          </w:rPr>
          <w:t>67</w:t>
        </w:r>
        <w:r>
          <w:rPr>
            <w:webHidden/>
          </w:rPr>
          <w:fldChar w:fldCharType="end"/>
        </w:r>
      </w:hyperlink>
    </w:p>
    <w:p w14:paraId="252CE37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8" w:history="1">
        <w:r w:rsidRPr="00817188">
          <w:rPr>
            <w:rStyle w:val="Hyperlink"/>
          </w:rPr>
          <w:t>6.3</w:t>
        </w:r>
        <w:r>
          <w:rPr>
            <w:rFonts w:asciiTheme="minorHAnsi" w:eastAsiaTheme="minorEastAsia" w:hAnsiTheme="minorHAnsi"/>
            <w:color w:val="auto"/>
            <w:position w:val="0"/>
            <w:lang w:eastAsia="en-AU"/>
          </w:rPr>
          <w:tab/>
        </w:r>
        <w:r w:rsidRPr="00817188">
          <w:rPr>
            <w:rStyle w:val="Hyperlink"/>
          </w:rPr>
          <w:t>Implementation considerations</w:t>
        </w:r>
        <w:r>
          <w:rPr>
            <w:webHidden/>
          </w:rPr>
          <w:tab/>
        </w:r>
        <w:r>
          <w:rPr>
            <w:webHidden/>
          </w:rPr>
          <w:fldChar w:fldCharType="begin"/>
        </w:r>
        <w:r>
          <w:rPr>
            <w:webHidden/>
          </w:rPr>
          <w:instrText xml:space="preserve"> PAGEREF _Toc80712598 \h </w:instrText>
        </w:r>
        <w:r>
          <w:rPr>
            <w:webHidden/>
          </w:rPr>
        </w:r>
        <w:r>
          <w:rPr>
            <w:webHidden/>
          </w:rPr>
          <w:fldChar w:fldCharType="separate"/>
        </w:r>
        <w:r>
          <w:rPr>
            <w:webHidden/>
          </w:rPr>
          <w:t>68</w:t>
        </w:r>
        <w:r>
          <w:rPr>
            <w:webHidden/>
          </w:rPr>
          <w:fldChar w:fldCharType="end"/>
        </w:r>
      </w:hyperlink>
    </w:p>
    <w:p w14:paraId="461E81E7"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599" w:history="1">
        <w:r w:rsidRPr="00817188">
          <w:rPr>
            <w:rStyle w:val="Hyperlink"/>
          </w:rPr>
          <w:t>6.4</w:t>
        </w:r>
        <w:r>
          <w:rPr>
            <w:rFonts w:asciiTheme="minorHAnsi" w:eastAsiaTheme="minorEastAsia" w:hAnsiTheme="minorHAnsi"/>
            <w:color w:val="auto"/>
            <w:position w:val="0"/>
            <w:lang w:eastAsia="en-AU"/>
          </w:rPr>
          <w:tab/>
        </w:r>
        <w:r w:rsidRPr="00817188">
          <w:rPr>
            <w:rStyle w:val="Hyperlink"/>
          </w:rPr>
          <w:t>Review strategy</w:t>
        </w:r>
        <w:r>
          <w:rPr>
            <w:webHidden/>
          </w:rPr>
          <w:tab/>
        </w:r>
        <w:r>
          <w:rPr>
            <w:webHidden/>
          </w:rPr>
          <w:fldChar w:fldCharType="begin"/>
        </w:r>
        <w:r>
          <w:rPr>
            <w:webHidden/>
          </w:rPr>
          <w:instrText xml:space="preserve"> PAGEREF _Toc80712599 \h </w:instrText>
        </w:r>
        <w:r>
          <w:rPr>
            <w:webHidden/>
          </w:rPr>
        </w:r>
        <w:r>
          <w:rPr>
            <w:webHidden/>
          </w:rPr>
          <w:fldChar w:fldCharType="separate"/>
        </w:r>
        <w:r>
          <w:rPr>
            <w:webHidden/>
          </w:rPr>
          <w:t>71</w:t>
        </w:r>
        <w:r>
          <w:rPr>
            <w:webHidden/>
          </w:rPr>
          <w:fldChar w:fldCharType="end"/>
        </w:r>
      </w:hyperlink>
    </w:p>
    <w:p w14:paraId="1B6A4D91" w14:textId="77777777" w:rsidR="00676882" w:rsidRDefault="00676882" w:rsidP="00676882">
      <w:pPr>
        <w:pStyle w:val="TOC2"/>
        <w:rPr>
          <w:rFonts w:asciiTheme="minorHAnsi" w:eastAsiaTheme="minorEastAsia" w:hAnsiTheme="minorHAnsi"/>
          <w:b w:val="0"/>
          <w:color w:val="auto"/>
          <w:sz w:val="22"/>
          <w:lang w:eastAsia="en-AU"/>
        </w:rPr>
      </w:pPr>
      <w:hyperlink w:anchor="_Toc80712600" w:history="1">
        <w:r w:rsidRPr="00817188">
          <w:rPr>
            <w:rStyle w:val="Hyperlink"/>
          </w:rPr>
          <w:t>7</w:t>
        </w:r>
        <w:r>
          <w:rPr>
            <w:rFonts w:asciiTheme="minorHAnsi" w:eastAsiaTheme="minorEastAsia" w:hAnsiTheme="minorHAnsi"/>
            <w:b w:val="0"/>
            <w:color w:val="auto"/>
            <w:sz w:val="22"/>
            <w:lang w:eastAsia="en-AU"/>
          </w:rPr>
          <w:tab/>
        </w:r>
        <w:r w:rsidRPr="00817188">
          <w:rPr>
            <w:rStyle w:val="Hyperlink"/>
          </w:rPr>
          <w:t>Recommendation statement</w:t>
        </w:r>
        <w:r>
          <w:rPr>
            <w:webHidden/>
          </w:rPr>
          <w:tab/>
        </w:r>
        <w:r>
          <w:rPr>
            <w:webHidden/>
          </w:rPr>
          <w:fldChar w:fldCharType="begin"/>
        </w:r>
        <w:r>
          <w:rPr>
            <w:webHidden/>
          </w:rPr>
          <w:instrText xml:space="preserve"> PAGEREF _Toc80712600 \h </w:instrText>
        </w:r>
        <w:r>
          <w:rPr>
            <w:webHidden/>
          </w:rPr>
        </w:r>
        <w:r>
          <w:rPr>
            <w:webHidden/>
          </w:rPr>
          <w:fldChar w:fldCharType="separate"/>
        </w:r>
        <w:r>
          <w:rPr>
            <w:webHidden/>
          </w:rPr>
          <w:t>73</w:t>
        </w:r>
        <w:r>
          <w:rPr>
            <w:webHidden/>
          </w:rPr>
          <w:fldChar w:fldCharType="end"/>
        </w:r>
      </w:hyperlink>
    </w:p>
    <w:p w14:paraId="582E7490" w14:textId="77777777" w:rsidR="00676882" w:rsidRDefault="00676882" w:rsidP="00676882">
      <w:pPr>
        <w:pStyle w:val="TOC1"/>
        <w:rPr>
          <w:rFonts w:asciiTheme="minorHAnsi" w:eastAsiaTheme="minorEastAsia" w:hAnsiTheme="minorHAnsi"/>
          <w:b w:val="0"/>
          <w:color w:val="auto"/>
          <w:sz w:val="22"/>
          <w:lang w:eastAsia="en-AU"/>
        </w:rPr>
      </w:pPr>
      <w:hyperlink w:anchor="_Toc80712601" w:history="1">
        <w:r w:rsidRPr="00817188">
          <w:rPr>
            <w:rStyle w:val="Hyperlink"/>
          </w:rPr>
          <w:t>References</w:t>
        </w:r>
        <w:r>
          <w:rPr>
            <w:webHidden/>
          </w:rPr>
          <w:tab/>
        </w:r>
        <w:r>
          <w:rPr>
            <w:webHidden/>
          </w:rPr>
          <w:fldChar w:fldCharType="begin"/>
        </w:r>
        <w:r>
          <w:rPr>
            <w:webHidden/>
          </w:rPr>
          <w:instrText xml:space="preserve"> PAGEREF _Toc80712601 \h </w:instrText>
        </w:r>
        <w:r>
          <w:rPr>
            <w:webHidden/>
          </w:rPr>
        </w:r>
        <w:r>
          <w:rPr>
            <w:webHidden/>
          </w:rPr>
          <w:fldChar w:fldCharType="separate"/>
        </w:r>
        <w:r>
          <w:rPr>
            <w:webHidden/>
          </w:rPr>
          <w:t>75</w:t>
        </w:r>
        <w:r>
          <w:rPr>
            <w:webHidden/>
          </w:rPr>
          <w:fldChar w:fldCharType="end"/>
        </w:r>
      </w:hyperlink>
    </w:p>
    <w:p w14:paraId="093A9DB2" w14:textId="77777777" w:rsidR="00676882" w:rsidRDefault="00676882" w:rsidP="00676882">
      <w:pPr>
        <w:pStyle w:val="TOC1"/>
        <w:rPr>
          <w:rFonts w:asciiTheme="minorHAnsi" w:eastAsiaTheme="minorEastAsia" w:hAnsiTheme="minorHAnsi"/>
          <w:b w:val="0"/>
          <w:color w:val="auto"/>
          <w:sz w:val="22"/>
          <w:lang w:eastAsia="en-AU"/>
        </w:rPr>
      </w:pPr>
      <w:hyperlink w:anchor="_Toc80712602" w:history="1">
        <w:r w:rsidRPr="00817188">
          <w:rPr>
            <w:rStyle w:val="Hyperlink"/>
          </w:rPr>
          <w:t>Appendices</w:t>
        </w:r>
        <w:r>
          <w:rPr>
            <w:webHidden/>
          </w:rPr>
          <w:tab/>
        </w:r>
        <w:r>
          <w:rPr>
            <w:webHidden/>
          </w:rPr>
          <w:fldChar w:fldCharType="begin"/>
        </w:r>
        <w:r>
          <w:rPr>
            <w:webHidden/>
          </w:rPr>
          <w:instrText xml:space="preserve"> PAGEREF _Toc80712602 \h </w:instrText>
        </w:r>
        <w:r>
          <w:rPr>
            <w:webHidden/>
          </w:rPr>
        </w:r>
        <w:r>
          <w:rPr>
            <w:webHidden/>
          </w:rPr>
          <w:fldChar w:fldCharType="separate"/>
        </w:r>
        <w:r>
          <w:rPr>
            <w:webHidden/>
          </w:rPr>
          <w:t>80</w:t>
        </w:r>
        <w:r>
          <w:rPr>
            <w:webHidden/>
          </w:rPr>
          <w:fldChar w:fldCharType="end"/>
        </w:r>
      </w:hyperlink>
    </w:p>
    <w:p w14:paraId="28C05FED" w14:textId="77777777" w:rsidR="00676882" w:rsidRDefault="00676882" w:rsidP="00676882">
      <w:pPr>
        <w:pStyle w:val="TOC2"/>
        <w:rPr>
          <w:rFonts w:asciiTheme="minorHAnsi" w:eastAsiaTheme="minorEastAsia" w:hAnsiTheme="minorHAnsi"/>
          <w:b w:val="0"/>
          <w:color w:val="auto"/>
          <w:sz w:val="22"/>
          <w:lang w:eastAsia="en-AU"/>
        </w:rPr>
      </w:pPr>
      <w:hyperlink w:anchor="_Toc80712603" w:history="1">
        <w:r w:rsidRPr="00817188">
          <w:rPr>
            <w:rStyle w:val="Hyperlink"/>
          </w:rPr>
          <w:t>A</w:t>
        </w:r>
        <w:r>
          <w:rPr>
            <w:rFonts w:asciiTheme="minorHAnsi" w:eastAsiaTheme="minorEastAsia" w:hAnsiTheme="minorHAnsi"/>
            <w:b w:val="0"/>
            <w:color w:val="auto"/>
            <w:sz w:val="22"/>
            <w:lang w:eastAsia="en-AU"/>
          </w:rPr>
          <w:tab/>
        </w:r>
        <w:r w:rsidRPr="00817188">
          <w:rPr>
            <w:rStyle w:val="Hyperlink"/>
          </w:rPr>
          <w:t>Minimum standard examples in other jurisdictions</w:t>
        </w:r>
        <w:r>
          <w:rPr>
            <w:webHidden/>
          </w:rPr>
          <w:tab/>
        </w:r>
        <w:r>
          <w:rPr>
            <w:webHidden/>
          </w:rPr>
          <w:fldChar w:fldCharType="begin"/>
        </w:r>
        <w:r>
          <w:rPr>
            <w:webHidden/>
          </w:rPr>
          <w:instrText xml:space="preserve"> PAGEREF _Toc80712603 \h </w:instrText>
        </w:r>
        <w:r>
          <w:rPr>
            <w:webHidden/>
          </w:rPr>
        </w:r>
        <w:r>
          <w:rPr>
            <w:webHidden/>
          </w:rPr>
          <w:fldChar w:fldCharType="separate"/>
        </w:r>
        <w:r>
          <w:rPr>
            <w:webHidden/>
          </w:rPr>
          <w:t>A-1</w:t>
        </w:r>
        <w:r>
          <w:rPr>
            <w:webHidden/>
          </w:rPr>
          <w:fldChar w:fldCharType="end"/>
        </w:r>
      </w:hyperlink>
    </w:p>
    <w:p w14:paraId="772CCBA7"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04" w:history="1">
        <w:r w:rsidRPr="00817188">
          <w:rPr>
            <w:rStyle w:val="Hyperlink"/>
          </w:rPr>
          <w:t>A.1</w:t>
        </w:r>
        <w:r>
          <w:rPr>
            <w:rFonts w:asciiTheme="minorHAnsi" w:eastAsiaTheme="minorEastAsia" w:hAnsiTheme="minorHAnsi"/>
            <w:color w:val="auto"/>
            <w:position w:val="0"/>
            <w:lang w:eastAsia="en-AU"/>
          </w:rPr>
          <w:tab/>
        </w:r>
        <w:r w:rsidRPr="00817188">
          <w:rPr>
            <w:rStyle w:val="Hyperlink"/>
          </w:rPr>
          <w:t>England and Wales</w:t>
        </w:r>
        <w:r>
          <w:rPr>
            <w:webHidden/>
          </w:rPr>
          <w:tab/>
        </w:r>
        <w:r>
          <w:rPr>
            <w:webHidden/>
          </w:rPr>
          <w:fldChar w:fldCharType="begin"/>
        </w:r>
        <w:r>
          <w:rPr>
            <w:webHidden/>
          </w:rPr>
          <w:instrText xml:space="preserve"> PAGEREF _Toc80712604 \h </w:instrText>
        </w:r>
        <w:r>
          <w:rPr>
            <w:webHidden/>
          </w:rPr>
        </w:r>
        <w:r>
          <w:rPr>
            <w:webHidden/>
          </w:rPr>
          <w:fldChar w:fldCharType="separate"/>
        </w:r>
        <w:r>
          <w:rPr>
            <w:webHidden/>
          </w:rPr>
          <w:t>A-1</w:t>
        </w:r>
        <w:r>
          <w:rPr>
            <w:webHidden/>
          </w:rPr>
          <w:fldChar w:fldCharType="end"/>
        </w:r>
      </w:hyperlink>
    </w:p>
    <w:p w14:paraId="0C8DCD97"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05" w:history="1">
        <w:r w:rsidRPr="00817188">
          <w:rPr>
            <w:rStyle w:val="Hyperlink"/>
          </w:rPr>
          <w:t>A.2</w:t>
        </w:r>
        <w:r>
          <w:rPr>
            <w:rFonts w:asciiTheme="minorHAnsi" w:eastAsiaTheme="minorEastAsia" w:hAnsiTheme="minorHAnsi"/>
            <w:color w:val="auto"/>
            <w:position w:val="0"/>
            <w:lang w:eastAsia="en-AU"/>
          </w:rPr>
          <w:tab/>
        </w:r>
        <w:r w:rsidRPr="00817188">
          <w:rPr>
            <w:rStyle w:val="Hyperlink"/>
          </w:rPr>
          <w:t>Scotland</w:t>
        </w:r>
        <w:r>
          <w:rPr>
            <w:webHidden/>
          </w:rPr>
          <w:tab/>
        </w:r>
        <w:r>
          <w:rPr>
            <w:webHidden/>
          </w:rPr>
          <w:fldChar w:fldCharType="begin"/>
        </w:r>
        <w:r>
          <w:rPr>
            <w:webHidden/>
          </w:rPr>
          <w:instrText xml:space="preserve"> PAGEREF _Toc80712605 \h </w:instrText>
        </w:r>
        <w:r>
          <w:rPr>
            <w:webHidden/>
          </w:rPr>
        </w:r>
        <w:r>
          <w:rPr>
            <w:webHidden/>
          </w:rPr>
          <w:fldChar w:fldCharType="separate"/>
        </w:r>
        <w:r>
          <w:rPr>
            <w:webHidden/>
          </w:rPr>
          <w:t>A-3</w:t>
        </w:r>
        <w:r>
          <w:rPr>
            <w:webHidden/>
          </w:rPr>
          <w:fldChar w:fldCharType="end"/>
        </w:r>
      </w:hyperlink>
    </w:p>
    <w:p w14:paraId="3714E084"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06" w:history="1">
        <w:r w:rsidRPr="00817188">
          <w:rPr>
            <w:rStyle w:val="Hyperlink"/>
          </w:rPr>
          <w:t>A.3</w:t>
        </w:r>
        <w:r>
          <w:rPr>
            <w:rFonts w:asciiTheme="minorHAnsi" w:eastAsiaTheme="minorEastAsia" w:hAnsiTheme="minorHAnsi"/>
            <w:color w:val="auto"/>
            <w:position w:val="0"/>
            <w:lang w:eastAsia="en-AU"/>
          </w:rPr>
          <w:tab/>
        </w:r>
        <w:r w:rsidRPr="00817188">
          <w:rPr>
            <w:rStyle w:val="Hyperlink"/>
          </w:rPr>
          <w:t>New Zealand</w:t>
        </w:r>
        <w:r>
          <w:rPr>
            <w:webHidden/>
          </w:rPr>
          <w:tab/>
        </w:r>
        <w:r>
          <w:rPr>
            <w:webHidden/>
          </w:rPr>
          <w:fldChar w:fldCharType="begin"/>
        </w:r>
        <w:r>
          <w:rPr>
            <w:webHidden/>
          </w:rPr>
          <w:instrText xml:space="preserve"> PAGEREF _Toc80712606 \h </w:instrText>
        </w:r>
        <w:r>
          <w:rPr>
            <w:webHidden/>
          </w:rPr>
        </w:r>
        <w:r>
          <w:rPr>
            <w:webHidden/>
          </w:rPr>
          <w:fldChar w:fldCharType="separate"/>
        </w:r>
        <w:r>
          <w:rPr>
            <w:webHidden/>
          </w:rPr>
          <w:t>A-4</w:t>
        </w:r>
        <w:r>
          <w:rPr>
            <w:webHidden/>
          </w:rPr>
          <w:fldChar w:fldCharType="end"/>
        </w:r>
      </w:hyperlink>
    </w:p>
    <w:p w14:paraId="36F5E672"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07" w:history="1">
        <w:r w:rsidRPr="00817188">
          <w:rPr>
            <w:rStyle w:val="Hyperlink"/>
          </w:rPr>
          <w:t>A.4</w:t>
        </w:r>
        <w:r>
          <w:rPr>
            <w:rFonts w:asciiTheme="minorHAnsi" w:eastAsiaTheme="minorEastAsia" w:hAnsiTheme="minorHAnsi"/>
            <w:color w:val="auto"/>
            <w:position w:val="0"/>
            <w:lang w:eastAsia="en-AU"/>
          </w:rPr>
          <w:tab/>
        </w:r>
        <w:r w:rsidRPr="00817188">
          <w:rPr>
            <w:rStyle w:val="Hyperlink"/>
          </w:rPr>
          <w:t>Burlington, Vermont USA</w:t>
        </w:r>
        <w:r>
          <w:rPr>
            <w:webHidden/>
          </w:rPr>
          <w:tab/>
        </w:r>
        <w:r>
          <w:rPr>
            <w:webHidden/>
          </w:rPr>
          <w:fldChar w:fldCharType="begin"/>
        </w:r>
        <w:r>
          <w:rPr>
            <w:webHidden/>
          </w:rPr>
          <w:instrText xml:space="preserve"> PAGEREF _Toc80712607 \h </w:instrText>
        </w:r>
        <w:r>
          <w:rPr>
            <w:webHidden/>
          </w:rPr>
        </w:r>
        <w:r>
          <w:rPr>
            <w:webHidden/>
          </w:rPr>
          <w:fldChar w:fldCharType="separate"/>
        </w:r>
        <w:r>
          <w:rPr>
            <w:webHidden/>
          </w:rPr>
          <w:t>A-6</w:t>
        </w:r>
        <w:r>
          <w:rPr>
            <w:webHidden/>
          </w:rPr>
          <w:fldChar w:fldCharType="end"/>
        </w:r>
      </w:hyperlink>
    </w:p>
    <w:p w14:paraId="129669A0"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08" w:history="1">
        <w:r w:rsidRPr="00817188">
          <w:rPr>
            <w:rStyle w:val="Hyperlink"/>
          </w:rPr>
          <w:t>A.5</w:t>
        </w:r>
        <w:r>
          <w:rPr>
            <w:rFonts w:asciiTheme="minorHAnsi" w:eastAsiaTheme="minorEastAsia" w:hAnsiTheme="minorHAnsi"/>
            <w:color w:val="auto"/>
            <w:position w:val="0"/>
            <w:lang w:eastAsia="en-AU"/>
          </w:rPr>
          <w:tab/>
        </w:r>
        <w:r w:rsidRPr="00817188">
          <w:rPr>
            <w:rStyle w:val="Hyperlink"/>
          </w:rPr>
          <w:t>Boulder, Colorado USA</w:t>
        </w:r>
        <w:r>
          <w:rPr>
            <w:webHidden/>
          </w:rPr>
          <w:tab/>
        </w:r>
        <w:r>
          <w:rPr>
            <w:webHidden/>
          </w:rPr>
          <w:fldChar w:fldCharType="begin"/>
        </w:r>
        <w:r>
          <w:rPr>
            <w:webHidden/>
          </w:rPr>
          <w:instrText xml:space="preserve"> PAGEREF _Toc80712608 \h </w:instrText>
        </w:r>
        <w:r>
          <w:rPr>
            <w:webHidden/>
          </w:rPr>
        </w:r>
        <w:r>
          <w:rPr>
            <w:webHidden/>
          </w:rPr>
          <w:fldChar w:fldCharType="separate"/>
        </w:r>
        <w:r>
          <w:rPr>
            <w:webHidden/>
          </w:rPr>
          <w:t>A-8</w:t>
        </w:r>
        <w:r>
          <w:rPr>
            <w:webHidden/>
          </w:rPr>
          <w:fldChar w:fldCharType="end"/>
        </w:r>
      </w:hyperlink>
    </w:p>
    <w:p w14:paraId="2F5EDA2B"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09" w:history="1">
        <w:r w:rsidRPr="00817188">
          <w:rPr>
            <w:rStyle w:val="Hyperlink"/>
          </w:rPr>
          <w:t>A.6</w:t>
        </w:r>
        <w:r>
          <w:rPr>
            <w:rFonts w:asciiTheme="minorHAnsi" w:eastAsiaTheme="minorEastAsia" w:hAnsiTheme="minorHAnsi"/>
            <w:color w:val="auto"/>
            <w:position w:val="0"/>
            <w:lang w:eastAsia="en-AU"/>
          </w:rPr>
          <w:tab/>
        </w:r>
        <w:r w:rsidRPr="00817188">
          <w:rPr>
            <w:rStyle w:val="Hyperlink"/>
          </w:rPr>
          <w:t>Victoria, Australia</w:t>
        </w:r>
        <w:r>
          <w:rPr>
            <w:webHidden/>
          </w:rPr>
          <w:tab/>
        </w:r>
        <w:r>
          <w:rPr>
            <w:webHidden/>
          </w:rPr>
          <w:fldChar w:fldCharType="begin"/>
        </w:r>
        <w:r>
          <w:rPr>
            <w:webHidden/>
          </w:rPr>
          <w:instrText xml:space="preserve"> PAGEREF _Toc80712609 \h </w:instrText>
        </w:r>
        <w:r>
          <w:rPr>
            <w:webHidden/>
          </w:rPr>
        </w:r>
        <w:r>
          <w:rPr>
            <w:webHidden/>
          </w:rPr>
          <w:fldChar w:fldCharType="separate"/>
        </w:r>
        <w:r>
          <w:rPr>
            <w:webHidden/>
          </w:rPr>
          <w:t>A-9</w:t>
        </w:r>
        <w:r>
          <w:rPr>
            <w:webHidden/>
          </w:rPr>
          <w:fldChar w:fldCharType="end"/>
        </w:r>
      </w:hyperlink>
    </w:p>
    <w:p w14:paraId="64E4828E"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0" w:history="1">
        <w:r w:rsidRPr="00817188">
          <w:rPr>
            <w:rStyle w:val="Hyperlink"/>
          </w:rPr>
          <w:t>A.7</w:t>
        </w:r>
        <w:r>
          <w:rPr>
            <w:rFonts w:asciiTheme="minorHAnsi" w:eastAsiaTheme="minorEastAsia" w:hAnsiTheme="minorHAnsi"/>
            <w:color w:val="auto"/>
            <w:position w:val="0"/>
            <w:lang w:eastAsia="en-AU"/>
          </w:rPr>
          <w:tab/>
        </w:r>
        <w:r w:rsidRPr="00817188">
          <w:rPr>
            <w:rStyle w:val="Hyperlink"/>
          </w:rPr>
          <w:t>Flanders, Belgium</w:t>
        </w:r>
        <w:r>
          <w:rPr>
            <w:webHidden/>
          </w:rPr>
          <w:tab/>
        </w:r>
        <w:r>
          <w:rPr>
            <w:webHidden/>
          </w:rPr>
          <w:fldChar w:fldCharType="begin"/>
        </w:r>
        <w:r>
          <w:rPr>
            <w:webHidden/>
          </w:rPr>
          <w:instrText xml:space="preserve"> PAGEREF _Toc80712610 \h </w:instrText>
        </w:r>
        <w:r>
          <w:rPr>
            <w:webHidden/>
          </w:rPr>
        </w:r>
        <w:r>
          <w:rPr>
            <w:webHidden/>
          </w:rPr>
          <w:fldChar w:fldCharType="separate"/>
        </w:r>
        <w:r>
          <w:rPr>
            <w:webHidden/>
          </w:rPr>
          <w:t>A-10</w:t>
        </w:r>
        <w:r>
          <w:rPr>
            <w:webHidden/>
          </w:rPr>
          <w:fldChar w:fldCharType="end"/>
        </w:r>
      </w:hyperlink>
    </w:p>
    <w:p w14:paraId="2D7160BF"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1" w:history="1">
        <w:r w:rsidRPr="00817188">
          <w:rPr>
            <w:rStyle w:val="Hyperlink"/>
          </w:rPr>
          <w:t>A.8</w:t>
        </w:r>
        <w:r>
          <w:rPr>
            <w:rFonts w:asciiTheme="minorHAnsi" w:eastAsiaTheme="minorEastAsia" w:hAnsiTheme="minorHAnsi"/>
            <w:color w:val="auto"/>
            <w:position w:val="0"/>
            <w:lang w:eastAsia="en-AU"/>
          </w:rPr>
          <w:tab/>
        </w:r>
        <w:r w:rsidRPr="00817188">
          <w:rPr>
            <w:rStyle w:val="Hyperlink"/>
          </w:rPr>
          <w:t>European Union obligations of member states</w:t>
        </w:r>
        <w:r>
          <w:rPr>
            <w:webHidden/>
          </w:rPr>
          <w:tab/>
        </w:r>
        <w:r>
          <w:rPr>
            <w:webHidden/>
          </w:rPr>
          <w:fldChar w:fldCharType="begin"/>
        </w:r>
        <w:r>
          <w:rPr>
            <w:webHidden/>
          </w:rPr>
          <w:instrText xml:space="preserve"> PAGEREF _Toc80712611 \h </w:instrText>
        </w:r>
        <w:r>
          <w:rPr>
            <w:webHidden/>
          </w:rPr>
        </w:r>
        <w:r>
          <w:rPr>
            <w:webHidden/>
          </w:rPr>
          <w:fldChar w:fldCharType="separate"/>
        </w:r>
        <w:r>
          <w:rPr>
            <w:webHidden/>
          </w:rPr>
          <w:t>A-10</w:t>
        </w:r>
        <w:r>
          <w:rPr>
            <w:webHidden/>
          </w:rPr>
          <w:fldChar w:fldCharType="end"/>
        </w:r>
      </w:hyperlink>
    </w:p>
    <w:p w14:paraId="71994D16" w14:textId="77777777" w:rsidR="00676882" w:rsidRDefault="00676882" w:rsidP="00676882">
      <w:pPr>
        <w:pStyle w:val="TOC2"/>
        <w:rPr>
          <w:rFonts w:asciiTheme="minorHAnsi" w:eastAsiaTheme="minorEastAsia" w:hAnsiTheme="minorHAnsi"/>
          <w:b w:val="0"/>
          <w:color w:val="auto"/>
          <w:sz w:val="22"/>
          <w:lang w:eastAsia="en-AU"/>
        </w:rPr>
      </w:pPr>
      <w:hyperlink w:anchor="_Toc80712612" w:history="1">
        <w:r w:rsidRPr="00817188">
          <w:rPr>
            <w:rStyle w:val="Hyperlink"/>
          </w:rPr>
          <w:t>B</w:t>
        </w:r>
        <w:r>
          <w:rPr>
            <w:rFonts w:asciiTheme="minorHAnsi" w:eastAsiaTheme="minorEastAsia" w:hAnsiTheme="minorHAnsi"/>
            <w:b w:val="0"/>
            <w:color w:val="auto"/>
            <w:sz w:val="22"/>
            <w:lang w:eastAsia="en-AU"/>
          </w:rPr>
          <w:tab/>
        </w:r>
        <w:r w:rsidRPr="00817188">
          <w:rPr>
            <w:rStyle w:val="Hyperlink"/>
          </w:rPr>
          <w:t>Impact analysis methodology</w:t>
        </w:r>
        <w:r>
          <w:rPr>
            <w:webHidden/>
          </w:rPr>
          <w:tab/>
        </w:r>
        <w:r>
          <w:rPr>
            <w:webHidden/>
          </w:rPr>
          <w:fldChar w:fldCharType="begin"/>
        </w:r>
        <w:r>
          <w:rPr>
            <w:webHidden/>
          </w:rPr>
          <w:instrText xml:space="preserve"> PAGEREF _Toc80712612 \h </w:instrText>
        </w:r>
        <w:r>
          <w:rPr>
            <w:webHidden/>
          </w:rPr>
        </w:r>
        <w:r>
          <w:rPr>
            <w:webHidden/>
          </w:rPr>
          <w:fldChar w:fldCharType="separate"/>
        </w:r>
        <w:r>
          <w:rPr>
            <w:webHidden/>
          </w:rPr>
          <w:t>B-1</w:t>
        </w:r>
        <w:r>
          <w:rPr>
            <w:webHidden/>
          </w:rPr>
          <w:fldChar w:fldCharType="end"/>
        </w:r>
      </w:hyperlink>
    </w:p>
    <w:p w14:paraId="212F2CB2"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3" w:history="1">
        <w:r w:rsidRPr="00817188">
          <w:rPr>
            <w:rStyle w:val="Hyperlink"/>
          </w:rPr>
          <w:t>B.1</w:t>
        </w:r>
        <w:r>
          <w:rPr>
            <w:rFonts w:asciiTheme="minorHAnsi" w:eastAsiaTheme="minorEastAsia" w:hAnsiTheme="minorHAnsi"/>
            <w:color w:val="auto"/>
            <w:position w:val="0"/>
            <w:lang w:eastAsia="en-AU"/>
          </w:rPr>
          <w:tab/>
        </w:r>
        <w:r w:rsidRPr="00817188">
          <w:rPr>
            <w:rStyle w:val="Hyperlink"/>
          </w:rPr>
          <w:t>Analysis of benefits</w:t>
        </w:r>
        <w:r>
          <w:rPr>
            <w:webHidden/>
          </w:rPr>
          <w:tab/>
        </w:r>
        <w:r>
          <w:rPr>
            <w:webHidden/>
          </w:rPr>
          <w:fldChar w:fldCharType="begin"/>
        </w:r>
        <w:r>
          <w:rPr>
            <w:webHidden/>
          </w:rPr>
          <w:instrText xml:space="preserve"> PAGEREF _Toc80712613 \h </w:instrText>
        </w:r>
        <w:r>
          <w:rPr>
            <w:webHidden/>
          </w:rPr>
        </w:r>
        <w:r>
          <w:rPr>
            <w:webHidden/>
          </w:rPr>
          <w:fldChar w:fldCharType="separate"/>
        </w:r>
        <w:r>
          <w:rPr>
            <w:webHidden/>
          </w:rPr>
          <w:t>B-3</w:t>
        </w:r>
        <w:r>
          <w:rPr>
            <w:webHidden/>
          </w:rPr>
          <w:fldChar w:fldCharType="end"/>
        </w:r>
      </w:hyperlink>
    </w:p>
    <w:p w14:paraId="29D26B21"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4" w:history="1">
        <w:r w:rsidRPr="00817188">
          <w:rPr>
            <w:rStyle w:val="Hyperlink"/>
          </w:rPr>
          <w:t>B.2</w:t>
        </w:r>
        <w:r>
          <w:rPr>
            <w:rFonts w:asciiTheme="minorHAnsi" w:eastAsiaTheme="minorEastAsia" w:hAnsiTheme="minorHAnsi"/>
            <w:color w:val="auto"/>
            <w:position w:val="0"/>
            <w:lang w:eastAsia="en-AU"/>
          </w:rPr>
          <w:tab/>
        </w:r>
        <w:r w:rsidRPr="00817188">
          <w:rPr>
            <w:rStyle w:val="Hyperlink"/>
          </w:rPr>
          <w:t>Analysis of costs</w:t>
        </w:r>
        <w:r>
          <w:rPr>
            <w:webHidden/>
          </w:rPr>
          <w:tab/>
        </w:r>
        <w:r>
          <w:rPr>
            <w:webHidden/>
          </w:rPr>
          <w:fldChar w:fldCharType="begin"/>
        </w:r>
        <w:r>
          <w:rPr>
            <w:webHidden/>
          </w:rPr>
          <w:instrText xml:space="preserve"> PAGEREF _Toc80712614 \h </w:instrText>
        </w:r>
        <w:r>
          <w:rPr>
            <w:webHidden/>
          </w:rPr>
        </w:r>
        <w:r>
          <w:rPr>
            <w:webHidden/>
          </w:rPr>
          <w:fldChar w:fldCharType="separate"/>
        </w:r>
        <w:r>
          <w:rPr>
            <w:webHidden/>
          </w:rPr>
          <w:t>B-17</w:t>
        </w:r>
        <w:r>
          <w:rPr>
            <w:webHidden/>
          </w:rPr>
          <w:fldChar w:fldCharType="end"/>
        </w:r>
      </w:hyperlink>
    </w:p>
    <w:p w14:paraId="086488E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5" w:history="1">
        <w:r w:rsidRPr="00817188">
          <w:rPr>
            <w:rStyle w:val="Hyperlink"/>
          </w:rPr>
          <w:t>B.3</w:t>
        </w:r>
        <w:r>
          <w:rPr>
            <w:rFonts w:asciiTheme="minorHAnsi" w:eastAsiaTheme="minorEastAsia" w:hAnsiTheme="minorHAnsi"/>
            <w:color w:val="auto"/>
            <w:position w:val="0"/>
            <w:lang w:eastAsia="en-AU"/>
          </w:rPr>
          <w:tab/>
        </w:r>
        <w:r w:rsidRPr="00817188">
          <w:rPr>
            <w:rStyle w:val="Hyperlink"/>
          </w:rPr>
          <w:t>Modelling parameters and assumptions</w:t>
        </w:r>
        <w:r>
          <w:rPr>
            <w:webHidden/>
          </w:rPr>
          <w:tab/>
        </w:r>
        <w:r>
          <w:rPr>
            <w:webHidden/>
          </w:rPr>
          <w:fldChar w:fldCharType="begin"/>
        </w:r>
        <w:r>
          <w:rPr>
            <w:webHidden/>
          </w:rPr>
          <w:instrText xml:space="preserve"> PAGEREF _Toc80712615 \h </w:instrText>
        </w:r>
        <w:r>
          <w:rPr>
            <w:webHidden/>
          </w:rPr>
        </w:r>
        <w:r>
          <w:rPr>
            <w:webHidden/>
          </w:rPr>
          <w:fldChar w:fldCharType="separate"/>
        </w:r>
        <w:r>
          <w:rPr>
            <w:webHidden/>
          </w:rPr>
          <w:t>B-20</w:t>
        </w:r>
        <w:r>
          <w:rPr>
            <w:webHidden/>
          </w:rPr>
          <w:fldChar w:fldCharType="end"/>
        </w:r>
      </w:hyperlink>
    </w:p>
    <w:p w14:paraId="13E4334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6" w:history="1">
        <w:r w:rsidRPr="00817188">
          <w:rPr>
            <w:rStyle w:val="Hyperlink"/>
          </w:rPr>
          <w:t>B.4</w:t>
        </w:r>
        <w:r>
          <w:rPr>
            <w:rFonts w:asciiTheme="minorHAnsi" w:eastAsiaTheme="minorEastAsia" w:hAnsiTheme="minorHAnsi"/>
            <w:color w:val="auto"/>
            <w:position w:val="0"/>
            <w:lang w:eastAsia="en-AU"/>
          </w:rPr>
          <w:tab/>
        </w:r>
        <w:r w:rsidRPr="00817188">
          <w:rPr>
            <w:rStyle w:val="Hyperlink"/>
          </w:rPr>
          <w:t>Net impact</w:t>
        </w:r>
        <w:r>
          <w:rPr>
            <w:webHidden/>
          </w:rPr>
          <w:tab/>
        </w:r>
        <w:r>
          <w:rPr>
            <w:webHidden/>
          </w:rPr>
          <w:fldChar w:fldCharType="begin"/>
        </w:r>
        <w:r>
          <w:rPr>
            <w:webHidden/>
          </w:rPr>
          <w:instrText xml:space="preserve"> PAGEREF _Toc80712616 \h </w:instrText>
        </w:r>
        <w:r>
          <w:rPr>
            <w:webHidden/>
          </w:rPr>
        </w:r>
        <w:r>
          <w:rPr>
            <w:webHidden/>
          </w:rPr>
          <w:fldChar w:fldCharType="separate"/>
        </w:r>
        <w:r>
          <w:rPr>
            <w:webHidden/>
          </w:rPr>
          <w:t>B-22</w:t>
        </w:r>
        <w:r>
          <w:rPr>
            <w:webHidden/>
          </w:rPr>
          <w:fldChar w:fldCharType="end"/>
        </w:r>
      </w:hyperlink>
    </w:p>
    <w:p w14:paraId="348FD0DC"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7" w:history="1">
        <w:r w:rsidRPr="00817188">
          <w:rPr>
            <w:rStyle w:val="Hyperlink"/>
          </w:rPr>
          <w:t>B.5</w:t>
        </w:r>
        <w:r>
          <w:rPr>
            <w:rFonts w:asciiTheme="minorHAnsi" w:eastAsiaTheme="minorEastAsia" w:hAnsiTheme="minorHAnsi"/>
            <w:color w:val="auto"/>
            <w:position w:val="0"/>
            <w:lang w:eastAsia="en-AU"/>
          </w:rPr>
          <w:tab/>
        </w:r>
        <w:r w:rsidRPr="00817188">
          <w:rPr>
            <w:rStyle w:val="Hyperlink"/>
          </w:rPr>
          <w:t>Key modelling assumptions</w:t>
        </w:r>
        <w:r>
          <w:rPr>
            <w:webHidden/>
          </w:rPr>
          <w:tab/>
        </w:r>
        <w:r>
          <w:rPr>
            <w:webHidden/>
          </w:rPr>
          <w:fldChar w:fldCharType="begin"/>
        </w:r>
        <w:r>
          <w:rPr>
            <w:webHidden/>
          </w:rPr>
          <w:instrText xml:space="preserve"> PAGEREF _Toc80712617 \h </w:instrText>
        </w:r>
        <w:r>
          <w:rPr>
            <w:webHidden/>
          </w:rPr>
        </w:r>
        <w:r>
          <w:rPr>
            <w:webHidden/>
          </w:rPr>
          <w:fldChar w:fldCharType="separate"/>
        </w:r>
        <w:r>
          <w:rPr>
            <w:webHidden/>
          </w:rPr>
          <w:t>B-23</w:t>
        </w:r>
        <w:r>
          <w:rPr>
            <w:webHidden/>
          </w:rPr>
          <w:fldChar w:fldCharType="end"/>
        </w:r>
      </w:hyperlink>
    </w:p>
    <w:p w14:paraId="0C4C45E4" w14:textId="77777777" w:rsidR="00676882" w:rsidRDefault="00676882" w:rsidP="00676882">
      <w:pPr>
        <w:pStyle w:val="TOC2"/>
        <w:rPr>
          <w:rFonts w:asciiTheme="minorHAnsi" w:eastAsiaTheme="minorEastAsia" w:hAnsiTheme="minorHAnsi"/>
          <w:b w:val="0"/>
          <w:color w:val="auto"/>
          <w:sz w:val="22"/>
          <w:lang w:eastAsia="en-AU"/>
        </w:rPr>
      </w:pPr>
      <w:hyperlink w:anchor="_Toc80712618" w:history="1">
        <w:r w:rsidRPr="00817188">
          <w:rPr>
            <w:rStyle w:val="Hyperlink"/>
          </w:rPr>
          <w:t>C</w:t>
        </w:r>
        <w:r>
          <w:rPr>
            <w:rFonts w:asciiTheme="minorHAnsi" w:eastAsiaTheme="minorEastAsia" w:hAnsiTheme="minorHAnsi"/>
            <w:b w:val="0"/>
            <w:color w:val="auto"/>
            <w:sz w:val="22"/>
            <w:lang w:eastAsia="en-AU"/>
          </w:rPr>
          <w:tab/>
        </w:r>
        <w:r w:rsidRPr="00817188">
          <w:rPr>
            <w:rStyle w:val="Hyperlink"/>
          </w:rPr>
          <w:t>Housing stock model</w:t>
        </w:r>
        <w:r>
          <w:rPr>
            <w:webHidden/>
          </w:rPr>
          <w:tab/>
        </w:r>
        <w:r>
          <w:rPr>
            <w:webHidden/>
          </w:rPr>
          <w:fldChar w:fldCharType="begin"/>
        </w:r>
        <w:r>
          <w:rPr>
            <w:webHidden/>
          </w:rPr>
          <w:instrText xml:space="preserve"> PAGEREF _Toc80712618 \h </w:instrText>
        </w:r>
        <w:r>
          <w:rPr>
            <w:webHidden/>
          </w:rPr>
        </w:r>
        <w:r>
          <w:rPr>
            <w:webHidden/>
          </w:rPr>
          <w:fldChar w:fldCharType="separate"/>
        </w:r>
        <w:r>
          <w:rPr>
            <w:webHidden/>
          </w:rPr>
          <w:t>C-1</w:t>
        </w:r>
        <w:r>
          <w:rPr>
            <w:webHidden/>
          </w:rPr>
          <w:fldChar w:fldCharType="end"/>
        </w:r>
      </w:hyperlink>
    </w:p>
    <w:p w14:paraId="6521F79E"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19" w:history="1">
        <w:r w:rsidRPr="00817188">
          <w:rPr>
            <w:rStyle w:val="Hyperlink"/>
            <w:lang w:eastAsia="ja-JP"/>
          </w:rPr>
          <w:t>C.1</w:t>
        </w:r>
        <w:r>
          <w:rPr>
            <w:rFonts w:asciiTheme="minorHAnsi" w:eastAsiaTheme="minorEastAsia" w:hAnsiTheme="minorHAnsi"/>
            <w:color w:val="auto"/>
            <w:position w:val="0"/>
            <w:lang w:eastAsia="en-AU"/>
          </w:rPr>
          <w:tab/>
        </w:r>
        <w:r w:rsidRPr="00817188">
          <w:rPr>
            <w:rStyle w:val="Hyperlink"/>
            <w:lang w:eastAsia="ja-JP"/>
          </w:rPr>
          <w:t>Modelling tool overview</w:t>
        </w:r>
        <w:r>
          <w:rPr>
            <w:webHidden/>
          </w:rPr>
          <w:tab/>
        </w:r>
        <w:r>
          <w:rPr>
            <w:webHidden/>
          </w:rPr>
          <w:fldChar w:fldCharType="begin"/>
        </w:r>
        <w:r>
          <w:rPr>
            <w:webHidden/>
          </w:rPr>
          <w:instrText xml:space="preserve"> PAGEREF _Toc80712619 \h </w:instrText>
        </w:r>
        <w:r>
          <w:rPr>
            <w:webHidden/>
          </w:rPr>
        </w:r>
        <w:r>
          <w:rPr>
            <w:webHidden/>
          </w:rPr>
          <w:fldChar w:fldCharType="separate"/>
        </w:r>
        <w:r>
          <w:rPr>
            <w:webHidden/>
          </w:rPr>
          <w:t>C-1</w:t>
        </w:r>
        <w:r>
          <w:rPr>
            <w:webHidden/>
          </w:rPr>
          <w:fldChar w:fldCharType="end"/>
        </w:r>
      </w:hyperlink>
    </w:p>
    <w:p w14:paraId="632566A7"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0" w:history="1">
        <w:r w:rsidRPr="00817188">
          <w:rPr>
            <w:rStyle w:val="Hyperlink"/>
          </w:rPr>
          <w:t>C.2</w:t>
        </w:r>
        <w:r>
          <w:rPr>
            <w:rFonts w:asciiTheme="minorHAnsi" w:eastAsiaTheme="minorEastAsia" w:hAnsiTheme="minorHAnsi"/>
            <w:color w:val="auto"/>
            <w:position w:val="0"/>
            <w:lang w:eastAsia="en-AU"/>
          </w:rPr>
          <w:tab/>
        </w:r>
        <w:r w:rsidRPr="00817188">
          <w:rPr>
            <w:rStyle w:val="Hyperlink"/>
          </w:rPr>
          <w:t>ACT Housing stock model</w:t>
        </w:r>
        <w:r>
          <w:rPr>
            <w:webHidden/>
          </w:rPr>
          <w:tab/>
        </w:r>
        <w:r>
          <w:rPr>
            <w:webHidden/>
          </w:rPr>
          <w:fldChar w:fldCharType="begin"/>
        </w:r>
        <w:r>
          <w:rPr>
            <w:webHidden/>
          </w:rPr>
          <w:instrText xml:space="preserve"> PAGEREF _Toc80712620 \h </w:instrText>
        </w:r>
        <w:r>
          <w:rPr>
            <w:webHidden/>
          </w:rPr>
        </w:r>
        <w:r>
          <w:rPr>
            <w:webHidden/>
          </w:rPr>
          <w:fldChar w:fldCharType="separate"/>
        </w:r>
        <w:r>
          <w:rPr>
            <w:webHidden/>
          </w:rPr>
          <w:t>C-3</w:t>
        </w:r>
        <w:r>
          <w:rPr>
            <w:webHidden/>
          </w:rPr>
          <w:fldChar w:fldCharType="end"/>
        </w:r>
      </w:hyperlink>
    </w:p>
    <w:p w14:paraId="2CDFF0FB"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1" w:history="1">
        <w:r w:rsidRPr="00817188">
          <w:rPr>
            <w:rStyle w:val="Hyperlink"/>
          </w:rPr>
          <w:t>C.3</w:t>
        </w:r>
        <w:r>
          <w:rPr>
            <w:rFonts w:asciiTheme="minorHAnsi" w:eastAsiaTheme="minorEastAsia" w:hAnsiTheme="minorHAnsi"/>
            <w:color w:val="auto"/>
            <w:position w:val="0"/>
            <w:lang w:eastAsia="en-AU"/>
          </w:rPr>
          <w:tab/>
        </w:r>
        <w:r w:rsidRPr="00817188">
          <w:rPr>
            <w:rStyle w:val="Hyperlink"/>
          </w:rPr>
          <w:t>Insulation upgrades</w:t>
        </w:r>
        <w:r>
          <w:rPr>
            <w:webHidden/>
          </w:rPr>
          <w:tab/>
        </w:r>
        <w:r>
          <w:rPr>
            <w:webHidden/>
          </w:rPr>
          <w:fldChar w:fldCharType="begin"/>
        </w:r>
        <w:r>
          <w:rPr>
            <w:webHidden/>
          </w:rPr>
          <w:instrText xml:space="preserve"> PAGEREF _Toc80712621 \h </w:instrText>
        </w:r>
        <w:r>
          <w:rPr>
            <w:webHidden/>
          </w:rPr>
        </w:r>
        <w:r>
          <w:rPr>
            <w:webHidden/>
          </w:rPr>
          <w:fldChar w:fldCharType="separate"/>
        </w:r>
        <w:r>
          <w:rPr>
            <w:webHidden/>
          </w:rPr>
          <w:t>C-4</w:t>
        </w:r>
        <w:r>
          <w:rPr>
            <w:webHidden/>
          </w:rPr>
          <w:fldChar w:fldCharType="end"/>
        </w:r>
      </w:hyperlink>
    </w:p>
    <w:p w14:paraId="262C9EA2"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2" w:history="1">
        <w:r w:rsidRPr="00817188">
          <w:rPr>
            <w:rStyle w:val="Hyperlink"/>
          </w:rPr>
          <w:t>C.4</w:t>
        </w:r>
        <w:r>
          <w:rPr>
            <w:rFonts w:asciiTheme="minorHAnsi" w:eastAsiaTheme="minorEastAsia" w:hAnsiTheme="minorHAnsi"/>
            <w:color w:val="auto"/>
            <w:position w:val="0"/>
            <w:lang w:eastAsia="en-AU"/>
          </w:rPr>
          <w:tab/>
        </w:r>
        <w:r w:rsidRPr="00817188">
          <w:rPr>
            <w:rStyle w:val="Hyperlink"/>
          </w:rPr>
          <w:t>Heating upgrades</w:t>
        </w:r>
        <w:r>
          <w:rPr>
            <w:webHidden/>
          </w:rPr>
          <w:tab/>
        </w:r>
        <w:r>
          <w:rPr>
            <w:webHidden/>
          </w:rPr>
          <w:fldChar w:fldCharType="begin"/>
        </w:r>
        <w:r>
          <w:rPr>
            <w:webHidden/>
          </w:rPr>
          <w:instrText xml:space="preserve"> PAGEREF _Toc80712622 \h </w:instrText>
        </w:r>
        <w:r>
          <w:rPr>
            <w:webHidden/>
          </w:rPr>
        </w:r>
        <w:r>
          <w:rPr>
            <w:webHidden/>
          </w:rPr>
          <w:fldChar w:fldCharType="separate"/>
        </w:r>
        <w:r>
          <w:rPr>
            <w:webHidden/>
          </w:rPr>
          <w:t>C-7</w:t>
        </w:r>
        <w:r>
          <w:rPr>
            <w:webHidden/>
          </w:rPr>
          <w:fldChar w:fldCharType="end"/>
        </w:r>
      </w:hyperlink>
    </w:p>
    <w:p w14:paraId="18CE7157"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3" w:history="1">
        <w:r w:rsidRPr="00817188">
          <w:rPr>
            <w:rStyle w:val="Hyperlink"/>
          </w:rPr>
          <w:t>C.5</w:t>
        </w:r>
        <w:r>
          <w:rPr>
            <w:rFonts w:asciiTheme="minorHAnsi" w:eastAsiaTheme="minorEastAsia" w:hAnsiTheme="minorHAnsi"/>
            <w:color w:val="auto"/>
            <w:position w:val="0"/>
            <w:lang w:eastAsia="en-AU"/>
          </w:rPr>
          <w:tab/>
        </w:r>
        <w:r w:rsidRPr="00817188">
          <w:rPr>
            <w:rStyle w:val="Hyperlink"/>
          </w:rPr>
          <w:t>Performance-based upgrades</w:t>
        </w:r>
        <w:r>
          <w:rPr>
            <w:webHidden/>
          </w:rPr>
          <w:tab/>
        </w:r>
        <w:r>
          <w:rPr>
            <w:webHidden/>
          </w:rPr>
          <w:fldChar w:fldCharType="begin"/>
        </w:r>
        <w:r>
          <w:rPr>
            <w:webHidden/>
          </w:rPr>
          <w:instrText xml:space="preserve"> PAGEREF _Toc80712623 \h </w:instrText>
        </w:r>
        <w:r>
          <w:rPr>
            <w:webHidden/>
          </w:rPr>
        </w:r>
        <w:r>
          <w:rPr>
            <w:webHidden/>
          </w:rPr>
          <w:fldChar w:fldCharType="separate"/>
        </w:r>
        <w:r>
          <w:rPr>
            <w:webHidden/>
          </w:rPr>
          <w:t>C-12</w:t>
        </w:r>
        <w:r>
          <w:rPr>
            <w:webHidden/>
          </w:rPr>
          <w:fldChar w:fldCharType="end"/>
        </w:r>
      </w:hyperlink>
    </w:p>
    <w:p w14:paraId="42DECAD5"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5" w:history="1">
        <w:r w:rsidRPr="00817188">
          <w:rPr>
            <w:rStyle w:val="Hyperlink"/>
          </w:rPr>
          <w:t>C.6</w:t>
        </w:r>
        <w:r>
          <w:rPr>
            <w:rFonts w:asciiTheme="minorHAnsi" w:eastAsiaTheme="minorEastAsia" w:hAnsiTheme="minorHAnsi"/>
            <w:color w:val="auto"/>
            <w:position w:val="0"/>
            <w:lang w:eastAsia="en-AU"/>
          </w:rPr>
          <w:tab/>
        </w:r>
        <w:r w:rsidRPr="00817188">
          <w:rPr>
            <w:rStyle w:val="Hyperlink"/>
          </w:rPr>
          <w:t>Greenhouse gas intensity of fuels</w:t>
        </w:r>
        <w:r>
          <w:rPr>
            <w:webHidden/>
          </w:rPr>
          <w:tab/>
        </w:r>
        <w:r>
          <w:rPr>
            <w:webHidden/>
          </w:rPr>
          <w:fldChar w:fldCharType="begin"/>
        </w:r>
        <w:r>
          <w:rPr>
            <w:webHidden/>
          </w:rPr>
          <w:instrText xml:space="preserve"> PAGEREF _Toc80712625 \h </w:instrText>
        </w:r>
        <w:r>
          <w:rPr>
            <w:webHidden/>
          </w:rPr>
        </w:r>
        <w:r>
          <w:rPr>
            <w:webHidden/>
          </w:rPr>
          <w:fldChar w:fldCharType="separate"/>
        </w:r>
        <w:r>
          <w:rPr>
            <w:webHidden/>
          </w:rPr>
          <w:t>C-16</w:t>
        </w:r>
        <w:r>
          <w:rPr>
            <w:webHidden/>
          </w:rPr>
          <w:fldChar w:fldCharType="end"/>
        </w:r>
      </w:hyperlink>
    </w:p>
    <w:p w14:paraId="78181801" w14:textId="77777777" w:rsidR="00676882" w:rsidRDefault="00676882" w:rsidP="00676882">
      <w:pPr>
        <w:pStyle w:val="TOC2"/>
        <w:rPr>
          <w:rFonts w:asciiTheme="minorHAnsi" w:eastAsiaTheme="minorEastAsia" w:hAnsiTheme="minorHAnsi"/>
          <w:b w:val="0"/>
          <w:color w:val="auto"/>
          <w:sz w:val="22"/>
          <w:lang w:eastAsia="en-AU"/>
        </w:rPr>
      </w:pPr>
      <w:hyperlink w:anchor="_Toc80712626" w:history="1">
        <w:r w:rsidRPr="00817188">
          <w:rPr>
            <w:rStyle w:val="Hyperlink"/>
          </w:rPr>
          <w:t>D</w:t>
        </w:r>
        <w:r>
          <w:rPr>
            <w:rFonts w:asciiTheme="minorHAnsi" w:eastAsiaTheme="minorEastAsia" w:hAnsiTheme="minorHAnsi"/>
            <w:b w:val="0"/>
            <w:color w:val="auto"/>
            <w:sz w:val="22"/>
            <w:lang w:eastAsia="en-AU"/>
          </w:rPr>
          <w:tab/>
        </w:r>
        <w:r w:rsidRPr="00817188">
          <w:rPr>
            <w:rStyle w:val="Hyperlink"/>
          </w:rPr>
          <w:t>ACIL Allen energy market models</w:t>
        </w:r>
        <w:r>
          <w:rPr>
            <w:webHidden/>
          </w:rPr>
          <w:tab/>
        </w:r>
        <w:r>
          <w:rPr>
            <w:webHidden/>
          </w:rPr>
          <w:fldChar w:fldCharType="begin"/>
        </w:r>
        <w:r>
          <w:rPr>
            <w:webHidden/>
          </w:rPr>
          <w:instrText xml:space="preserve"> PAGEREF _Toc80712626 \h </w:instrText>
        </w:r>
        <w:r>
          <w:rPr>
            <w:webHidden/>
          </w:rPr>
        </w:r>
        <w:r>
          <w:rPr>
            <w:webHidden/>
          </w:rPr>
          <w:fldChar w:fldCharType="separate"/>
        </w:r>
        <w:r>
          <w:rPr>
            <w:webHidden/>
          </w:rPr>
          <w:t>D-1</w:t>
        </w:r>
        <w:r>
          <w:rPr>
            <w:webHidden/>
          </w:rPr>
          <w:fldChar w:fldCharType="end"/>
        </w:r>
      </w:hyperlink>
    </w:p>
    <w:p w14:paraId="4F5DDB45"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7" w:history="1">
        <w:r w:rsidRPr="00817188">
          <w:rPr>
            <w:rStyle w:val="Hyperlink"/>
          </w:rPr>
          <w:t>D.1</w:t>
        </w:r>
        <w:r>
          <w:rPr>
            <w:rFonts w:asciiTheme="minorHAnsi" w:eastAsiaTheme="minorEastAsia" w:hAnsiTheme="minorHAnsi"/>
            <w:color w:val="auto"/>
            <w:position w:val="0"/>
            <w:lang w:eastAsia="en-AU"/>
          </w:rPr>
          <w:tab/>
        </w:r>
        <w:r w:rsidRPr="00817188">
          <w:rPr>
            <w:rStyle w:val="Hyperlink"/>
          </w:rPr>
          <w:t>PowerMark</w:t>
        </w:r>
        <w:r>
          <w:rPr>
            <w:webHidden/>
          </w:rPr>
          <w:tab/>
        </w:r>
        <w:r>
          <w:rPr>
            <w:webHidden/>
          </w:rPr>
          <w:fldChar w:fldCharType="begin"/>
        </w:r>
        <w:r>
          <w:rPr>
            <w:webHidden/>
          </w:rPr>
          <w:instrText xml:space="preserve"> PAGEREF _Toc80712627 \h </w:instrText>
        </w:r>
        <w:r>
          <w:rPr>
            <w:webHidden/>
          </w:rPr>
        </w:r>
        <w:r>
          <w:rPr>
            <w:webHidden/>
          </w:rPr>
          <w:fldChar w:fldCharType="separate"/>
        </w:r>
        <w:r>
          <w:rPr>
            <w:webHidden/>
          </w:rPr>
          <w:t>D-1</w:t>
        </w:r>
        <w:r>
          <w:rPr>
            <w:webHidden/>
          </w:rPr>
          <w:fldChar w:fldCharType="end"/>
        </w:r>
      </w:hyperlink>
    </w:p>
    <w:p w14:paraId="5EB1B81D"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28" w:history="1">
        <w:r w:rsidRPr="00817188">
          <w:rPr>
            <w:rStyle w:val="Hyperlink"/>
          </w:rPr>
          <w:t>D.2</w:t>
        </w:r>
        <w:r>
          <w:rPr>
            <w:rFonts w:asciiTheme="minorHAnsi" w:eastAsiaTheme="minorEastAsia" w:hAnsiTheme="minorHAnsi"/>
            <w:color w:val="auto"/>
            <w:position w:val="0"/>
            <w:lang w:eastAsia="en-AU"/>
          </w:rPr>
          <w:tab/>
        </w:r>
        <w:r w:rsidRPr="00817188">
          <w:rPr>
            <w:rStyle w:val="Hyperlink"/>
          </w:rPr>
          <w:t>GasMark</w:t>
        </w:r>
        <w:r>
          <w:rPr>
            <w:webHidden/>
          </w:rPr>
          <w:tab/>
        </w:r>
        <w:r>
          <w:rPr>
            <w:webHidden/>
          </w:rPr>
          <w:fldChar w:fldCharType="begin"/>
        </w:r>
        <w:r>
          <w:rPr>
            <w:webHidden/>
          </w:rPr>
          <w:instrText xml:space="preserve"> PAGEREF _Toc80712628 \h </w:instrText>
        </w:r>
        <w:r>
          <w:rPr>
            <w:webHidden/>
          </w:rPr>
        </w:r>
        <w:r>
          <w:rPr>
            <w:webHidden/>
          </w:rPr>
          <w:fldChar w:fldCharType="separate"/>
        </w:r>
        <w:r>
          <w:rPr>
            <w:webHidden/>
          </w:rPr>
          <w:t>D-2</w:t>
        </w:r>
        <w:r>
          <w:rPr>
            <w:webHidden/>
          </w:rPr>
          <w:fldChar w:fldCharType="end"/>
        </w:r>
      </w:hyperlink>
    </w:p>
    <w:p w14:paraId="62F10667" w14:textId="77777777" w:rsidR="00676882" w:rsidRDefault="00676882" w:rsidP="00676882">
      <w:pPr>
        <w:pStyle w:val="TOC2"/>
        <w:rPr>
          <w:rFonts w:asciiTheme="minorHAnsi" w:eastAsiaTheme="minorEastAsia" w:hAnsiTheme="minorHAnsi"/>
          <w:b w:val="0"/>
          <w:color w:val="auto"/>
          <w:sz w:val="22"/>
          <w:lang w:eastAsia="en-AU"/>
        </w:rPr>
      </w:pPr>
      <w:hyperlink w:anchor="_Toc80712629" w:history="1">
        <w:r w:rsidRPr="00817188">
          <w:rPr>
            <w:rStyle w:val="Hyperlink"/>
          </w:rPr>
          <w:t>E</w:t>
        </w:r>
        <w:r>
          <w:rPr>
            <w:rFonts w:asciiTheme="minorHAnsi" w:eastAsiaTheme="minorEastAsia" w:hAnsiTheme="minorHAnsi"/>
            <w:b w:val="0"/>
            <w:color w:val="auto"/>
            <w:sz w:val="22"/>
            <w:lang w:eastAsia="en-AU"/>
          </w:rPr>
          <w:tab/>
        </w:r>
        <w:r w:rsidRPr="00817188">
          <w:rPr>
            <w:rStyle w:val="Hyperlink"/>
          </w:rPr>
          <w:t>Stakeholder views</w:t>
        </w:r>
        <w:r>
          <w:rPr>
            <w:webHidden/>
          </w:rPr>
          <w:tab/>
        </w:r>
        <w:r>
          <w:rPr>
            <w:webHidden/>
          </w:rPr>
          <w:fldChar w:fldCharType="begin"/>
        </w:r>
        <w:r>
          <w:rPr>
            <w:webHidden/>
          </w:rPr>
          <w:instrText xml:space="preserve"> PAGEREF _Toc80712629 \h </w:instrText>
        </w:r>
        <w:r>
          <w:rPr>
            <w:webHidden/>
          </w:rPr>
        </w:r>
        <w:r>
          <w:rPr>
            <w:webHidden/>
          </w:rPr>
          <w:fldChar w:fldCharType="separate"/>
        </w:r>
        <w:r>
          <w:rPr>
            <w:webHidden/>
          </w:rPr>
          <w:t>E-1</w:t>
        </w:r>
        <w:r>
          <w:rPr>
            <w:webHidden/>
          </w:rPr>
          <w:fldChar w:fldCharType="end"/>
        </w:r>
      </w:hyperlink>
    </w:p>
    <w:p w14:paraId="538F7D66"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0" w:history="1">
        <w:r w:rsidRPr="00817188">
          <w:rPr>
            <w:rStyle w:val="Hyperlink"/>
          </w:rPr>
          <w:t>E.1</w:t>
        </w:r>
        <w:r>
          <w:rPr>
            <w:rFonts w:asciiTheme="minorHAnsi" w:eastAsiaTheme="minorEastAsia" w:hAnsiTheme="minorHAnsi"/>
            <w:color w:val="auto"/>
            <w:position w:val="0"/>
            <w:lang w:eastAsia="en-AU"/>
          </w:rPr>
          <w:tab/>
        </w:r>
        <w:r w:rsidRPr="00817188">
          <w:rPr>
            <w:rStyle w:val="Hyperlink"/>
          </w:rPr>
          <w:t>Views on the proposed options</w:t>
        </w:r>
        <w:r>
          <w:rPr>
            <w:webHidden/>
          </w:rPr>
          <w:tab/>
        </w:r>
        <w:r>
          <w:rPr>
            <w:webHidden/>
          </w:rPr>
          <w:fldChar w:fldCharType="begin"/>
        </w:r>
        <w:r>
          <w:rPr>
            <w:webHidden/>
          </w:rPr>
          <w:instrText xml:space="preserve"> PAGEREF _Toc80712630 \h </w:instrText>
        </w:r>
        <w:r>
          <w:rPr>
            <w:webHidden/>
          </w:rPr>
        </w:r>
        <w:r>
          <w:rPr>
            <w:webHidden/>
          </w:rPr>
          <w:fldChar w:fldCharType="separate"/>
        </w:r>
        <w:r>
          <w:rPr>
            <w:webHidden/>
          </w:rPr>
          <w:t>E-1</w:t>
        </w:r>
        <w:r>
          <w:rPr>
            <w:webHidden/>
          </w:rPr>
          <w:fldChar w:fldCharType="end"/>
        </w:r>
      </w:hyperlink>
    </w:p>
    <w:p w14:paraId="42CAA60B"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1" w:history="1">
        <w:r w:rsidRPr="00817188">
          <w:rPr>
            <w:rStyle w:val="Hyperlink"/>
          </w:rPr>
          <w:t>E.2</w:t>
        </w:r>
        <w:r>
          <w:rPr>
            <w:rFonts w:asciiTheme="minorHAnsi" w:eastAsiaTheme="minorEastAsia" w:hAnsiTheme="minorHAnsi"/>
            <w:color w:val="auto"/>
            <w:position w:val="0"/>
            <w:lang w:eastAsia="en-AU"/>
          </w:rPr>
          <w:tab/>
        </w:r>
        <w:r w:rsidRPr="00817188">
          <w:rPr>
            <w:rStyle w:val="Hyperlink"/>
          </w:rPr>
          <w:t>Views on impacts on tenants</w:t>
        </w:r>
        <w:r>
          <w:rPr>
            <w:webHidden/>
          </w:rPr>
          <w:tab/>
        </w:r>
        <w:r>
          <w:rPr>
            <w:webHidden/>
          </w:rPr>
          <w:fldChar w:fldCharType="begin"/>
        </w:r>
        <w:r>
          <w:rPr>
            <w:webHidden/>
          </w:rPr>
          <w:instrText xml:space="preserve"> PAGEREF _Toc80712631 \h </w:instrText>
        </w:r>
        <w:r>
          <w:rPr>
            <w:webHidden/>
          </w:rPr>
        </w:r>
        <w:r>
          <w:rPr>
            <w:webHidden/>
          </w:rPr>
          <w:fldChar w:fldCharType="separate"/>
        </w:r>
        <w:r>
          <w:rPr>
            <w:webHidden/>
          </w:rPr>
          <w:t>E-2</w:t>
        </w:r>
        <w:r>
          <w:rPr>
            <w:webHidden/>
          </w:rPr>
          <w:fldChar w:fldCharType="end"/>
        </w:r>
      </w:hyperlink>
    </w:p>
    <w:p w14:paraId="7350D4BA"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2" w:history="1">
        <w:r w:rsidRPr="00817188">
          <w:rPr>
            <w:rStyle w:val="Hyperlink"/>
          </w:rPr>
          <w:t>E.3</w:t>
        </w:r>
        <w:r>
          <w:rPr>
            <w:rFonts w:asciiTheme="minorHAnsi" w:eastAsiaTheme="minorEastAsia" w:hAnsiTheme="minorHAnsi"/>
            <w:color w:val="auto"/>
            <w:position w:val="0"/>
            <w:lang w:eastAsia="en-AU"/>
          </w:rPr>
          <w:tab/>
        </w:r>
        <w:r w:rsidRPr="00817188">
          <w:rPr>
            <w:rStyle w:val="Hyperlink"/>
          </w:rPr>
          <w:t>Views on impacts to private rental providers</w:t>
        </w:r>
        <w:r>
          <w:rPr>
            <w:webHidden/>
          </w:rPr>
          <w:tab/>
        </w:r>
        <w:r>
          <w:rPr>
            <w:webHidden/>
          </w:rPr>
          <w:fldChar w:fldCharType="begin"/>
        </w:r>
        <w:r>
          <w:rPr>
            <w:webHidden/>
          </w:rPr>
          <w:instrText xml:space="preserve"> PAGEREF _Toc80712632 \h </w:instrText>
        </w:r>
        <w:r>
          <w:rPr>
            <w:webHidden/>
          </w:rPr>
        </w:r>
        <w:r>
          <w:rPr>
            <w:webHidden/>
          </w:rPr>
          <w:fldChar w:fldCharType="separate"/>
        </w:r>
        <w:r>
          <w:rPr>
            <w:webHidden/>
          </w:rPr>
          <w:t>E-3</w:t>
        </w:r>
        <w:r>
          <w:rPr>
            <w:webHidden/>
          </w:rPr>
          <w:fldChar w:fldCharType="end"/>
        </w:r>
      </w:hyperlink>
    </w:p>
    <w:p w14:paraId="7EFDD08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3" w:history="1">
        <w:r w:rsidRPr="00817188">
          <w:rPr>
            <w:rStyle w:val="Hyperlink"/>
          </w:rPr>
          <w:t>E.4</w:t>
        </w:r>
        <w:r>
          <w:rPr>
            <w:rFonts w:asciiTheme="minorHAnsi" w:eastAsiaTheme="minorEastAsia" w:hAnsiTheme="minorHAnsi"/>
            <w:color w:val="auto"/>
            <w:position w:val="0"/>
            <w:lang w:eastAsia="en-AU"/>
          </w:rPr>
          <w:tab/>
        </w:r>
        <w:r w:rsidRPr="00817188">
          <w:rPr>
            <w:rStyle w:val="Hyperlink"/>
          </w:rPr>
          <w:t>Views on impacts to the rental market</w:t>
        </w:r>
        <w:r>
          <w:rPr>
            <w:webHidden/>
          </w:rPr>
          <w:tab/>
        </w:r>
        <w:r>
          <w:rPr>
            <w:webHidden/>
          </w:rPr>
          <w:fldChar w:fldCharType="begin"/>
        </w:r>
        <w:r>
          <w:rPr>
            <w:webHidden/>
          </w:rPr>
          <w:instrText xml:space="preserve"> PAGEREF _Toc80712633 \h </w:instrText>
        </w:r>
        <w:r>
          <w:rPr>
            <w:webHidden/>
          </w:rPr>
        </w:r>
        <w:r>
          <w:rPr>
            <w:webHidden/>
          </w:rPr>
          <w:fldChar w:fldCharType="separate"/>
        </w:r>
        <w:r>
          <w:rPr>
            <w:webHidden/>
          </w:rPr>
          <w:t>E-4</w:t>
        </w:r>
        <w:r>
          <w:rPr>
            <w:webHidden/>
          </w:rPr>
          <w:fldChar w:fldCharType="end"/>
        </w:r>
      </w:hyperlink>
    </w:p>
    <w:p w14:paraId="6A3535FC"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4" w:history="1">
        <w:r w:rsidRPr="00817188">
          <w:rPr>
            <w:rStyle w:val="Hyperlink"/>
          </w:rPr>
          <w:t>E.5</w:t>
        </w:r>
        <w:r>
          <w:rPr>
            <w:rFonts w:asciiTheme="minorHAnsi" w:eastAsiaTheme="minorEastAsia" w:hAnsiTheme="minorHAnsi"/>
            <w:color w:val="auto"/>
            <w:position w:val="0"/>
            <w:lang w:eastAsia="en-AU"/>
          </w:rPr>
          <w:tab/>
        </w:r>
        <w:r w:rsidRPr="00817188">
          <w:rPr>
            <w:rStyle w:val="Hyperlink"/>
          </w:rPr>
          <w:t>Views on industry capacity and risk</w:t>
        </w:r>
        <w:r>
          <w:rPr>
            <w:webHidden/>
          </w:rPr>
          <w:tab/>
        </w:r>
        <w:r>
          <w:rPr>
            <w:webHidden/>
          </w:rPr>
          <w:fldChar w:fldCharType="begin"/>
        </w:r>
        <w:r>
          <w:rPr>
            <w:webHidden/>
          </w:rPr>
          <w:instrText xml:space="preserve"> PAGEREF _Toc80712634 \h </w:instrText>
        </w:r>
        <w:r>
          <w:rPr>
            <w:webHidden/>
          </w:rPr>
        </w:r>
        <w:r>
          <w:rPr>
            <w:webHidden/>
          </w:rPr>
          <w:fldChar w:fldCharType="separate"/>
        </w:r>
        <w:r>
          <w:rPr>
            <w:webHidden/>
          </w:rPr>
          <w:t>E-6</w:t>
        </w:r>
        <w:r>
          <w:rPr>
            <w:webHidden/>
          </w:rPr>
          <w:fldChar w:fldCharType="end"/>
        </w:r>
      </w:hyperlink>
    </w:p>
    <w:p w14:paraId="16650341"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5" w:history="1">
        <w:r w:rsidRPr="00817188">
          <w:rPr>
            <w:rStyle w:val="Hyperlink"/>
          </w:rPr>
          <w:t>E.6</w:t>
        </w:r>
        <w:r>
          <w:rPr>
            <w:rFonts w:asciiTheme="minorHAnsi" w:eastAsiaTheme="minorEastAsia" w:hAnsiTheme="minorHAnsi"/>
            <w:color w:val="auto"/>
            <w:position w:val="0"/>
            <w:lang w:eastAsia="en-AU"/>
          </w:rPr>
          <w:tab/>
        </w:r>
        <w:r w:rsidRPr="00817188">
          <w:rPr>
            <w:rStyle w:val="Hyperlink"/>
          </w:rPr>
          <w:t>Views on implementation</w:t>
        </w:r>
        <w:r>
          <w:rPr>
            <w:webHidden/>
          </w:rPr>
          <w:tab/>
        </w:r>
        <w:r>
          <w:rPr>
            <w:webHidden/>
          </w:rPr>
          <w:fldChar w:fldCharType="begin"/>
        </w:r>
        <w:r>
          <w:rPr>
            <w:webHidden/>
          </w:rPr>
          <w:instrText xml:space="preserve"> PAGEREF _Toc80712635 \h </w:instrText>
        </w:r>
        <w:r>
          <w:rPr>
            <w:webHidden/>
          </w:rPr>
        </w:r>
        <w:r>
          <w:rPr>
            <w:webHidden/>
          </w:rPr>
          <w:fldChar w:fldCharType="separate"/>
        </w:r>
        <w:r>
          <w:rPr>
            <w:webHidden/>
          </w:rPr>
          <w:t>E-7</w:t>
        </w:r>
        <w:r>
          <w:rPr>
            <w:webHidden/>
          </w:rPr>
          <w:fldChar w:fldCharType="end"/>
        </w:r>
      </w:hyperlink>
    </w:p>
    <w:p w14:paraId="3C3A8E02" w14:textId="77777777" w:rsidR="00676882" w:rsidRDefault="00676882" w:rsidP="00676882">
      <w:pPr>
        <w:pStyle w:val="TOC2"/>
        <w:rPr>
          <w:rFonts w:asciiTheme="minorHAnsi" w:eastAsiaTheme="minorEastAsia" w:hAnsiTheme="minorHAnsi"/>
          <w:b w:val="0"/>
          <w:color w:val="auto"/>
          <w:sz w:val="22"/>
          <w:lang w:eastAsia="en-AU"/>
        </w:rPr>
      </w:pPr>
      <w:hyperlink w:anchor="_Toc80712636" w:history="1">
        <w:r w:rsidRPr="00817188">
          <w:rPr>
            <w:rStyle w:val="Hyperlink"/>
          </w:rPr>
          <w:t>F</w:t>
        </w:r>
        <w:r>
          <w:rPr>
            <w:rFonts w:asciiTheme="minorHAnsi" w:eastAsiaTheme="minorEastAsia" w:hAnsiTheme="minorHAnsi"/>
            <w:b w:val="0"/>
            <w:color w:val="auto"/>
            <w:sz w:val="22"/>
            <w:lang w:eastAsia="en-AU"/>
          </w:rPr>
          <w:tab/>
        </w:r>
        <w:r w:rsidRPr="00817188">
          <w:rPr>
            <w:rStyle w:val="Hyperlink"/>
          </w:rPr>
          <w:t>Survey results</w:t>
        </w:r>
        <w:r>
          <w:rPr>
            <w:webHidden/>
          </w:rPr>
          <w:tab/>
        </w:r>
        <w:r>
          <w:rPr>
            <w:webHidden/>
          </w:rPr>
          <w:fldChar w:fldCharType="begin"/>
        </w:r>
        <w:r>
          <w:rPr>
            <w:webHidden/>
          </w:rPr>
          <w:instrText xml:space="preserve"> PAGEREF _Toc80712636 \h </w:instrText>
        </w:r>
        <w:r>
          <w:rPr>
            <w:webHidden/>
          </w:rPr>
        </w:r>
        <w:r>
          <w:rPr>
            <w:webHidden/>
          </w:rPr>
          <w:fldChar w:fldCharType="separate"/>
        </w:r>
        <w:r>
          <w:rPr>
            <w:webHidden/>
          </w:rPr>
          <w:t>F-1</w:t>
        </w:r>
        <w:r>
          <w:rPr>
            <w:webHidden/>
          </w:rPr>
          <w:fldChar w:fldCharType="end"/>
        </w:r>
      </w:hyperlink>
    </w:p>
    <w:p w14:paraId="2D66C1D0"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7" w:history="1">
        <w:r w:rsidRPr="00817188">
          <w:rPr>
            <w:rStyle w:val="Hyperlink"/>
          </w:rPr>
          <w:t>F.1</w:t>
        </w:r>
        <w:r>
          <w:rPr>
            <w:rFonts w:asciiTheme="minorHAnsi" w:eastAsiaTheme="minorEastAsia" w:hAnsiTheme="minorHAnsi"/>
            <w:color w:val="auto"/>
            <w:position w:val="0"/>
            <w:lang w:eastAsia="en-AU"/>
          </w:rPr>
          <w:tab/>
        </w:r>
        <w:r w:rsidRPr="00817188">
          <w:rPr>
            <w:rStyle w:val="Hyperlink"/>
          </w:rPr>
          <w:t>Survey respondents</w:t>
        </w:r>
        <w:r>
          <w:rPr>
            <w:webHidden/>
          </w:rPr>
          <w:tab/>
        </w:r>
        <w:r>
          <w:rPr>
            <w:webHidden/>
          </w:rPr>
          <w:fldChar w:fldCharType="begin"/>
        </w:r>
        <w:r>
          <w:rPr>
            <w:webHidden/>
          </w:rPr>
          <w:instrText xml:space="preserve"> PAGEREF _Toc80712637 \h </w:instrText>
        </w:r>
        <w:r>
          <w:rPr>
            <w:webHidden/>
          </w:rPr>
        </w:r>
        <w:r>
          <w:rPr>
            <w:webHidden/>
          </w:rPr>
          <w:fldChar w:fldCharType="separate"/>
        </w:r>
        <w:r>
          <w:rPr>
            <w:webHidden/>
          </w:rPr>
          <w:t>F-1</w:t>
        </w:r>
        <w:r>
          <w:rPr>
            <w:webHidden/>
          </w:rPr>
          <w:fldChar w:fldCharType="end"/>
        </w:r>
      </w:hyperlink>
    </w:p>
    <w:p w14:paraId="5A260F4B"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8" w:history="1">
        <w:r w:rsidRPr="00817188">
          <w:rPr>
            <w:rStyle w:val="Hyperlink"/>
          </w:rPr>
          <w:t>F.2</w:t>
        </w:r>
        <w:r>
          <w:rPr>
            <w:rFonts w:asciiTheme="minorHAnsi" w:eastAsiaTheme="minorEastAsia" w:hAnsiTheme="minorHAnsi"/>
            <w:color w:val="auto"/>
            <w:position w:val="0"/>
            <w:lang w:eastAsia="en-AU"/>
          </w:rPr>
          <w:tab/>
        </w:r>
        <w:r w:rsidRPr="00817188">
          <w:rPr>
            <w:rStyle w:val="Hyperlink"/>
          </w:rPr>
          <w:t>Community sentiment</w:t>
        </w:r>
        <w:r>
          <w:rPr>
            <w:webHidden/>
          </w:rPr>
          <w:tab/>
        </w:r>
        <w:r>
          <w:rPr>
            <w:webHidden/>
          </w:rPr>
          <w:fldChar w:fldCharType="begin"/>
        </w:r>
        <w:r>
          <w:rPr>
            <w:webHidden/>
          </w:rPr>
          <w:instrText xml:space="preserve"> PAGEREF _Toc80712638 \h </w:instrText>
        </w:r>
        <w:r>
          <w:rPr>
            <w:webHidden/>
          </w:rPr>
        </w:r>
        <w:r>
          <w:rPr>
            <w:webHidden/>
          </w:rPr>
          <w:fldChar w:fldCharType="separate"/>
        </w:r>
        <w:r>
          <w:rPr>
            <w:webHidden/>
          </w:rPr>
          <w:t>F-2</w:t>
        </w:r>
        <w:r>
          <w:rPr>
            <w:webHidden/>
          </w:rPr>
          <w:fldChar w:fldCharType="end"/>
        </w:r>
      </w:hyperlink>
    </w:p>
    <w:p w14:paraId="01259C12"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39" w:history="1">
        <w:r w:rsidRPr="00817188">
          <w:rPr>
            <w:rStyle w:val="Hyperlink"/>
          </w:rPr>
          <w:t>F.3</w:t>
        </w:r>
        <w:r>
          <w:rPr>
            <w:rFonts w:asciiTheme="minorHAnsi" w:eastAsiaTheme="minorEastAsia" w:hAnsiTheme="minorHAnsi"/>
            <w:color w:val="auto"/>
            <w:position w:val="0"/>
            <w:lang w:eastAsia="en-AU"/>
          </w:rPr>
          <w:tab/>
        </w:r>
        <w:r w:rsidRPr="00817188">
          <w:rPr>
            <w:rStyle w:val="Hyperlink"/>
          </w:rPr>
          <w:t>Energy efficiency of rental properties in the ACT</w:t>
        </w:r>
        <w:r>
          <w:rPr>
            <w:webHidden/>
          </w:rPr>
          <w:tab/>
        </w:r>
        <w:r>
          <w:rPr>
            <w:webHidden/>
          </w:rPr>
          <w:fldChar w:fldCharType="begin"/>
        </w:r>
        <w:r>
          <w:rPr>
            <w:webHidden/>
          </w:rPr>
          <w:instrText xml:space="preserve"> PAGEREF _Toc80712639 \h </w:instrText>
        </w:r>
        <w:r>
          <w:rPr>
            <w:webHidden/>
          </w:rPr>
        </w:r>
        <w:r>
          <w:rPr>
            <w:webHidden/>
          </w:rPr>
          <w:fldChar w:fldCharType="separate"/>
        </w:r>
        <w:r>
          <w:rPr>
            <w:webHidden/>
          </w:rPr>
          <w:t>F-7</w:t>
        </w:r>
        <w:r>
          <w:rPr>
            <w:webHidden/>
          </w:rPr>
          <w:fldChar w:fldCharType="end"/>
        </w:r>
      </w:hyperlink>
    </w:p>
    <w:p w14:paraId="1AE120A1"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40" w:history="1">
        <w:r w:rsidRPr="00817188">
          <w:rPr>
            <w:rStyle w:val="Hyperlink"/>
          </w:rPr>
          <w:t>F.4</w:t>
        </w:r>
        <w:r>
          <w:rPr>
            <w:rFonts w:asciiTheme="minorHAnsi" w:eastAsiaTheme="minorEastAsia" w:hAnsiTheme="minorHAnsi"/>
            <w:color w:val="auto"/>
            <w:position w:val="0"/>
            <w:lang w:eastAsia="en-AU"/>
          </w:rPr>
          <w:tab/>
        </w:r>
        <w:r w:rsidRPr="00817188">
          <w:rPr>
            <w:rStyle w:val="Hyperlink"/>
          </w:rPr>
          <w:t>Rental provider investments in energy efficiency</w:t>
        </w:r>
        <w:r>
          <w:rPr>
            <w:webHidden/>
          </w:rPr>
          <w:tab/>
        </w:r>
        <w:r>
          <w:rPr>
            <w:webHidden/>
          </w:rPr>
          <w:fldChar w:fldCharType="begin"/>
        </w:r>
        <w:r>
          <w:rPr>
            <w:webHidden/>
          </w:rPr>
          <w:instrText xml:space="preserve"> PAGEREF _Toc80712640 \h </w:instrText>
        </w:r>
        <w:r>
          <w:rPr>
            <w:webHidden/>
          </w:rPr>
        </w:r>
        <w:r>
          <w:rPr>
            <w:webHidden/>
          </w:rPr>
          <w:fldChar w:fldCharType="separate"/>
        </w:r>
        <w:r>
          <w:rPr>
            <w:webHidden/>
          </w:rPr>
          <w:t>F-9</w:t>
        </w:r>
        <w:r>
          <w:rPr>
            <w:webHidden/>
          </w:rPr>
          <w:fldChar w:fldCharType="end"/>
        </w:r>
      </w:hyperlink>
    </w:p>
    <w:p w14:paraId="49AD7BE8"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41" w:history="1">
        <w:r w:rsidRPr="00817188">
          <w:rPr>
            <w:rStyle w:val="Hyperlink"/>
          </w:rPr>
          <w:t>F.5</w:t>
        </w:r>
        <w:r>
          <w:rPr>
            <w:rFonts w:asciiTheme="minorHAnsi" w:eastAsiaTheme="minorEastAsia" w:hAnsiTheme="minorHAnsi"/>
            <w:color w:val="auto"/>
            <w:position w:val="0"/>
            <w:lang w:eastAsia="en-AU"/>
          </w:rPr>
          <w:tab/>
        </w:r>
        <w:r w:rsidRPr="00817188">
          <w:rPr>
            <w:rStyle w:val="Hyperlink"/>
          </w:rPr>
          <w:t>Tenant requests for investments in energy efficiency</w:t>
        </w:r>
        <w:r>
          <w:rPr>
            <w:webHidden/>
          </w:rPr>
          <w:tab/>
        </w:r>
        <w:r>
          <w:rPr>
            <w:webHidden/>
          </w:rPr>
          <w:fldChar w:fldCharType="begin"/>
        </w:r>
        <w:r>
          <w:rPr>
            <w:webHidden/>
          </w:rPr>
          <w:instrText xml:space="preserve"> PAGEREF _Toc80712641 \h </w:instrText>
        </w:r>
        <w:r>
          <w:rPr>
            <w:webHidden/>
          </w:rPr>
        </w:r>
        <w:r>
          <w:rPr>
            <w:webHidden/>
          </w:rPr>
          <w:fldChar w:fldCharType="separate"/>
        </w:r>
        <w:r>
          <w:rPr>
            <w:webHidden/>
          </w:rPr>
          <w:t>F-10</w:t>
        </w:r>
        <w:r>
          <w:rPr>
            <w:webHidden/>
          </w:rPr>
          <w:fldChar w:fldCharType="end"/>
        </w:r>
      </w:hyperlink>
    </w:p>
    <w:p w14:paraId="1F775A33" w14:textId="77777777" w:rsidR="00676882" w:rsidRDefault="00676882" w:rsidP="00676882">
      <w:pPr>
        <w:pStyle w:val="TOC3"/>
        <w:tabs>
          <w:tab w:val="left" w:pos="1122"/>
        </w:tabs>
        <w:rPr>
          <w:rFonts w:asciiTheme="minorHAnsi" w:eastAsiaTheme="minorEastAsia" w:hAnsiTheme="minorHAnsi"/>
          <w:color w:val="auto"/>
          <w:position w:val="0"/>
          <w:lang w:eastAsia="en-AU"/>
        </w:rPr>
      </w:pPr>
      <w:hyperlink w:anchor="_Toc80712642" w:history="1">
        <w:r w:rsidRPr="00817188">
          <w:rPr>
            <w:rStyle w:val="Hyperlink"/>
          </w:rPr>
          <w:t>F.6</w:t>
        </w:r>
        <w:r>
          <w:rPr>
            <w:rFonts w:asciiTheme="minorHAnsi" w:eastAsiaTheme="minorEastAsia" w:hAnsiTheme="minorHAnsi"/>
            <w:color w:val="auto"/>
            <w:position w:val="0"/>
            <w:lang w:eastAsia="en-AU"/>
          </w:rPr>
          <w:tab/>
        </w:r>
        <w:r w:rsidRPr="00817188">
          <w:rPr>
            <w:rStyle w:val="Hyperlink"/>
          </w:rPr>
          <w:t>Responses to minimum standards</w:t>
        </w:r>
        <w:r>
          <w:rPr>
            <w:webHidden/>
          </w:rPr>
          <w:tab/>
        </w:r>
        <w:r>
          <w:rPr>
            <w:webHidden/>
          </w:rPr>
          <w:fldChar w:fldCharType="begin"/>
        </w:r>
        <w:r>
          <w:rPr>
            <w:webHidden/>
          </w:rPr>
          <w:instrText xml:space="preserve"> PAGEREF _Toc80712642 \h </w:instrText>
        </w:r>
        <w:r>
          <w:rPr>
            <w:webHidden/>
          </w:rPr>
        </w:r>
        <w:r>
          <w:rPr>
            <w:webHidden/>
          </w:rPr>
          <w:fldChar w:fldCharType="separate"/>
        </w:r>
        <w:r>
          <w:rPr>
            <w:webHidden/>
          </w:rPr>
          <w:t>F-11</w:t>
        </w:r>
        <w:r>
          <w:rPr>
            <w:webHidden/>
          </w:rPr>
          <w:fldChar w:fldCharType="end"/>
        </w:r>
      </w:hyperlink>
    </w:p>
    <w:p w14:paraId="40CC0954" w14:textId="77777777" w:rsidR="00676882" w:rsidRDefault="00676882" w:rsidP="00676882">
      <w:pPr>
        <w:pStyle w:val="BodyText"/>
        <w:rPr>
          <w:rFonts w:ascii="Yu Gothic Medium" w:eastAsia="Yu Gothic Medium" w:hAnsi="Yu Gothic Medium" w:cstheme="minorBidi"/>
          <w:b/>
          <w:noProof/>
          <w:color w:val="000100"/>
          <w:sz w:val="24"/>
        </w:rPr>
      </w:pPr>
      <w:r>
        <w:rPr>
          <w:rFonts w:ascii="Yu Gothic Medium" w:eastAsia="Yu Gothic Medium" w:hAnsi="Yu Gothic Medium" w:cstheme="minorBidi"/>
          <w:b/>
          <w:noProof/>
          <w:color w:val="000100"/>
          <w:sz w:val="24"/>
        </w:rPr>
        <w:fldChar w:fldCharType="end"/>
      </w:r>
    </w:p>
    <w:p w14:paraId="6E8EBB32" w14:textId="77777777" w:rsidR="00676882" w:rsidRDefault="00676882" w:rsidP="00676882">
      <w:pPr>
        <w:pStyle w:val="TOCTOFSubHeading"/>
      </w:pPr>
      <w:r>
        <w:t>Figures</w:t>
      </w:r>
    </w:p>
    <w:p w14:paraId="74B06BA4" w14:textId="77777777" w:rsidR="00676882" w:rsidRDefault="00676882" w:rsidP="00676882">
      <w:pPr>
        <w:pStyle w:val="TableofFigures"/>
        <w:rPr>
          <w:rFonts w:asciiTheme="minorHAnsi" w:eastAsiaTheme="minorEastAsia" w:hAnsiTheme="minorHAnsi" w:cstheme="minorBidi"/>
          <w:noProof/>
          <w:lang w:eastAsia="zh-CN"/>
        </w:rPr>
      </w:pPr>
      <w:r>
        <w:rPr>
          <w:vanish/>
        </w:rPr>
        <w:fldChar w:fldCharType="begin"/>
      </w:r>
      <w:r>
        <w:rPr>
          <w:vanish/>
        </w:rPr>
        <w:instrText xml:space="preserve"> TOC \h \c "Figure ES" \* MERGEFORMAT </w:instrText>
      </w:r>
      <w:r>
        <w:rPr>
          <w:vanish/>
        </w:rPr>
        <w:fldChar w:fldCharType="separate"/>
      </w:r>
      <w:hyperlink w:anchor="_Toc80719248" w:history="1">
        <w:r w:rsidRPr="001A124A">
          <w:rPr>
            <w:rStyle w:val="Hyperlink"/>
            <w:b/>
            <w:noProof/>
          </w:rPr>
          <w:t>Figure ES 1</w:t>
        </w:r>
        <w:r>
          <w:rPr>
            <w:rFonts w:asciiTheme="minorHAnsi" w:eastAsiaTheme="minorEastAsia" w:hAnsiTheme="minorHAnsi" w:cstheme="minorBidi"/>
            <w:noProof/>
            <w:lang w:eastAsia="zh-CN"/>
          </w:rPr>
          <w:tab/>
        </w:r>
        <w:r w:rsidRPr="001A124A">
          <w:rPr>
            <w:rStyle w:val="Hyperlink"/>
            <w:noProof/>
          </w:rPr>
          <w:t>A summary of the preferred option – R5 roof insulation for rental properties</w:t>
        </w:r>
        <w:r>
          <w:rPr>
            <w:noProof/>
          </w:rPr>
          <w:tab/>
        </w:r>
        <w:r>
          <w:rPr>
            <w:noProof/>
          </w:rPr>
          <w:fldChar w:fldCharType="begin"/>
        </w:r>
        <w:r>
          <w:rPr>
            <w:noProof/>
          </w:rPr>
          <w:instrText xml:space="preserve"> PAGEREF _Toc80719248 \h </w:instrText>
        </w:r>
        <w:r>
          <w:rPr>
            <w:noProof/>
          </w:rPr>
        </w:r>
        <w:r>
          <w:rPr>
            <w:noProof/>
          </w:rPr>
          <w:fldChar w:fldCharType="separate"/>
        </w:r>
        <w:r>
          <w:rPr>
            <w:noProof/>
          </w:rPr>
          <w:t>4</w:t>
        </w:r>
        <w:r>
          <w:rPr>
            <w:noProof/>
          </w:rPr>
          <w:fldChar w:fldCharType="end"/>
        </w:r>
      </w:hyperlink>
    </w:p>
    <w:p w14:paraId="2F1E63CC" w14:textId="77777777" w:rsidR="00676882" w:rsidRDefault="00676882" w:rsidP="00676882">
      <w:pPr>
        <w:pStyle w:val="TableofFigures"/>
        <w:rPr>
          <w:noProof/>
        </w:rPr>
      </w:pPr>
      <w:r>
        <w:rPr>
          <w:b/>
          <w:bCs/>
          <w:noProof/>
          <w:lang w:val="en-US"/>
        </w:rPr>
        <w:fldChar w:fldCharType="end"/>
      </w:r>
      <w:r>
        <w:fldChar w:fldCharType="begin"/>
      </w:r>
      <w:r>
        <w:instrText xml:space="preserve"> TOC \h \c "Figure" \* MERGEFORMAT </w:instrText>
      </w:r>
      <w:r>
        <w:fldChar w:fldCharType="separate"/>
      </w:r>
    </w:p>
    <w:p w14:paraId="3BE74E45" w14:textId="77777777" w:rsidR="00676882" w:rsidRDefault="00676882" w:rsidP="00676882">
      <w:pPr>
        <w:pStyle w:val="TableofFigures"/>
        <w:rPr>
          <w:rFonts w:asciiTheme="minorHAnsi" w:eastAsiaTheme="minorEastAsia" w:hAnsiTheme="minorHAnsi" w:cstheme="minorBidi"/>
          <w:noProof/>
          <w:lang w:eastAsia="zh-CN"/>
        </w:rPr>
      </w:pPr>
      <w:hyperlink w:anchor="_Toc80719249" w:history="1">
        <w:r w:rsidRPr="00480F9E">
          <w:rPr>
            <w:rStyle w:val="Hyperlink"/>
            <w:b/>
            <w:noProof/>
          </w:rPr>
          <w:t>Figure 2.1</w:t>
        </w:r>
        <w:r>
          <w:rPr>
            <w:rFonts w:asciiTheme="minorHAnsi" w:eastAsiaTheme="minorEastAsia" w:hAnsiTheme="minorHAnsi" w:cstheme="minorBidi"/>
            <w:noProof/>
            <w:lang w:eastAsia="zh-CN"/>
          </w:rPr>
          <w:tab/>
        </w:r>
        <w:r w:rsidRPr="00480F9E">
          <w:rPr>
            <w:rStyle w:val="Hyperlink"/>
            <w:noProof/>
          </w:rPr>
          <w:t>Breakdown of tenure and residential rental provider type, Canberra, 1994-95 to  2017-18</w:t>
        </w:r>
        <w:r>
          <w:rPr>
            <w:noProof/>
          </w:rPr>
          <w:tab/>
        </w:r>
        <w:r>
          <w:rPr>
            <w:noProof/>
          </w:rPr>
          <w:fldChar w:fldCharType="begin"/>
        </w:r>
        <w:r>
          <w:rPr>
            <w:noProof/>
          </w:rPr>
          <w:instrText xml:space="preserve"> PAGEREF _Toc80719249 \h </w:instrText>
        </w:r>
        <w:r>
          <w:rPr>
            <w:noProof/>
          </w:rPr>
        </w:r>
        <w:r>
          <w:rPr>
            <w:noProof/>
          </w:rPr>
          <w:fldChar w:fldCharType="separate"/>
        </w:r>
        <w:r>
          <w:rPr>
            <w:noProof/>
          </w:rPr>
          <w:t>7</w:t>
        </w:r>
        <w:r>
          <w:rPr>
            <w:noProof/>
          </w:rPr>
          <w:fldChar w:fldCharType="end"/>
        </w:r>
      </w:hyperlink>
    </w:p>
    <w:p w14:paraId="33B279A5" w14:textId="77777777" w:rsidR="00676882" w:rsidRDefault="00676882" w:rsidP="00676882">
      <w:pPr>
        <w:pStyle w:val="TableofFigures"/>
        <w:rPr>
          <w:rFonts w:asciiTheme="minorHAnsi" w:eastAsiaTheme="minorEastAsia" w:hAnsiTheme="minorHAnsi" w:cstheme="minorBidi"/>
          <w:noProof/>
          <w:lang w:eastAsia="zh-CN"/>
        </w:rPr>
      </w:pPr>
      <w:hyperlink w:anchor="_Toc80719250" w:history="1">
        <w:r w:rsidRPr="00480F9E">
          <w:rPr>
            <w:rStyle w:val="Hyperlink"/>
            <w:b/>
            <w:noProof/>
          </w:rPr>
          <w:t>Figure 2.2</w:t>
        </w:r>
        <w:r>
          <w:rPr>
            <w:rFonts w:asciiTheme="minorHAnsi" w:eastAsiaTheme="minorEastAsia" w:hAnsiTheme="minorHAnsi" w:cstheme="minorBidi"/>
            <w:noProof/>
            <w:lang w:eastAsia="zh-CN"/>
          </w:rPr>
          <w:tab/>
        </w:r>
        <w:r w:rsidRPr="00480F9E">
          <w:rPr>
            <w:rStyle w:val="Hyperlink"/>
            <w:noProof/>
          </w:rPr>
          <w:t>Energy efficient features and appliances in rental properties</w:t>
        </w:r>
        <w:r>
          <w:rPr>
            <w:noProof/>
          </w:rPr>
          <w:tab/>
        </w:r>
        <w:r>
          <w:rPr>
            <w:noProof/>
          </w:rPr>
          <w:fldChar w:fldCharType="begin"/>
        </w:r>
        <w:r>
          <w:rPr>
            <w:noProof/>
          </w:rPr>
          <w:instrText xml:space="preserve"> PAGEREF _Toc80719250 \h </w:instrText>
        </w:r>
        <w:r>
          <w:rPr>
            <w:noProof/>
          </w:rPr>
        </w:r>
        <w:r>
          <w:rPr>
            <w:noProof/>
          </w:rPr>
          <w:fldChar w:fldCharType="separate"/>
        </w:r>
        <w:r>
          <w:rPr>
            <w:noProof/>
          </w:rPr>
          <w:t>8</w:t>
        </w:r>
        <w:r>
          <w:rPr>
            <w:noProof/>
          </w:rPr>
          <w:fldChar w:fldCharType="end"/>
        </w:r>
      </w:hyperlink>
    </w:p>
    <w:p w14:paraId="60F17AD8" w14:textId="77777777" w:rsidR="00676882" w:rsidRDefault="00676882" w:rsidP="00676882">
      <w:pPr>
        <w:pStyle w:val="TableofFigures"/>
        <w:rPr>
          <w:rFonts w:asciiTheme="minorHAnsi" w:eastAsiaTheme="minorEastAsia" w:hAnsiTheme="minorHAnsi" w:cstheme="minorBidi"/>
          <w:noProof/>
          <w:lang w:eastAsia="zh-CN"/>
        </w:rPr>
      </w:pPr>
      <w:hyperlink w:anchor="_Toc80719251" w:history="1">
        <w:r w:rsidRPr="00480F9E">
          <w:rPr>
            <w:rStyle w:val="Hyperlink"/>
            <w:b/>
            <w:noProof/>
          </w:rPr>
          <w:t>Figure 2.3</w:t>
        </w:r>
        <w:r>
          <w:rPr>
            <w:rFonts w:asciiTheme="minorHAnsi" w:eastAsiaTheme="minorEastAsia" w:hAnsiTheme="minorHAnsi" w:cstheme="minorBidi"/>
            <w:noProof/>
            <w:lang w:eastAsia="zh-CN"/>
          </w:rPr>
          <w:tab/>
        </w:r>
        <w:r w:rsidRPr="00480F9E">
          <w:rPr>
            <w:rStyle w:val="Hyperlink"/>
            <w:noProof/>
          </w:rPr>
          <w:t>Method for heating rental properties</w:t>
        </w:r>
        <w:r>
          <w:rPr>
            <w:noProof/>
          </w:rPr>
          <w:tab/>
        </w:r>
        <w:r>
          <w:rPr>
            <w:noProof/>
          </w:rPr>
          <w:fldChar w:fldCharType="begin"/>
        </w:r>
        <w:r>
          <w:rPr>
            <w:noProof/>
          </w:rPr>
          <w:instrText xml:space="preserve"> PAGEREF _Toc80719251 \h </w:instrText>
        </w:r>
        <w:r>
          <w:rPr>
            <w:noProof/>
          </w:rPr>
        </w:r>
        <w:r>
          <w:rPr>
            <w:noProof/>
          </w:rPr>
          <w:fldChar w:fldCharType="separate"/>
        </w:r>
        <w:r>
          <w:rPr>
            <w:noProof/>
          </w:rPr>
          <w:t>9</w:t>
        </w:r>
        <w:r>
          <w:rPr>
            <w:noProof/>
          </w:rPr>
          <w:fldChar w:fldCharType="end"/>
        </w:r>
      </w:hyperlink>
    </w:p>
    <w:p w14:paraId="2B028A62" w14:textId="77777777" w:rsidR="00676882" w:rsidRDefault="00676882" w:rsidP="00676882">
      <w:pPr>
        <w:pStyle w:val="TableofFigures"/>
        <w:rPr>
          <w:rFonts w:asciiTheme="minorHAnsi" w:eastAsiaTheme="minorEastAsia" w:hAnsiTheme="minorHAnsi" w:cstheme="minorBidi"/>
          <w:noProof/>
          <w:lang w:eastAsia="zh-CN"/>
        </w:rPr>
      </w:pPr>
      <w:hyperlink w:anchor="_Toc80719252" w:history="1">
        <w:r w:rsidRPr="00480F9E">
          <w:rPr>
            <w:rStyle w:val="Hyperlink"/>
            <w:b/>
            <w:noProof/>
          </w:rPr>
          <w:t>Figure 2.4</w:t>
        </w:r>
        <w:r>
          <w:rPr>
            <w:rFonts w:asciiTheme="minorHAnsi" w:eastAsiaTheme="minorEastAsia" w:hAnsiTheme="minorHAnsi" w:cstheme="minorBidi"/>
            <w:noProof/>
            <w:lang w:eastAsia="zh-CN"/>
          </w:rPr>
          <w:tab/>
        </w:r>
        <w:r w:rsidRPr="00480F9E">
          <w:rPr>
            <w:rStyle w:val="Hyperlink"/>
            <w:noProof/>
          </w:rPr>
          <w:t>Distribution of rent-to-income ratios, 2017-18</w:t>
        </w:r>
        <w:r>
          <w:rPr>
            <w:noProof/>
          </w:rPr>
          <w:tab/>
        </w:r>
        <w:r>
          <w:rPr>
            <w:noProof/>
          </w:rPr>
          <w:fldChar w:fldCharType="begin"/>
        </w:r>
        <w:r>
          <w:rPr>
            <w:noProof/>
          </w:rPr>
          <w:instrText xml:space="preserve"> PAGEREF _Toc80719252 \h </w:instrText>
        </w:r>
        <w:r>
          <w:rPr>
            <w:noProof/>
          </w:rPr>
        </w:r>
        <w:r>
          <w:rPr>
            <w:noProof/>
          </w:rPr>
          <w:fldChar w:fldCharType="separate"/>
        </w:r>
        <w:r>
          <w:rPr>
            <w:noProof/>
          </w:rPr>
          <w:t>10</w:t>
        </w:r>
        <w:r>
          <w:rPr>
            <w:noProof/>
          </w:rPr>
          <w:fldChar w:fldCharType="end"/>
        </w:r>
      </w:hyperlink>
    </w:p>
    <w:p w14:paraId="1B83AA3F" w14:textId="77777777" w:rsidR="00676882" w:rsidRDefault="00676882" w:rsidP="00676882">
      <w:pPr>
        <w:pStyle w:val="TableofFigures"/>
        <w:rPr>
          <w:rFonts w:asciiTheme="minorHAnsi" w:eastAsiaTheme="minorEastAsia" w:hAnsiTheme="minorHAnsi" w:cstheme="minorBidi"/>
          <w:noProof/>
          <w:lang w:eastAsia="zh-CN"/>
        </w:rPr>
      </w:pPr>
      <w:hyperlink w:anchor="_Toc80719253" w:history="1">
        <w:r w:rsidRPr="00480F9E">
          <w:rPr>
            <w:rStyle w:val="Hyperlink"/>
            <w:b/>
            <w:noProof/>
          </w:rPr>
          <w:t>Figure 2.5</w:t>
        </w:r>
        <w:r>
          <w:rPr>
            <w:rFonts w:asciiTheme="minorHAnsi" w:eastAsiaTheme="minorEastAsia" w:hAnsiTheme="minorHAnsi" w:cstheme="minorBidi"/>
            <w:noProof/>
            <w:lang w:eastAsia="zh-CN"/>
          </w:rPr>
          <w:tab/>
        </w:r>
        <w:r w:rsidRPr="00480F9E">
          <w:rPr>
            <w:rStyle w:val="Hyperlink"/>
            <w:noProof/>
          </w:rPr>
          <w:t>Percentile distribution for electricity and gas expenditure as a percentage of income by disposable income quintiles</w:t>
        </w:r>
        <w:r>
          <w:rPr>
            <w:noProof/>
          </w:rPr>
          <w:tab/>
        </w:r>
        <w:r>
          <w:rPr>
            <w:noProof/>
          </w:rPr>
          <w:fldChar w:fldCharType="begin"/>
        </w:r>
        <w:r>
          <w:rPr>
            <w:noProof/>
          </w:rPr>
          <w:instrText xml:space="preserve"> PAGEREF _Toc80719253 \h </w:instrText>
        </w:r>
        <w:r>
          <w:rPr>
            <w:noProof/>
          </w:rPr>
        </w:r>
        <w:r>
          <w:rPr>
            <w:noProof/>
          </w:rPr>
          <w:fldChar w:fldCharType="separate"/>
        </w:r>
        <w:r>
          <w:rPr>
            <w:noProof/>
          </w:rPr>
          <w:t>11</w:t>
        </w:r>
        <w:r>
          <w:rPr>
            <w:noProof/>
          </w:rPr>
          <w:fldChar w:fldCharType="end"/>
        </w:r>
      </w:hyperlink>
    </w:p>
    <w:p w14:paraId="2526E1CB" w14:textId="77777777" w:rsidR="00676882" w:rsidRDefault="00676882" w:rsidP="00676882">
      <w:pPr>
        <w:pStyle w:val="TableofFigures"/>
        <w:rPr>
          <w:rFonts w:asciiTheme="minorHAnsi" w:eastAsiaTheme="minorEastAsia" w:hAnsiTheme="minorHAnsi" w:cstheme="minorBidi"/>
          <w:noProof/>
          <w:lang w:eastAsia="zh-CN"/>
        </w:rPr>
      </w:pPr>
      <w:hyperlink w:anchor="_Toc80719254" w:history="1">
        <w:r w:rsidRPr="00480F9E">
          <w:rPr>
            <w:rStyle w:val="Hyperlink"/>
            <w:b/>
            <w:noProof/>
          </w:rPr>
          <w:t>Figure 2.6</w:t>
        </w:r>
        <w:r>
          <w:rPr>
            <w:rFonts w:asciiTheme="minorHAnsi" w:eastAsiaTheme="minorEastAsia" w:hAnsiTheme="minorHAnsi" w:cstheme="minorBidi"/>
            <w:noProof/>
            <w:lang w:eastAsia="zh-CN"/>
          </w:rPr>
          <w:tab/>
        </w:r>
        <w:r w:rsidRPr="00480F9E">
          <w:rPr>
            <w:rStyle w:val="Hyperlink"/>
            <w:noProof/>
          </w:rPr>
          <w:t>New South Wales and Australian Capital Territory energy use, by sector, 1973-74 to 2018-19</w:t>
        </w:r>
        <w:r>
          <w:rPr>
            <w:noProof/>
          </w:rPr>
          <w:tab/>
        </w:r>
        <w:r>
          <w:rPr>
            <w:noProof/>
          </w:rPr>
          <w:fldChar w:fldCharType="begin"/>
        </w:r>
        <w:r>
          <w:rPr>
            <w:noProof/>
          </w:rPr>
          <w:instrText xml:space="preserve"> PAGEREF _Toc80719254 \h </w:instrText>
        </w:r>
        <w:r>
          <w:rPr>
            <w:noProof/>
          </w:rPr>
        </w:r>
        <w:r>
          <w:rPr>
            <w:noProof/>
          </w:rPr>
          <w:fldChar w:fldCharType="separate"/>
        </w:r>
        <w:r>
          <w:rPr>
            <w:noProof/>
          </w:rPr>
          <w:t>15</w:t>
        </w:r>
        <w:r>
          <w:rPr>
            <w:noProof/>
          </w:rPr>
          <w:fldChar w:fldCharType="end"/>
        </w:r>
      </w:hyperlink>
    </w:p>
    <w:p w14:paraId="5FB0F758" w14:textId="77777777" w:rsidR="00676882" w:rsidRDefault="00676882" w:rsidP="00676882">
      <w:pPr>
        <w:pStyle w:val="TableofFigures"/>
        <w:rPr>
          <w:rFonts w:asciiTheme="minorHAnsi" w:eastAsiaTheme="minorEastAsia" w:hAnsiTheme="minorHAnsi" w:cstheme="minorBidi"/>
          <w:noProof/>
          <w:lang w:eastAsia="zh-CN"/>
        </w:rPr>
      </w:pPr>
      <w:hyperlink w:anchor="_Toc80719255" w:history="1">
        <w:r w:rsidRPr="00480F9E">
          <w:rPr>
            <w:rStyle w:val="Hyperlink"/>
            <w:b/>
            <w:noProof/>
          </w:rPr>
          <w:t>Figure 2.7</w:t>
        </w:r>
        <w:r>
          <w:rPr>
            <w:rFonts w:asciiTheme="minorHAnsi" w:eastAsiaTheme="minorEastAsia" w:hAnsiTheme="minorHAnsi" w:cstheme="minorBidi"/>
            <w:noProof/>
            <w:lang w:eastAsia="zh-CN"/>
          </w:rPr>
          <w:tab/>
        </w:r>
        <w:r w:rsidRPr="00480F9E">
          <w:rPr>
            <w:rStyle w:val="Hyperlink"/>
            <w:noProof/>
          </w:rPr>
          <w:t>New South Wales and Australian Capital Territory residential energy use, by fuel type, 1973-74 to 2018-19</w:t>
        </w:r>
        <w:r>
          <w:rPr>
            <w:noProof/>
          </w:rPr>
          <w:tab/>
        </w:r>
        <w:r>
          <w:rPr>
            <w:noProof/>
          </w:rPr>
          <w:fldChar w:fldCharType="begin"/>
        </w:r>
        <w:r>
          <w:rPr>
            <w:noProof/>
          </w:rPr>
          <w:instrText xml:space="preserve"> PAGEREF _Toc80719255 \h </w:instrText>
        </w:r>
        <w:r>
          <w:rPr>
            <w:noProof/>
          </w:rPr>
        </w:r>
        <w:r>
          <w:rPr>
            <w:noProof/>
          </w:rPr>
          <w:fldChar w:fldCharType="separate"/>
        </w:r>
        <w:r>
          <w:rPr>
            <w:noProof/>
          </w:rPr>
          <w:t>16</w:t>
        </w:r>
        <w:r>
          <w:rPr>
            <w:noProof/>
          </w:rPr>
          <w:fldChar w:fldCharType="end"/>
        </w:r>
      </w:hyperlink>
    </w:p>
    <w:p w14:paraId="230DD991" w14:textId="77777777" w:rsidR="00676882" w:rsidRDefault="00676882" w:rsidP="00676882">
      <w:pPr>
        <w:pStyle w:val="TableofFigures"/>
        <w:rPr>
          <w:rFonts w:asciiTheme="minorHAnsi" w:eastAsiaTheme="minorEastAsia" w:hAnsiTheme="minorHAnsi" w:cstheme="minorBidi"/>
          <w:noProof/>
          <w:lang w:eastAsia="zh-CN"/>
        </w:rPr>
      </w:pPr>
      <w:hyperlink w:anchor="_Toc80719256" w:history="1">
        <w:r w:rsidRPr="00480F9E">
          <w:rPr>
            <w:rStyle w:val="Hyperlink"/>
            <w:b/>
            <w:noProof/>
          </w:rPr>
          <w:t>Figure 4.1</w:t>
        </w:r>
        <w:r>
          <w:rPr>
            <w:rFonts w:asciiTheme="minorHAnsi" w:eastAsiaTheme="minorEastAsia" w:hAnsiTheme="minorHAnsi" w:cstheme="minorBidi"/>
            <w:noProof/>
            <w:lang w:eastAsia="zh-CN"/>
          </w:rPr>
          <w:tab/>
        </w:r>
        <w:r w:rsidRPr="00480F9E">
          <w:rPr>
            <w:rStyle w:val="Hyperlink"/>
            <w:noProof/>
          </w:rPr>
          <w:t>Spectrum of potential government action</w:t>
        </w:r>
        <w:r>
          <w:rPr>
            <w:noProof/>
          </w:rPr>
          <w:tab/>
        </w:r>
        <w:r>
          <w:rPr>
            <w:noProof/>
          </w:rPr>
          <w:fldChar w:fldCharType="begin"/>
        </w:r>
        <w:r>
          <w:rPr>
            <w:noProof/>
          </w:rPr>
          <w:instrText xml:space="preserve"> PAGEREF _Toc80719256 \h </w:instrText>
        </w:r>
        <w:r>
          <w:rPr>
            <w:noProof/>
          </w:rPr>
        </w:r>
        <w:r>
          <w:rPr>
            <w:noProof/>
          </w:rPr>
          <w:fldChar w:fldCharType="separate"/>
        </w:r>
        <w:r>
          <w:rPr>
            <w:noProof/>
          </w:rPr>
          <w:t>25</w:t>
        </w:r>
        <w:r>
          <w:rPr>
            <w:noProof/>
          </w:rPr>
          <w:fldChar w:fldCharType="end"/>
        </w:r>
      </w:hyperlink>
    </w:p>
    <w:p w14:paraId="6560470C" w14:textId="77777777" w:rsidR="00676882" w:rsidRDefault="00676882" w:rsidP="00676882">
      <w:pPr>
        <w:pStyle w:val="TableofFigures"/>
        <w:rPr>
          <w:rFonts w:asciiTheme="minorHAnsi" w:eastAsiaTheme="minorEastAsia" w:hAnsiTheme="minorHAnsi" w:cstheme="minorBidi"/>
          <w:noProof/>
          <w:lang w:eastAsia="zh-CN"/>
        </w:rPr>
      </w:pPr>
      <w:hyperlink w:anchor="_Toc80719257" w:history="1">
        <w:r w:rsidRPr="00480F9E">
          <w:rPr>
            <w:rStyle w:val="Hyperlink"/>
            <w:b/>
            <w:noProof/>
          </w:rPr>
          <w:t>Figure 4.2</w:t>
        </w:r>
        <w:r>
          <w:rPr>
            <w:rFonts w:asciiTheme="minorHAnsi" w:eastAsiaTheme="minorEastAsia" w:hAnsiTheme="minorHAnsi" w:cstheme="minorBidi"/>
            <w:noProof/>
            <w:lang w:eastAsia="zh-CN"/>
          </w:rPr>
          <w:tab/>
        </w:r>
        <w:r w:rsidRPr="00480F9E">
          <w:rPr>
            <w:rStyle w:val="Hyperlink"/>
            <w:noProof/>
          </w:rPr>
          <w:t>Elements of the strategic framework to support households to improve thermal control and manage energy use</w:t>
        </w:r>
        <w:r>
          <w:rPr>
            <w:noProof/>
          </w:rPr>
          <w:tab/>
        </w:r>
        <w:r>
          <w:rPr>
            <w:noProof/>
          </w:rPr>
          <w:fldChar w:fldCharType="begin"/>
        </w:r>
        <w:r>
          <w:rPr>
            <w:noProof/>
          </w:rPr>
          <w:instrText xml:space="preserve"> PAGEREF _Toc80719257 \h </w:instrText>
        </w:r>
        <w:r>
          <w:rPr>
            <w:noProof/>
          </w:rPr>
        </w:r>
        <w:r>
          <w:rPr>
            <w:noProof/>
          </w:rPr>
          <w:fldChar w:fldCharType="separate"/>
        </w:r>
        <w:r>
          <w:rPr>
            <w:noProof/>
          </w:rPr>
          <w:t>27</w:t>
        </w:r>
        <w:r>
          <w:rPr>
            <w:noProof/>
          </w:rPr>
          <w:fldChar w:fldCharType="end"/>
        </w:r>
      </w:hyperlink>
    </w:p>
    <w:p w14:paraId="39927A1E" w14:textId="77777777" w:rsidR="00676882" w:rsidRDefault="00676882" w:rsidP="00676882">
      <w:pPr>
        <w:pStyle w:val="TableofFigures"/>
        <w:rPr>
          <w:rFonts w:asciiTheme="minorHAnsi" w:eastAsiaTheme="minorEastAsia" w:hAnsiTheme="minorHAnsi" w:cstheme="minorBidi"/>
          <w:noProof/>
          <w:lang w:eastAsia="zh-CN"/>
        </w:rPr>
      </w:pPr>
      <w:hyperlink w:anchor="_Toc80719258" w:history="1">
        <w:r w:rsidRPr="00480F9E">
          <w:rPr>
            <w:rStyle w:val="Hyperlink"/>
            <w:b/>
            <w:noProof/>
          </w:rPr>
          <w:t>Figure 4.3</w:t>
        </w:r>
        <w:r>
          <w:rPr>
            <w:rFonts w:asciiTheme="minorHAnsi" w:eastAsiaTheme="minorEastAsia" w:hAnsiTheme="minorHAnsi" w:cstheme="minorBidi"/>
            <w:noProof/>
            <w:lang w:eastAsia="zh-CN"/>
          </w:rPr>
          <w:tab/>
        </w:r>
        <w:r w:rsidRPr="00480F9E">
          <w:rPr>
            <w:rStyle w:val="Hyperlink"/>
            <w:noProof/>
          </w:rPr>
          <w:t>Different types of Australian households</w:t>
        </w:r>
        <w:r>
          <w:rPr>
            <w:noProof/>
          </w:rPr>
          <w:tab/>
        </w:r>
        <w:r>
          <w:rPr>
            <w:noProof/>
          </w:rPr>
          <w:fldChar w:fldCharType="begin"/>
        </w:r>
        <w:r>
          <w:rPr>
            <w:noProof/>
          </w:rPr>
          <w:instrText xml:space="preserve"> PAGEREF _Toc80719258 \h </w:instrText>
        </w:r>
        <w:r>
          <w:rPr>
            <w:noProof/>
          </w:rPr>
        </w:r>
        <w:r>
          <w:rPr>
            <w:noProof/>
          </w:rPr>
          <w:fldChar w:fldCharType="separate"/>
        </w:r>
        <w:r>
          <w:rPr>
            <w:noProof/>
          </w:rPr>
          <w:t>27</w:t>
        </w:r>
        <w:r>
          <w:rPr>
            <w:noProof/>
          </w:rPr>
          <w:fldChar w:fldCharType="end"/>
        </w:r>
      </w:hyperlink>
    </w:p>
    <w:p w14:paraId="436393CF" w14:textId="77777777" w:rsidR="00676882" w:rsidRDefault="00676882" w:rsidP="00676882">
      <w:pPr>
        <w:pStyle w:val="TableofFigures"/>
        <w:rPr>
          <w:rFonts w:asciiTheme="minorHAnsi" w:eastAsiaTheme="minorEastAsia" w:hAnsiTheme="minorHAnsi" w:cstheme="minorBidi"/>
          <w:noProof/>
          <w:lang w:eastAsia="zh-CN"/>
        </w:rPr>
      </w:pPr>
      <w:hyperlink w:anchor="_Toc80719259" w:history="1">
        <w:r w:rsidRPr="00480F9E">
          <w:rPr>
            <w:rStyle w:val="Hyperlink"/>
            <w:b/>
            <w:noProof/>
          </w:rPr>
          <w:t>Figure 4.4</w:t>
        </w:r>
        <w:r>
          <w:rPr>
            <w:rFonts w:asciiTheme="minorHAnsi" w:eastAsiaTheme="minorEastAsia" w:hAnsiTheme="minorHAnsi" w:cstheme="minorBidi"/>
            <w:noProof/>
            <w:lang w:eastAsia="zh-CN"/>
          </w:rPr>
          <w:tab/>
        </w:r>
        <w:r w:rsidRPr="00480F9E">
          <w:rPr>
            <w:rStyle w:val="Hyperlink"/>
            <w:noProof/>
          </w:rPr>
          <w:t>Tools and services to help households improve thermal control and manage energy bills</w:t>
        </w:r>
        <w:r>
          <w:rPr>
            <w:noProof/>
          </w:rPr>
          <w:tab/>
        </w:r>
        <w:r>
          <w:rPr>
            <w:noProof/>
          </w:rPr>
          <w:fldChar w:fldCharType="begin"/>
        </w:r>
        <w:r>
          <w:rPr>
            <w:noProof/>
          </w:rPr>
          <w:instrText xml:space="preserve"> PAGEREF _Toc80719259 \h </w:instrText>
        </w:r>
        <w:r>
          <w:rPr>
            <w:noProof/>
          </w:rPr>
        </w:r>
        <w:r>
          <w:rPr>
            <w:noProof/>
          </w:rPr>
          <w:fldChar w:fldCharType="separate"/>
        </w:r>
        <w:r>
          <w:rPr>
            <w:noProof/>
          </w:rPr>
          <w:t>29</w:t>
        </w:r>
        <w:r>
          <w:rPr>
            <w:noProof/>
          </w:rPr>
          <w:fldChar w:fldCharType="end"/>
        </w:r>
      </w:hyperlink>
    </w:p>
    <w:p w14:paraId="5E2A4DE7" w14:textId="77777777" w:rsidR="00676882" w:rsidRDefault="00676882" w:rsidP="00676882">
      <w:pPr>
        <w:pStyle w:val="TableofFigures"/>
        <w:rPr>
          <w:rFonts w:asciiTheme="minorHAnsi" w:eastAsiaTheme="minorEastAsia" w:hAnsiTheme="minorHAnsi" w:cstheme="minorBidi"/>
          <w:noProof/>
          <w:lang w:eastAsia="zh-CN"/>
        </w:rPr>
      </w:pPr>
      <w:hyperlink w:anchor="_Toc80719260" w:history="1">
        <w:r w:rsidRPr="00480F9E">
          <w:rPr>
            <w:rStyle w:val="Hyperlink"/>
            <w:b/>
            <w:noProof/>
          </w:rPr>
          <w:t>Figure 4.5</w:t>
        </w:r>
        <w:r>
          <w:rPr>
            <w:rFonts w:asciiTheme="minorHAnsi" w:eastAsiaTheme="minorEastAsia" w:hAnsiTheme="minorHAnsi" w:cstheme="minorBidi"/>
            <w:noProof/>
            <w:lang w:eastAsia="zh-CN"/>
          </w:rPr>
          <w:tab/>
        </w:r>
        <w:r w:rsidRPr="00480F9E">
          <w:rPr>
            <w:rStyle w:val="Hyperlink"/>
            <w:noProof/>
          </w:rPr>
          <w:t>Modelled options</w:t>
        </w:r>
        <w:r>
          <w:rPr>
            <w:noProof/>
          </w:rPr>
          <w:tab/>
        </w:r>
        <w:r>
          <w:rPr>
            <w:noProof/>
          </w:rPr>
          <w:fldChar w:fldCharType="begin"/>
        </w:r>
        <w:r>
          <w:rPr>
            <w:noProof/>
          </w:rPr>
          <w:instrText xml:space="preserve"> PAGEREF _Toc80719260 \h </w:instrText>
        </w:r>
        <w:r>
          <w:rPr>
            <w:noProof/>
          </w:rPr>
        </w:r>
        <w:r>
          <w:rPr>
            <w:noProof/>
          </w:rPr>
          <w:fldChar w:fldCharType="separate"/>
        </w:r>
        <w:r>
          <w:rPr>
            <w:noProof/>
          </w:rPr>
          <w:t>32</w:t>
        </w:r>
        <w:r>
          <w:rPr>
            <w:noProof/>
          </w:rPr>
          <w:fldChar w:fldCharType="end"/>
        </w:r>
      </w:hyperlink>
    </w:p>
    <w:p w14:paraId="17FB91BA" w14:textId="77777777" w:rsidR="00676882" w:rsidRDefault="00676882" w:rsidP="00676882">
      <w:pPr>
        <w:pStyle w:val="TableofFigures"/>
        <w:rPr>
          <w:rFonts w:asciiTheme="minorHAnsi" w:eastAsiaTheme="minorEastAsia" w:hAnsiTheme="minorHAnsi" w:cstheme="minorBidi"/>
          <w:noProof/>
          <w:lang w:eastAsia="zh-CN"/>
        </w:rPr>
      </w:pPr>
      <w:hyperlink w:anchor="_Toc80719261" w:history="1">
        <w:r w:rsidRPr="00480F9E">
          <w:rPr>
            <w:rStyle w:val="Hyperlink"/>
            <w:b/>
            <w:noProof/>
          </w:rPr>
          <w:t>Figure 5.1</w:t>
        </w:r>
        <w:r>
          <w:rPr>
            <w:rFonts w:asciiTheme="minorHAnsi" w:eastAsiaTheme="minorEastAsia" w:hAnsiTheme="minorHAnsi" w:cstheme="minorBidi"/>
            <w:noProof/>
            <w:lang w:eastAsia="zh-CN"/>
          </w:rPr>
          <w:tab/>
        </w:r>
        <w:r w:rsidRPr="00480F9E">
          <w:rPr>
            <w:rStyle w:val="Hyperlink"/>
            <w:noProof/>
          </w:rPr>
          <w:t>Modelled impacts of the proposed options</w:t>
        </w:r>
        <w:r>
          <w:rPr>
            <w:noProof/>
          </w:rPr>
          <w:tab/>
        </w:r>
        <w:r>
          <w:rPr>
            <w:noProof/>
          </w:rPr>
          <w:fldChar w:fldCharType="begin"/>
        </w:r>
        <w:r>
          <w:rPr>
            <w:noProof/>
          </w:rPr>
          <w:instrText xml:space="preserve"> PAGEREF _Toc80719261 \h </w:instrText>
        </w:r>
        <w:r>
          <w:rPr>
            <w:noProof/>
          </w:rPr>
        </w:r>
        <w:r>
          <w:rPr>
            <w:noProof/>
          </w:rPr>
          <w:fldChar w:fldCharType="separate"/>
        </w:r>
        <w:r>
          <w:rPr>
            <w:noProof/>
          </w:rPr>
          <w:t>35</w:t>
        </w:r>
        <w:r>
          <w:rPr>
            <w:noProof/>
          </w:rPr>
          <w:fldChar w:fldCharType="end"/>
        </w:r>
      </w:hyperlink>
    </w:p>
    <w:p w14:paraId="29125B3F" w14:textId="77777777" w:rsidR="00676882" w:rsidRDefault="00676882" w:rsidP="00676882">
      <w:pPr>
        <w:pStyle w:val="TableofFigures"/>
        <w:rPr>
          <w:rFonts w:asciiTheme="minorHAnsi" w:eastAsiaTheme="minorEastAsia" w:hAnsiTheme="minorHAnsi" w:cstheme="minorBidi"/>
          <w:noProof/>
          <w:lang w:eastAsia="zh-CN"/>
        </w:rPr>
      </w:pPr>
      <w:hyperlink w:anchor="_Toc80719262" w:history="1">
        <w:r w:rsidRPr="00480F9E">
          <w:rPr>
            <w:rStyle w:val="Hyperlink"/>
            <w:b/>
            <w:noProof/>
          </w:rPr>
          <w:t>Figure 5.2</w:t>
        </w:r>
        <w:r>
          <w:rPr>
            <w:rFonts w:asciiTheme="minorHAnsi" w:eastAsiaTheme="minorEastAsia" w:hAnsiTheme="minorHAnsi" w:cstheme="minorBidi"/>
            <w:noProof/>
            <w:lang w:eastAsia="zh-CN"/>
          </w:rPr>
          <w:tab/>
        </w:r>
        <w:r w:rsidRPr="00480F9E">
          <w:rPr>
            <w:rStyle w:val="Hyperlink"/>
            <w:noProof/>
          </w:rPr>
          <w:t>Net present value, 3 per cent discount rate</w:t>
        </w:r>
        <w:r>
          <w:rPr>
            <w:noProof/>
          </w:rPr>
          <w:tab/>
        </w:r>
        <w:r>
          <w:rPr>
            <w:noProof/>
          </w:rPr>
          <w:fldChar w:fldCharType="begin"/>
        </w:r>
        <w:r>
          <w:rPr>
            <w:noProof/>
          </w:rPr>
          <w:instrText xml:space="preserve"> PAGEREF _Toc80719262 \h </w:instrText>
        </w:r>
        <w:r>
          <w:rPr>
            <w:noProof/>
          </w:rPr>
        </w:r>
        <w:r>
          <w:rPr>
            <w:noProof/>
          </w:rPr>
          <w:fldChar w:fldCharType="separate"/>
        </w:r>
        <w:r>
          <w:rPr>
            <w:noProof/>
          </w:rPr>
          <w:t>39</w:t>
        </w:r>
        <w:r>
          <w:rPr>
            <w:noProof/>
          </w:rPr>
          <w:fldChar w:fldCharType="end"/>
        </w:r>
      </w:hyperlink>
    </w:p>
    <w:p w14:paraId="40434F16" w14:textId="77777777" w:rsidR="00676882" w:rsidRDefault="00676882" w:rsidP="00676882">
      <w:pPr>
        <w:pStyle w:val="TableofFigures"/>
        <w:rPr>
          <w:rFonts w:asciiTheme="minorHAnsi" w:eastAsiaTheme="minorEastAsia" w:hAnsiTheme="minorHAnsi" w:cstheme="minorBidi"/>
          <w:noProof/>
          <w:lang w:eastAsia="zh-CN"/>
        </w:rPr>
      </w:pPr>
      <w:hyperlink w:anchor="_Toc80719263" w:history="1">
        <w:r w:rsidRPr="00480F9E">
          <w:rPr>
            <w:rStyle w:val="Hyperlink"/>
            <w:b/>
            <w:noProof/>
          </w:rPr>
          <w:t>Figure 5.3</w:t>
        </w:r>
        <w:r>
          <w:rPr>
            <w:rFonts w:asciiTheme="minorHAnsi" w:eastAsiaTheme="minorEastAsia" w:hAnsiTheme="minorHAnsi" w:cstheme="minorBidi"/>
            <w:noProof/>
            <w:lang w:eastAsia="zh-CN"/>
          </w:rPr>
          <w:tab/>
        </w:r>
        <w:r w:rsidRPr="00480F9E">
          <w:rPr>
            <w:rStyle w:val="Hyperlink"/>
            <w:noProof/>
          </w:rPr>
          <w:t>Benefit-cost ratio, 3 per cent discount rate</w:t>
        </w:r>
        <w:r>
          <w:rPr>
            <w:noProof/>
          </w:rPr>
          <w:tab/>
        </w:r>
        <w:r>
          <w:rPr>
            <w:noProof/>
          </w:rPr>
          <w:fldChar w:fldCharType="begin"/>
        </w:r>
        <w:r>
          <w:rPr>
            <w:noProof/>
          </w:rPr>
          <w:instrText xml:space="preserve"> PAGEREF _Toc80719263 \h </w:instrText>
        </w:r>
        <w:r>
          <w:rPr>
            <w:noProof/>
          </w:rPr>
        </w:r>
        <w:r>
          <w:rPr>
            <w:noProof/>
          </w:rPr>
          <w:fldChar w:fldCharType="separate"/>
        </w:r>
        <w:r>
          <w:rPr>
            <w:noProof/>
          </w:rPr>
          <w:t>40</w:t>
        </w:r>
        <w:r>
          <w:rPr>
            <w:noProof/>
          </w:rPr>
          <w:fldChar w:fldCharType="end"/>
        </w:r>
      </w:hyperlink>
    </w:p>
    <w:p w14:paraId="713DD89B" w14:textId="77777777" w:rsidR="00676882" w:rsidRDefault="00676882" w:rsidP="00676882">
      <w:pPr>
        <w:pStyle w:val="TableofFigures"/>
        <w:rPr>
          <w:rFonts w:asciiTheme="minorHAnsi" w:eastAsiaTheme="minorEastAsia" w:hAnsiTheme="minorHAnsi" w:cstheme="minorBidi"/>
          <w:noProof/>
          <w:lang w:eastAsia="zh-CN"/>
        </w:rPr>
      </w:pPr>
      <w:hyperlink w:anchor="_Toc80719264" w:history="1">
        <w:r w:rsidRPr="00480F9E">
          <w:rPr>
            <w:rStyle w:val="Hyperlink"/>
            <w:b/>
            <w:noProof/>
          </w:rPr>
          <w:t>Figure 5.4</w:t>
        </w:r>
        <w:r>
          <w:rPr>
            <w:rFonts w:asciiTheme="minorHAnsi" w:eastAsiaTheme="minorEastAsia" w:hAnsiTheme="minorHAnsi" w:cstheme="minorBidi"/>
            <w:noProof/>
            <w:lang w:eastAsia="zh-CN"/>
          </w:rPr>
          <w:tab/>
        </w:r>
        <w:r w:rsidRPr="00480F9E">
          <w:rPr>
            <w:rStyle w:val="Hyperlink"/>
            <w:noProof/>
          </w:rPr>
          <w:t>Number of properties upgraded per scenario</w:t>
        </w:r>
        <w:r>
          <w:rPr>
            <w:noProof/>
          </w:rPr>
          <w:tab/>
        </w:r>
        <w:r>
          <w:rPr>
            <w:noProof/>
          </w:rPr>
          <w:fldChar w:fldCharType="begin"/>
        </w:r>
        <w:r>
          <w:rPr>
            <w:noProof/>
          </w:rPr>
          <w:instrText xml:space="preserve"> PAGEREF _Toc80719264 \h </w:instrText>
        </w:r>
        <w:r>
          <w:rPr>
            <w:noProof/>
          </w:rPr>
        </w:r>
        <w:r>
          <w:rPr>
            <w:noProof/>
          </w:rPr>
          <w:fldChar w:fldCharType="separate"/>
        </w:r>
        <w:r>
          <w:rPr>
            <w:noProof/>
          </w:rPr>
          <w:t>41</w:t>
        </w:r>
        <w:r>
          <w:rPr>
            <w:noProof/>
          </w:rPr>
          <w:fldChar w:fldCharType="end"/>
        </w:r>
      </w:hyperlink>
    </w:p>
    <w:p w14:paraId="6CAB9570" w14:textId="77777777" w:rsidR="00676882" w:rsidRDefault="00676882" w:rsidP="00676882">
      <w:pPr>
        <w:pStyle w:val="TableofFigures"/>
        <w:rPr>
          <w:rFonts w:asciiTheme="minorHAnsi" w:eastAsiaTheme="minorEastAsia" w:hAnsiTheme="minorHAnsi" w:cstheme="minorBidi"/>
          <w:noProof/>
          <w:lang w:eastAsia="zh-CN"/>
        </w:rPr>
      </w:pPr>
      <w:hyperlink w:anchor="_Toc80719265" w:history="1">
        <w:r w:rsidRPr="00480F9E">
          <w:rPr>
            <w:rStyle w:val="Hyperlink"/>
            <w:b/>
            <w:noProof/>
          </w:rPr>
          <w:t>Figure 5.5</w:t>
        </w:r>
        <w:r>
          <w:rPr>
            <w:rFonts w:asciiTheme="minorHAnsi" w:eastAsiaTheme="minorEastAsia" w:hAnsiTheme="minorHAnsi" w:cstheme="minorBidi"/>
            <w:noProof/>
            <w:lang w:eastAsia="zh-CN"/>
          </w:rPr>
          <w:tab/>
        </w:r>
        <w:r w:rsidRPr="00480F9E">
          <w:rPr>
            <w:rStyle w:val="Hyperlink"/>
            <w:noProof/>
          </w:rPr>
          <w:t>Net present value – per upgrade</w:t>
        </w:r>
        <w:r>
          <w:rPr>
            <w:noProof/>
          </w:rPr>
          <w:tab/>
        </w:r>
        <w:r>
          <w:rPr>
            <w:noProof/>
          </w:rPr>
          <w:fldChar w:fldCharType="begin"/>
        </w:r>
        <w:r>
          <w:rPr>
            <w:noProof/>
          </w:rPr>
          <w:instrText xml:space="preserve"> PAGEREF _Toc80719265 \h </w:instrText>
        </w:r>
        <w:r>
          <w:rPr>
            <w:noProof/>
          </w:rPr>
        </w:r>
        <w:r>
          <w:rPr>
            <w:noProof/>
          </w:rPr>
          <w:fldChar w:fldCharType="separate"/>
        </w:r>
        <w:r>
          <w:rPr>
            <w:noProof/>
          </w:rPr>
          <w:t>41</w:t>
        </w:r>
        <w:r>
          <w:rPr>
            <w:noProof/>
          </w:rPr>
          <w:fldChar w:fldCharType="end"/>
        </w:r>
      </w:hyperlink>
    </w:p>
    <w:p w14:paraId="0D90CF85" w14:textId="77777777" w:rsidR="00676882" w:rsidRDefault="00676882" w:rsidP="00676882">
      <w:pPr>
        <w:pStyle w:val="TableofFigures"/>
        <w:rPr>
          <w:rFonts w:asciiTheme="minorHAnsi" w:eastAsiaTheme="minorEastAsia" w:hAnsiTheme="minorHAnsi" w:cstheme="minorBidi"/>
          <w:noProof/>
          <w:lang w:eastAsia="zh-CN"/>
        </w:rPr>
      </w:pPr>
      <w:hyperlink w:anchor="_Toc80719266" w:history="1">
        <w:r w:rsidRPr="00480F9E">
          <w:rPr>
            <w:rStyle w:val="Hyperlink"/>
            <w:b/>
            <w:noProof/>
          </w:rPr>
          <w:t>Figure 5.6</w:t>
        </w:r>
        <w:r>
          <w:rPr>
            <w:rFonts w:asciiTheme="minorHAnsi" w:eastAsiaTheme="minorEastAsia" w:hAnsiTheme="minorHAnsi" w:cstheme="minorBidi"/>
            <w:noProof/>
            <w:lang w:eastAsia="zh-CN"/>
          </w:rPr>
          <w:tab/>
        </w:r>
        <w:r w:rsidRPr="00480F9E">
          <w:rPr>
            <w:rStyle w:val="Hyperlink"/>
            <w:noProof/>
          </w:rPr>
          <w:t>Composition of net impacts</w:t>
        </w:r>
        <w:r>
          <w:rPr>
            <w:noProof/>
          </w:rPr>
          <w:tab/>
        </w:r>
        <w:r>
          <w:rPr>
            <w:noProof/>
          </w:rPr>
          <w:fldChar w:fldCharType="begin"/>
        </w:r>
        <w:r>
          <w:rPr>
            <w:noProof/>
          </w:rPr>
          <w:instrText xml:space="preserve"> PAGEREF _Toc80719266 \h </w:instrText>
        </w:r>
        <w:r>
          <w:rPr>
            <w:noProof/>
          </w:rPr>
        </w:r>
        <w:r>
          <w:rPr>
            <w:noProof/>
          </w:rPr>
          <w:fldChar w:fldCharType="separate"/>
        </w:r>
        <w:r>
          <w:rPr>
            <w:noProof/>
          </w:rPr>
          <w:t>43</w:t>
        </w:r>
        <w:r>
          <w:rPr>
            <w:noProof/>
          </w:rPr>
          <w:fldChar w:fldCharType="end"/>
        </w:r>
      </w:hyperlink>
    </w:p>
    <w:p w14:paraId="0775CF1A" w14:textId="77777777" w:rsidR="00676882" w:rsidRDefault="00676882" w:rsidP="00676882">
      <w:pPr>
        <w:pStyle w:val="TableofFigures"/>
        <w:rPr>
          <w:rFonts w:asciiTheme="minorHAnsi" w:eastAsiaTheme="minorEastAsia" w:hAnsiTheme="minorHAnsi" w:cstheme="minorBidi"/>
          <w:noProof/>
          <w:lang w:eastAsia="zh-CN"/>
        </w:rPr>
      </w:pPr>
      <w:hyperlink w:anchor="_Toc80719267" w:history="1">
        <w:r w:rsidRPr="00480F9E">
          <w:rPr>
            <w:rStyle w:val="Hyperlink"/>
            <w:b/>
            <w:noProof/>
          </w:rPr>
          <w:t>Figure 5.7</w:t>
        </w:r>
        <w:r>
          <w:rPr>
            <w:rFonts w:asciiTheme="minorHAnsi" w:eastAsiaTheme="minorEastAsia" w:hAnsiTheme="minorHAnsi" w:cstheme="minorBidi"/>
            <w:noProof/>
            <w:lang w:eastAsia="zh-CN"/>
          </w:rPr>
          <w:tab/>
        </w:r>
        <w:r w:rsidRPr="00480F9E">
          <w:rPr>
            <w:rStyle w:val="Hyperlink"/>
            <w:noProof/>
          </w:rPr>
          <w:t>Time profile of impacts – insulation options</w:t>
        </w:r>
        <w:r>
          <w:rPr>
            <w:noProof/>
          </w:rPr>
          <w:tab/>
        </w:r>
        <w:r>
          <w:rPr>
            <w:noProof/>
          </w:rPr>
          <w:fldChar w:fldCharType="begin"/>
        </w:r>
        <w:r>
          <w:rPr>
            <w:noProof/>
          </w:rPr>
          <w:instrText xml:space="preserve"> PAGEREF _Toc80719267 \h </w:instrText>
        </w:r>
        <w:r>
          <w:rPr>
            <w:noProof/>
          </w:rPr>
        </w:r>
        <w:r>
          <w:rPr>
            <w:noProof/>
          </w:rPr>
          <w:fldChar w:fldCharType="separate"/>
        </w:r>
        <w:r>
          <w:rPr>
            <w:noProof/>
          </w:rPr>
          <w:t>44</w:t>
        </w:r>
        <w:r>
          <w:rPr>
            <w:noProof/>
          </w:rPr>
          <w:fldChar w:fldCharType="end"/>
        </w:r>
      </w:hyperlink>
    </w:p>
    <w:p w14:paraId="4D96CB3F" w14:textId="77777777" w:rsidR="00676882" w:rsidRDefault="00676882" w:rsidP="00676882">
      <w:pPr>
        <w:pStyle w:val="TableofFigures"/>
        <w:rPr>
          <w:rFonts w:asciiTheme="minorHAnsi" w:eastAsiaTheme="minorEastAsia" w:hAnsiTheme="minorHAnsi" w:cstheme="minorBidi"/>
          <w:noProof/>
          <w:lang w:eastAsia="zh-CN"/>
        </w:rPr>
      </w:pPr>
      <w:hyperlink w:anchor="_Toc80719268" w:history="1">
        <w:r w:rsidRPr="00480F9E">
          <w:rPr>
            <w:rStyle w:val="Hyperlink"/>
            <w:b/>
            <w:noProof/>
          </w:rPr>
          <w:t>Figure 5.8</w:t>
        </w:r>
        <w:r>
          <w:rPr>
            <w:rFonts w:asciiTheme="minorHAnsi" w:eastAsiaTheme="minorEastAsia" w:hAnsiTheme="minorHAnsi" w:cstheme="minorBidi"/>
            <w:noProof/>
            <w:lang w:eastAsia="zh-CN"/>
          </w:rPr>
          <w:tab/>
        </w:r>
        <w:r w:rsidRPr="00480F9E">
          <w:rPr>
            <w:rStyle w:val="Hyperlink"/>
            <w:noProof/>
          </w:rPr>
          <w:t>Time profile of impacts – heater options</w:t>
        </w:r>
        <w:r>
          <w:rPr>
            <w:noProof/>
          </w:rPr>
          <w:tab/>
        </w:r>
        <w:r>
          <w:rPr>
            <w:noProof/>
          </w:rPr>
          <w:fldChar w:fldCharType="begin"/>
        </w:r>
        <w:r>
          <w:rPr>
            <w:noProof/>
          </w:rPr>
          <w:instrText xml:space="preserve"> PAGEREF _Toc80719268 \h </w:instrText>
        </w:r>
        <w:r>
          <w:rPr>
            <w:noProof/>
          </w:rPr>
        </w:r>
        <w:r>
          <w:rPr>
            <w:noProof/>
          </w:rPr>
          <w:fldChar w:fldCharType="separate"/>
        </w:r>
        <w:r>
          <w:rPr>
            <w:noProof/>
          </w:rPr>
          <w:t>44</w:t>
        </w:r>
        <w:r>
          <w:rPr>
            <w:noProof/>
          </w:rPr>
          <w:fldChar w:fldCharType="end"/>
        </w:r>
      </w:hyperlink>
    </w:p>
    <w:p w14:paraId="2D000F92" w14:textId="77777777" w:rsidR="00676882" w:rsidRDefault="00676882" w:rsidP="00676882">
      <w:pPr>
        <w:pStyle w:val="TableofFigures"/>
        <w:rPr>
          <w:rFonts w:asciiTheme="minorHAnsi" w:eastAsiaTheme="minorEastAsia" w:hAnsiTheme="minorHAnsi" w:cstheme="minorBidi"/>
          <w:noProof/>
          <w:lang w:eastAsia="zh-CN"/>
        </w:rPr>
      </w:pPr>
      <w:hyperlink w:anchor="_Toc80719269" w:history="1">
        <w:r w:rsidRPr="00480F9E">
          <w:rPr>
            <w:rStyle w:val="Hyperlink"/>
            <w:b/>
            <w:noProof/>
          </w:rPr>
          <w:t>Figure 5.9</w:t>
        </w:r>
        <w:r>
          <w:rPr>
            <w:rFonts w:asciiTheme="minorHAnsi" w:eastAsiaTheme="minorEastAsia" w:hAnsiTheme="minorHAnsi" w:cstheme="minorBidi"/>
            <w:noProof/>
            <w:lang w:eastAsia="zh-CN"/>
          </w:rPr>
          <w:tab/>
        </w:r>
        <w:r w:rsidRPr="00480F9E">
          <w:rPr>
            <w:rStyle w:val="Hyperlink"/>
            <w:noProof/>
          </w:rPr>
          <w:t>Time profile of impacts – performance options</w:t>
        </w:r>
        <w:r>
          <w:rPr>
            <w:noProof/>
          </w:rPr>
          <w:tab/>
        </w:r>
        <w:r>
          <w:rPr>
            <w:noProof/>
          </w:rPr>
          <w:fldChar w:fldCharType="begin"/>
        </w:r>
        <w:r>
          <w:rPr>
            <w:noProof/>
          </w:rPr>
          <w:instrText xml:space="preserve"> PAGEREF _Toc80719269 \h </w:instrText>
        </w:r>
        <w:r>
          <w:rPr>
            <w:noProof/>
          </w:rPr>
        </w:r>
        <w:r>
          <w:rPr>
            <w:noProof/>
          </w:rPr>
          <w:fldChar w:fldCharType="separate"/>
        </w:r>
        <w:r>
          <w:rPr>
            <w:noProof/>
          </w:rPr>
          <w:t>45</w:t>
        </w:r>
        <w:r>
          <w:rPr>
            <w:noProof/>
          </w:rPr>
          <w:fldChar w:fldCharType="end"/>
        </w:r>
      </w:hyperlink>
    </w:p>
    <w:p w14:paraId="76622C27" w14:textId="77777777" w:rsidR="00676882" w:rsidRDefault="00676882" w:rsidP="00676882">
      <w:pPr>
        <w:pStyle w:val="TableofFigures"/>
        <w:rPr>
          <w:rFonts w:asciiTheme="minorHAnsi" w:eastAsiaTheme="minorEastAsia" w:hAnsiTheme="minorHAnsi" w:cstheme="minorBidi"/>
          <w:noProof/>
          <w:lang w:eastAsia="zh-CN"/>
        </w:rPr>
      </w:pPr>
      <w:hyperlink w:anchor="_Toc80719270" w:history="1">
        <w:r w:rsidRPr="00480F9E">
          <w:rPr>
            <w:rStyle w:val="Hyperlink"/>
            <w:b/>
            <w:noProof/>
          </w:rPr>
          <w:t>Figure 5.10</w:t>
        </w:r>
        <w:r>
          <w:rPr>
            <w:rFonts w:asciiTheme="minorHAnsi" w:eastAsiaTheme="minorEastAsia" w:hAnsiTheme="minorHAnsi" w:cstheme="minorBidi"/>
            <w:noProof/>
            <w:lang w:eastAsia="zh-CN"/>
          </w:rPr>
          <w:tab/>
        </w:r>
        <w:r w:rsidRPr="00480F9E">
          <w:rPr>
            <w:rStyle w:val="Hyperlink"/>
            <w:noProof/>
          </w:rPr>
          <w:t>Total change in energy use, lifespan of analysis</w:t>
        </w:r>
        <w:r>
          <w:rPr>
            <w:noProof/>
          </w:rPr>
          <w:tab/>
        </w:r>
        <w:r>
          <w:rPr>
            <w:noProof/>
          </w:rPr>
          <w:fldChar w:fldCharType="begin"/>
        </w:r>
        <w:r>
          <w:rPr>
            <w:noProof/>
          </w:rPr>
          <w:instrText xml:space="preserve"> PAGEREF _Toc80719270 \h </w:instrText>
        </w:r>
        <w:r>
          <w:rPr>
            <w:noProof/>
          </w:rPr>
        </w:r>
        <w:r>
          <w:rPr>
            <w:noProof/>
          </w:rPr>
          <w:fldChar w:fldCharType="separate"/>
        </w:r>
        <w:r>
          <w:rPr>
            <w:noProof/>
          </w:rPr>
          <w:t>45</w:t>
        </w:r>
        <w:r>
          <w:rPr>
            <w:noProof/>
          </w:rPr>
          <w:fldChar w:fldCharType="end"/>
        </w:r>
      </w:hyperlink>
    </w:p>
    <w:p w14:paraId="2F44C563" w14:textId="77777777" w:rsidR="00676882" w:rsidRDefault="00676882" w:rsidP="00676882">
      <w:pPr>
        <w:pStyle w:val="TableofFigures"/>
        <w:rPr>
          <w:rFonts w:asciiTheme="minorHAnsi" w:eastAsiaTheme="minorEastAsia" w:hAnsiTheme="minorHAnsi" w:cstheme="minorBidi"/>
          <w:noProof/>
          <w:lang w:eastAsia="zh-CN"/>
        </w:rPr>
      </w:pPr>
      <w:hyperlink w:anchor="_Toc80719271" w:history="1">
        <w:r w:rsidRPr="00480F9E">
          <w:rPr>
            <w:rStyle w:val="Hyperlink"/>
            <w:b/>
            <w:noProof/>
          </w:rPr>
          <w:t>Figure 5.11</w:t>
        </w:r>
        <w:r>
          <w:rPr>
            <w:rFonts w:asciiTheme="minorHAnsi" w:eastAsiaTheme="minorEastAsia" w:hAnsiTheme="minorHAnsi" w:cstheme="minorBidi"/>
            <w:noProof/>
            <w:lang w:eastAsia="zh-CN"/>
          </w:rPr>
          <w:tab/>
        </w:r>
        <w:r w:rsidRPr="00480F9E">
          <w:rPr>
            <w:rStyle w:val="Hyperlink"/>
            <w:noProof/>
          </w:rPr>
          <w:t>Energy change per upgrade, lifespan of analysis</w:t>
        </w:r>
        <w:r>
          <w:rPr>
            <w:noProof/>
          </w:rPr>
          <w:tab/>
        </w:r>
        <w:r>
          <w:rPr>
            <w:noProof/>
          </w:rPr>
          <w:fldChar w:fldCharType="begin"/>
        </w:r>
        <w:r>
          <w:rPr>
            <w:noProof/>
          </w:rPr>
          <w:instrText xml:space="preserve"> PAGEREF _Toc80719271 \h </w:instrText>
        </w:r>
        <w:r>
          <w:rPr>
            <w:noProof/>
          </w:rPr>
        </w:r>
        <w:r>
          <w:rPr>
            <w:noProof/>
          </w:rPr>
          <w:fldChar w:fldCharType="separate"/>
        </w:r>
        <w:r>
          <w:rPr>
            <w:noProof/>
          </w:rPr>
          <w:t>46</w:t>
        </w:r>
        <w:r>
          <w:rPr>
            <w:noProof/>
          </w:rPr>
          <w:fldChar w:fldCharType="end"/>
        </w:r>
      </w:hyperlink>
    </w:p>
    <w:p w14:paraId="7C552C1F" w14:textId="77777777" w:rsidR="00676882" w:rsidRDefault="00676882" w:rsidP="00676882">
      <w:pPr>
        <w:pStyle w:val="TableofFigures"/>
        <w:rPr>
          <w:rFonts w:asciiTheme="minorHAnsi" w:eastAsiaTheme="minorEastAsia" w:hAnsiTheme="minorHAnsi" w:cstheme="minorBidi"/>
          <w:noProof/>
          <w:lang w:eastAsia="zh-CN"/>
        </w:rPr>
      </w:pPr>
      <w:hyperlink w:anchor="_Toc80719272" w:history="1">
        <w:r w:rsidRPr="00480F9E">
          <w:rPr>
            <w:rStyle w:val="Hyperlink"/>
            <w:b/>
            <w:noProof/>
          </w:rPr>
          <w:t>Figure 5.12</w:t>
        </w:r>
        <w:r>
          <w:rPr>
            <w:rFonts w:asciiTheme="minorHAnsi" w:eastAsiaTheme="minorEastAsia" w:hAnsiTheme="minorHAnsi" w:cstheme="minorBidi"/>
            <w:noProof/>
            <w:lang w:eastAsia="zh-CN"/>
          </w:rPr>
          <w:tab/>
        </w:r>
        <w:r w:rsidRPr="00480F9E">
          <w:rPr>
            <w:rStyle w:val="Hyperlink"/>
            <w:noProof/>
          </w:rPr>
          <w:t>Avoided greenhouse gas emissions, lifespan of analysis</w:t>
        </w:r>
        <w:r>
          <w:rPr>
            <w:noProof/>
          </w:rPr>
          <w:tab/>
        </w:r>
        <w:r>
          <w:rPr>
            <w:noProof/>
          </w:rPr>
          <w:fldChar w:fldCharType="begin"/>
        </w:r>
        <w:r>
          <w:rPr>
            <w:noProof/>
          </w:rPr>
          <w:instrText xml:space="preserve"> PAGEREF _Toc80719272 \h </w:instrText>
        </w:r>
        <w:r>
          <w:rPr>
            <w:noProof/>
          </w:rPr>
        </w:r>
        <w:r>
          <w:rPr>
            <w:noProof/>
          </w:rPr>
          <w:fldChar w:fldCharType="separate"/>
        </w:r>
        <w:r>
          <w:rPr>
            <w:noProof/>
          </w:rPr>
          <w:t>46</w:t>
        </w:r>
        <w:r>
          <w:rPr>
            <w:noProof/>
          </w:rPr>
          <w:fldChar w:fldCharType="end"/>
        </w:r>
      </w:hyperlink>
    </w:p>
    <w:p w14:paraId="6A8A9433" w14:textId="77777777" w:rsidR="00676882" w:rsidRDefault="00676882" w:rsidP="00676882">
      <w:pPr>
        <w:pStyle w:val="TableofFigures"/>
        <w:rPr>
          <w:rFonts w:asciiTheme="minorHAnsi" w:eastAsiaTheme="minorEastAsia" w:hAnsiTheme="minorHAnsi" w:cstheme="minorBidi"/>
          <w:noProof/>
          <w:lang w:eastAsia="zh-CN"/>
        </w:rPr>
      </w:pPr>
      <w:hyperlink w:anchor="_Toc80719273" w:history="1">
        <w:r w:rsidRPr="00480F9E">
          <w:rPr>
            <w:rStyle w:val="Hyperlink"/>
            <w:b/>
            <w:noProof/>
          </w:rPr>
          <w:t>Figure 5.13</w:t>
        </w:r>
        <w:r>
          <w:rPr>
            <w:rFonts w:asciiTheme="minorHAnsi" w:eastAsiaTheme="minorEastAsia" w:hAnsiTheme="minorHAnsi" w:cstheme="minorBidi"/>
            <w:noProof/>
            <w:lang w:eastAsia="zh-CN"/>
          </w:rPr>
          <w:tab/>
        </w:r>
        <w:r w:rsidRPr="00480F9E">
          <w:rPr>
            <w:rStyle w:val="Hyperlink"/>
            <w:noProof/>
          </w:rPr>
          <w:t>Total impacts on tenants and rental providers</w:t>
        </w:r>
        <w:r>
          <w:rPr>
            <w:noProof/>
          </w:rPr>
          <w:tab/>
        </w:r>
        <w:r>
          <w:rPr>
            <w:noProof/>
          </w:rPr>
          <w:fldChar w:fldCharType="begin"/>
        </w:r>
        <w:r>
          <w:rPr>
            <w:noProof/>
          </w:rPr>
          <w:instrText xml:space="preserve"> PAGEREF _Toc80719273 \h </w:instrText>
        </w:r>
        <w:r>
          <w:rPr>
            <w:noProof/>
          </w:rPr>
        </w:r>
        <w:r>
          <w:rPr>
            <w:noProof/>
          </w:rPr>
          <w:fldChar w:fldCharType="separate"/>
        </w:r>
        <w:r>
          <w:rPr>
            <w:noProof/>
          </w:rPr>
          <w:t>47</w:t>
        </w:r>
        <w:r>
          <w:rPr>
            <w:noProof/>
          </w:rPr>
          <w:fldChar w:fldCharType="end"/>
        </w:r>
      </w:hyperlink>
    </w:p>
    <w:p w14:paraId="61645AF1" w14:textId="77777777" w:rsidR="00676882" w:rsidRDefault="00676882" w:rsidP="00676882">
      <w:pPr>
        <w:pStyle w:val="TableofFigures"/>
        <w:rPr>
          <w:rFonts w:asciiTheme="minorHAnsi" w:eastAsiaTheme="minorEastAsia" w:hAnsiTheme="minorHAnsi" w:cstheme="minorBidi"/>
          <w:noProof/>
          <w:lang w:eastAsia="zh-CN"/>
        </w:rPr>
      </w:pPr>
      <w:hyperlink w:anchor="_Toc80719274" w:history="1">
        <w:r w:rsidRPr="00480F9E">
          <w:rPr>
            <w:rStyle w:val="Hyperlink"/>
            <w:b/>
            <w:noProof/>
          </w:rPr>
          <w:t>Figure 5.14</w:t>
        </w:r>
        <w:r>
          <w:rPr>
            <w:rFonts w:asciiTheme="minorHAnsi" w:eastAsiaTheme="minorEastAsia" w:hAnsiTheme="minorHAnsi" w:cstheme="minorBidi"/>
            <w:noProof/>
            <w:lang w:eastAsia="zh-CN"/>
          </w:rPr>
          <w:tab/>
        </w:r>
        <w:r w:rsidRPr="00480F9E">
          <w:rPr>
            <w:rStyle w:val="Hyperlink"/>
            <w:noProof/>
          </w:rPr>
          <w:t>Reported response of rental providers</w:t>
        </w:r>
        <w:r>
          <w:rPr>
            <w:noProof/>
          </w:rPr>
          <w:tab/>
        </w:r>
        <w:r>
          <w:rPr>
            <w:noProof/>
          </w:rPr>
          <w:fldChar w:fldCharType="begin"/>
        </w:r>
        <w:r>
          <w:rPr>
            <w:noProof/>
          </w:rPr>
          <w:instrText xml:space="preserve"> PAGEREF _Toc80719274 \h </w:instrText>
        </w:r>
        <w:r>
          <w:rPr>
            <w:noProof/>
          </w:rPr>
        </w:r>
        <w:r>
          <w:rPr>
            <w:noProof/>
          </w:rPr>
          <w:fldChar w:fldCharType="separate"/>
        </w:r>
        <w:r>
          <w:rPr>
            <w:noProof/>
          </w:rPr>
          <w:t>52</w:t>
        </w:r>
        <w:r>
          <w:rPr>
            <w:noProof/>
          </w:rPr>
          <w:fldChar w:fldCharType="end"/>
        </w:r>
      </w:hyperlink>
    </w:p>
    <w:p w14:paraId="6201B766" w14:textId="77777777" w:rsidR="00676882" w:rsidRDefault="00676882" w:rsidP="00676882">
      <w:pPr>
        <w:pStyle w:val="TableofFigures"/>
        <w:rPr>
          <w:rFonts w:asciiTheme="minorHAnsi" w:eastAsiaTheme="minorEastAsia" w:hAnsiTheme="minorHAnsi" w:cstheme="minorBidi"/>
          <w:noProof/>
          <w:lang w:eastAsia="zh-CN"/>
        </w:rPr>
      </w:pPr>
      <w:hyperlink w:anchor="_Toc80719275" w:history="1">
        <w:r w:rsidRPr="00480F9E">
          <w:rPr>
            <w:rStyle w:val="Hyperlink"/>
            <w:b/>
            <w:noProof/>
          </w:rPr>
          <w:t>Figure 5.15</w:t>
        </w:r>
        <w:r>
          <w:rPr>
            <w:rFonts w:asciiTheme="minorHAnsi" w:eastAsiaTheme="minorEastAsia" w:hAnsiTheme="minorHAnsi" w:cstheme="minorBidi"/>
            <w:noProof/>
            <w:lang w:eastAsia="zh-CN"/>
          </w:rPr>
          <w:tab/>
        </w:r>
        <w:r w:rsidRPr="00480F9E">
          <w:rPr>
            <w:rStyle w:val="Hyperlink"/>
            <w:noProof/>
          </w:rPr>
          <w:t>Rental passthrough for rental properties</w:t>
        </w:r>
        <w:r>
          <w:rPr>
            <w:noProof/>
          </w:rPr>
          <w:tab/>
        </w:r>
        <w:r>
          <w:rPr>
            <w:noProof/>
          </w:rPr>
          <w:fldChar w:fldCharType="begin"/>
        </w:r>
        <w:r>
          <w:rPr>
            <w:noProof/>
          </w:rPr>
          <w:instrText xml:space="preserve"> PAGEREF _Toc80719275 \h </w:instrText>
        </w:r>
        <w:r>
          <w:rPr>
            <w:noProof/>
          </w:rPr>
        </w:r>
        <w:r>
          <w:rPr>
            <w:noProof/>
          </w:rPr>
          <w:fldChar w:fldCharType="separate"/>
        </w:r>
        <w:r>
          <w:rPr>
            <w:noProof/>
          </w:rPr>
          <w:t>52</w:t>
        </w:r>
        <w:r>
          <w:rPr>
            <w:noProof/>
          </w:rPr>
          <w:fldChar w:fldCharType="end"/>
        </w:r>
      </w:hyperlink>
    </w:p>
    <w:p w14:paraId="76E5BAD0" w14:textId="77777777" w:rsidR="00676882" w:rsidRDefault="00676882" w:rsidP="00676882">
      <w:pPr>
        <w:pStyle w:val="TableofFigures"/>
        <w:rPr>
          <w:rFonts w:asciiTheme="minorHAnsi" w:eastAsiaTheme="minorEastAsia" w:hAnsiTheme="minorHAnsi" w:cstheme="minorBidi"/>
          <w:noProof/>
          <w:lang w:eastAsia="zh-CN"/>
        </w:rPr>
      </w:pPr>
      <w:hyperlink w:anchor="_Toc80719276" w:history="1">
        <w:r w:rsidRPr="00480F9E">
          <w:rPr>
            <w:rStyle w:val="Hyperlink"/>
            <w:b/>
            <w:noProof/>
          </w:rPr>
          <w:t>Figure 5.16</w:t>
        </w:r>
        <w:r>
          <w:rPr>
            <w:rFonts w:asciiTheme="minorHAnsi" w:eastAsiaTheme="minorEastAsia" w:hAnsiTheme="minorHAnsi" w:cstheme="minorBidi"/>
            <w:noProof/>
            <w:lang w:eastAsia="zh-CN"/>
          </w:rPr>
          <w:tab/>
        </w:r>
        <w:r w:rsidRPr="00480F9E">
          <w:rPr>
            <w:rStyle w:val="Hyperlink"/>
            <w:noProof/>
          </w:rPr>
          <w:t>400 series “ex-govie” properties common in Canberra’s older suburbs</w:t>
        </w:r>
        <w:r>
          <w:rPr>
            <w:noProof/>
          </w:rPr>
          <w:tab/>
        </w:r>
        <w:r>
          <w:rPr>
            <w:noProof/>
          </w:rPr>
          <w:fldChar w:fldCharType="begin"/>
        </w:r>
        <w:r>
          <w:rPr>
            <w:noProof/>
          </w:rPr>
          <w:instrText xml:space="preserve"> PAGEREF _Toc80719276 \h </w:instrText>
        </w:r>
        <w:r>
          <w:rPr>
            <w:noProof/>
          </w:rPr>
        </w:r>
        <w:r>
          <w:rPr>
            <w:noProof/>
          </w:rPr>
          <w:fldChar w:fldCharType="separate"/>
        </w:r>
        <w:r>
          <w:rPr>
            <w:noProof/>
          </w:rPr>
          <w:t>54</w:t>
        </w:r>
        <w:r>
          <w:rPr>
            <w:noProof/>
          </w:rPr>
          <w:fldChar w:fldCharType="end"/>
        </w:r>
      </w:hyperlink>
    </w:p>
    <w:p w14:paraId="663CB9F1" w14:textId="77777777" w:rsidR="00676882" w:rsidRDefault="00676882" w:rsidP="00676882">
      <w:pPr>
        <w:pStyle w:val="TableofFigures"/>
        <w:rPr>
          <w:rFonts w:asciiTheme="minorHAnsi" w:eastAsiaTheme="minorEastAsia" w:hAnsiTheme="minorHAnsi" w:cstheme="minorBidi"/>
          <w:noProof/>
          <w:lang w:eastAsia="zh-CN"/>
        </w:rPr>
      </w:pPr>
      <w:hyperlink w:anchor="_Toc80719277" w:history="1">
        <w:r w:rsidRPr="00480F9E">
          <w:rPr>
            <w:rStyle w:val="Hyperlink"/>
            <w:b/>
            <w:noProof/>
          </w:rPr>
          <w:t>Figure 5.17</w:t>
        </w:r>
        <w:r>
          <w:rPr>
            <w:rFonts w:asciiTheme="minorHAnsi" w:eastAsiaTheme="minorEastAsia" w:hAnsiTheme="minorHAnsi" w:cstheme="minorBidi"/>
            <w:noProof/>
            <w:lang w:eastAsia="zh-CN"/>
          </w:rPr>
          <w:tab/>
        </w:r>
        <w:r w:rsidRPr="00480F9E">
          <w:rPr>
            <w:rStyle w:val="Hyperlink"/>
            <w:noProof/>
          </w:rPr>
          <w:t>Redistribution of costs and benefits</w:t>
        </w:r>
        <w:r>
          <w:rPr>
            <w:noProof/>
          </w:rPr>
          <w:tab/>
        </w:r>
        <w:r>
          <w:rPr>
            <w:noProof/>
          </w:rPr>
          <w:fldChar w:fldCharType="begin"/>
        </w:r>
        <w:r>
          <w:rPr>
            <w:noProof/>
          </w:rPr>
          <w:instrText xml:space="preserve"> PAGEREF _Toc80719277 \h </w:instrText>
        </w:r>
        <w:r>
          <w:rPr>
            <w:noProof/>
          </w:rPr>
        </w:r>
        <w:r>
          <w:rPr>
            <w:noProof/>
          </w:rPr>
          <w:fldChar w:fldCharType="separate"/>
        </w:r>
        <w:r>
          <w:rPr>
            <w:noProof/>
          </w:rPr>
          <w:t>55</w:t>
        </w:r>
        <w:r>
          <w:rPr>
            <w:noProof/>
          </w:rPr>
          <w:fldChar w:fldCharType="end"/>
        </w:r>
      </w:hyperlink>
    </w:p>
    <w:p w14:paraId="42B64079" w14:textId="77777777" w:rsidR="00676882" w:rsidRDefault="00676882" w:rsidP="00676882">
      <w:pPr>
        <w:pStyle w:val="TableofFigures"/>
        <w:rPr>
          <w:rFonts w:asciiTheme="minorHAnsi" w:eastAsiaTheme="minorEastAsia" w:hAnsiTheme="minorHAnsi" w:cstheme="minorBidi"/>
          <w:noProof/>
          <w:lang w:eastAsia="zh-CN"/>
        </w:rPr>
      </w:pPr>
      <w:hyperlink w:anchor="_Toc80719278" w:history="1">
        <w:r w:rsidRPr="00480F9E">
          <w:rPr>
            <w:rStyle w:val="Hyperlink"/>
            <w:b/>
            <w:noProof/>
          </w:rPr>
          <w:t>Figure 5.18</w:t>
        </w:r>
        <w:r>
          <w:rPr>
            <w:rFonts w:asciiTheme="minorHAnsi" w:eastAsiaTheme="minorEastAsia" w:hAnsiTheme="minorHAnsi" w:cstheme="minorBidi"/>
            <w:noProof/>
            <w:lang w:eastAsia="zh-CN"/>
          </w:rPr>
          <w:tab/>
        </w:r>
        <w:r w:rsidRPr="00480F9E">
          <w:rPr>
            <w:rStyle w:val="Hyperlink"/>
            <w:noProof/>
          </w:rPr>
          <w:t>Energy efficiency impacts logic map</w:t>
        </w:r>
        <w:r>
          <w:rPr>
            <w:noProof/>
          </w:rPr>
          <w:tab/>
        </w:r>
        <w:r>
          <w:rPr>
            <w:noProof/>
          </w:rPr>
          <w:fldChar w:fldCharType="begin"/>
        </w:r>
        <w:r>
          <w:rPr>
            <w:noProof/>
          </w:rPr>
          <w:instrText xml:space="preserve"> PAGEREF _Toc80719278 \h </w:instrText>
        </w:r>
        <w:r>
          <w:rPr>
            <w:noProof/>
          </w:rPr>
        </w:r>
        <w:r>
          <w:rPr>
            <w:noProof/>
          </w:rPr>
          <w:fldChar w:fldCharType="separate"/>
        </w:r>
        <w:r>
          <w:rPr>
            <w:noProof/>
          </w:rPr>
          <w:t>56</w:t>
        </w:r>
        <w:r>
          <w:rPr>
            <w:noProof/>
          </w:rPr>
          <w:fldChar w:fldCharType="end"/>
        </w:r>
      </w:hyperlink>
    </w:p>
    <w:p w14:paraId="64D42757" w14:textId="77777777" w:rsidR="00676882" w:rsidRDefault="00676882" w:rsidP="00676882">
      <w:pPr>
        <w:pStyle w:val="TableofFigures"/>
        <w:rPr>
          <w:rFonts w:asciiTheme="minorHAnsi" w:eastAsiaTheme="minorEastAsia" w:hAnsiTheme="minorHAnsi" w:cstheme="minorBidi"/>
          <w:noProof/>
          <w:lang w:eastAsia="zh-CN"/>
        </w:rPr>
      </w:pPr>
      <w:hyperlink w:anchor="_Toc80719279" w:history="1">
        <w:r w:rsidRPr="00480F9E">
          <w:rPr>
            <w:rStyle w:val="Hyperlink"/>
            <w:b/>
            <w:noProof/>
          </w:rPr>
          <w:t>Figure 5.19</w:t>
        </w:r>
        <w:r>
          <w:rPr>
            <w:rFonts w:asciiTheme="minorHAnsi" w:eastAsiaTheme="minorEastAsia" w:hAnsiTheme="minorHAnsi" w:cstheme="minorBidi"/>
            <w:noProof/>
            <w:lang w:eastAsia="zh-CN"/>
          </w:rPr>
          <w:tab/>
        </w:r>
        <w:r w:rsidRPr="00480F9E">
          <w:rPr>
            <w:rStyle w:val="Hyperlink"/>
            <w:noProof/>
          </w:rPr>
          <w:t>Distribution of costs to upgrade to 2 stars</w:t>
        </w:r>
        <w:r>
          <w:rPr>
            <w:noProof/>
          </w:rPr>
          <w:tab/>
        </w:r>
        <w:r>
          <w:rPr>
            <w:noProof/>
          </w:rPr>
          <w:fldChar w:fldCharType="begin"/>
        </w:r>
        <w:r>
          <w:rPr>
            <w:noProof/>
          </w:rPr>
          <w:instrText xml:space="preserve"> PAGEREF _Toc80719279 \h </w:instrText>
        </w:r>
        <w:r>
          <w:rPr>
            <w:noProof/>
          </w:rPr>
        </w:r>
        <w:r>
          <w:rPr>
            <w:noProof/>
          </w:rPr>
          <w:fldChar w:fldCharType="separate"/>
        </w:r>
        <w:r>
          <w:rPr>
            <w:noProof/>
          </w:rPr>
          <w:t>64</w:t>
        </w:r>
        <w:r>
          <w:rPr>
            <w:noProof/>
          </w:rPr>
          <w:fldChar w:fldCharType="end"/>
        </w:r>
      </w:hyperlink>
    </w:p>
    <w:p w14:paraId="39F61616" w14:textId="77777777" w:rsidR="00676882" w:rsidRDefault="00676882" w:rsidP="00676882">
      <w:pPr>
        <w:pStyle w:val="TableofFigures"/>
        <w:rPr>
          <w:rFonts w:asciiTheme="minorHAnsi" w:eastAsiaTheme="minorEastAsia" w:hAnsiTheme="minorHAnsi" w:cstheme="minorBidi"/>
          <w:noProof/>
          <w:lang w:eastAsia="zh-CN"/>
        </w:rPr>
      </w:pPr>
      <w:hyperlink w:anchor="_Toc80719280" w:history="1">
        <w:r w:rsidRPr="00480F9E">
          <w:rPr>
            <w:rStyle w:val="Hyperlink"/>
            <w:b/>
            <w:noProof/>
          </w:rPr>
          <w:t>Figure 5.20</w:t>
        </w:r>
        <w:r>
          <w:rPr>
            <w:rFonts w:asciiTheme="minorHAnsi" w:eastAsiaTheme="minorEastAsia" w:hAnsiTheme="minorHAnsi" w:cstheme="minorBidi"/>
            <w:noProof/>
            <w:lang w:eastAsia="zh-CN"/>
          </w:rPr>
          <w:tab/>
        </w:r>
        <w:r w:rsidRPr="00480F9E">
          <w:rPr>
            <w:rStyle w:val="Hyperlink"/>
            <w:noProof/>
          </w:rPr>
          <w:t>Distribution of costs to upgrade to 3 stars</w:t>
        </w:r>
        <w:r>
          <w:rPr>
            <w:noProof/>
          </w:rPr>
          <w:tab/>
        </w:r>
        <w:r>
          <w:rPr>
            <w:noProof/>
          </w:rPr>
          <w:fldChar w:fldCharType="begin"/>
        </w:r>
        <w:r>
          <w:rPr>
            <w:noProof/>
          </w:rPr>
          <w:instrText xml:space="preserve"> PAGEREF _Toc80719280 \h </w:instrText>
        </w:r>
        <w:r>
          <w:rPr>
            <w:noProof/>
          </w:rPr>
        </w:r>
        <w:r>
          <w:rPr>
            <w:noProof/>
          </w:rPr>
          <w:fldChar w:fldCharType="separate"/>
        </w:r>
        <w:r>
          <w:rPr>
            <w:noProof/>
          </w:rPr>
          <w:t>65</w:t>
        </w:r>
        <w:r>
          <w:rPr>
            <w:noProof/>
          </w:rPr>
          <w:fldChar w:fldCharType="end"/>
        </w:r>
      </w:hyperlink>
    </w:p>
    <w:p w14:paraId="30BA2FE5" w14:textId="77777777" w:rsidR="00676882" w:rsidRDefault="00676882" w:rsidP="00676882">
      <w:pPr>
        <w:pStyle w:val="TableofFigures"/>
        <w:rPr>
          <w:noProof/>
        </w:rPr>
      </w:pPr>
      <w:r>
        <w:fldChar w:fldCharType="end"/>
      </w:r>
      <w:r>
        <w:fldChar w:fldCharType="begin"/>
      </w:r>
      <w:r>
        <w:instrText xml:space="preserve"> TOC \h \c "Figure AP" \* MERGEFORMAT </w:instrText>
      </w:r>
      <w:r>
        <w:fldChar w:fldCharType="separate"/>
      </w:r>
    </w:p>
    <w:p w14:paraId="71CC3F3A" w14:textId="77777777" w:rsidR="00676882" w:rsidRDefault="00676882" w:rsidP="00676882">
      <w:pPr>
        <w:pStyle w:val="TableofFigures"/>
        <w:rPr>
          <w:rFonts w:asciiTheme="minorHAnsi" w:eastAsiaTheme="minorEastAsia" w:hAnsiTheme="minorHAnsi" w:cstheme="minorBidi"/>
          <w:noProof/>
          <w:lang w:eastAsia="zh-CN"/>
        </w:rPr>
      </w:pPr>
      <w:hyperlink w:anchor="_Toc80719281" w:history="1">
        <w:r w:rsidRPr="00B438B3">
          <w:rPr>
            <w:rStyle w:val="Hyperlink"/>
            <w:b/>
            <w:noProof/>
          </w:rPr>
          <w:t>Figure A.1</w:t>
        </w:r>
        <w:r>
          <w:rPr>
            <w:rFonts w:asciiTheme="minorHAnsi" w:eastAsiaTheme="minorEastAsia" w:hAnsiTheme="minorHAnsi" w:cstheme="minorBidi"/>
            <w:noProof/>
            <w:lang w:eastAsia="zh-CN"/>
          </w:rPr>
          <w:tab/>
        </w:r>
        <w:r w:rsidRPr="00B438B3">
          <w:rPr>
            <w:rStyle w:val="Hyperlink"/>
            <w:noProof/>
          </w:rPr>
          <w:t>Climatic zones used in NZ insulation regulation for rental properties</w:t>
        </w:r>
        <w:r>
          <w:rPr>
            <w:noProof/>
          </w:rPr>
          <w:tab/>
        </w:r>
        <w:r>
          <w:rPr>
            <w:noProof/>
          </w:rPr>
          <w:fldChar w:fldCharType="begin"/>
        </w:r>
        <w:r>
          <w:rPr>
            <w:noProof/>
          </w:rPr>
          <w:instrText xml:space="preserve"> PAGEREF _Toc80719281 \h </w:instrText>
        </w:r>
        <w:r>
          <w:rPr>
            <w:noProof/>
          </w:rPr>
        </w:r>
        <w:r>
          <w:rPr>
            <w:noProof/>
          </w:rPr>
          <w:fldChar w:fldCharType="separate"/>
        </w:r>
        <w:r>
          <w:rPr>
            <w:noProof/>
          </w:rPr>
          <w:t>A-5</w:t>
        </w:r>
        <w:r>
          <w:rPr>
            <w:noProof/>
          </w:rPr>
          <w:fldChar w:fldCharType="end"/>
        </w:r>
      </w:hyperlink>
    </w:p>
    <w:p w14:paraId="43A28882" w14:textId="77777777" w:rsidR="00676882" w:rsidRDefault="00676882" w:rsidP="00676882">
      <w:pPr>
        <w:pStyle w:val="TableofFigures"/>
        <w:rPr>
          <w:rFonts w:asciiTheme="minorHAnsi" w:eastAsiaTheme="minorEastAsia" w:hAnsiTheme="minorHAnsi" w:cstheme="minorBidi"/>
          <w:noProof/>
          <w:lang w:eastAsia="zh-CN"/>
        </w:rPr>
      </w:pPr>
      <w:hyperlink w:anchor="_Toc80719282" w:history="1">
        <w:r w:rsidRPr="00B438B3">
          <w:rPr>
            <w:rStyle w:val="Hyperlink"/>
            <w:b/>
            <w:noProof/>
          </w:rPr>
          <w:t>Figure B.1</w:t>
        </w:r>
        <w:r>
          <w:rPr>
            <w:rFonts w:asciiTheme="minorHAnsi" w:eastAsiaTheme="minorEastAsia" w:hAnsiTheme="minorHAnsi" w:cstheme="minorBidi"/>
            <w:noProof/>
            <w:lang w:eastAsia="zh-CN"/>
          </w:rPr>
          <w:tab/>
        </w:r>
        <w:r w:rsidRPr="00B438B3">
          <w:rPr>
            <w:rStyle w:val="Hyperlink"/>
            <w:noProof/>
          </w:rPr>
          <w:t>Framework for analysis</w:t>
        </w:r>
        <w:r>
          <w:rPr>
            <w:noProof/>
          </w:rPr>
          <w:tab/>
        </w:r>
        <w:r>
          <w:rPr>
            <w:noProof/>
          </w:rPr>
          <w:fldChar w:fldCharType="begin"/>
        </w:r>
        <w:r>
          <w:rPr>
            <w:noProof/>
          </w:rPr>
          <w:instrText xml:space="preserve"> PAGEREF _Toc80719282 \h </w:instrText>
        </w:r>
        <w:r>
          <w:rPr>
            <w:noProof/>
          </w:rPr>
        </w:r>
        <w:r>
          <w:rPr>
            <w:noProof/>
          </w:rPr>
          <w:fldChar w:fldCharType="separate"/>
        </w:r>
        <w:r>
          <w:rPr>
            <w:noProof/>
          </w:rPr>
          <w:t>B-1</w:t>
        </w:r>
        <w:r>
          <w:rPr>
            <w:noProof/>
          </w:rPr>
          <w:fldChar w:fldCharType="end"/>
        </w:r>
      </w:hyperlink>
    </w:p>
    <w:p w14:paraId="4D5BC78E" w14:textId="77777777" w:rsidR="00676882" w:rsidRDefault="00676882" w:rsidP="00676882">
      <w:pPr>
        <w:pStyle w:val="TableofFigures"/>
        <w:rPr>
          <w:rFonts w:asciiTheme="minorHAnsi" w:eastAsiaTheme="minorEastAsia" w:hAnsiTheme="minorHAnsi" w:cstheme="minorBidi"/>
          <w:noProof/>
          <w:lang w:eastAsia="zh-CN"/>
        </w:rPr>
      </w:pPr>
      <w:hyperlink w:anchor="_Toc80719283" w:history="1">
        <w:r w:rsidRPr="00B438B3">
          <w:rPr>
            <w:rStyle w:val="Hyperlink"/>
            <w:b/>
            <w:noProof/>
          </w:rPr>
          <w:t>Figure B.2</w:t>
        </w:r>
        <w:r>
          <w:rPr>
            <w:rFonts w:asciiTheme="minorHAnsi" w:eastAsiaTheme="minorEastAsia" w:hAnsiTheme="minorHAnsi" w:cstheme="minorBidi"/>
            <w:noProof/>
            <w:lang w:eastAsia="zh-CN"/>
          </w:rPr>
          <w:tab/>
        </w:r>
        <w:r w:rsidRPr="00B438B3">
          <w:rPr>
            <w:rStyle w:val="Hyperlink"/>
            <w:noProof/>
          </w:rPr>
          <w:t>Components of the retail energy price</w:t>
        </w:r>
        <w:r>
          <w:rPr>
            <w:noProof/>
          </w:rPr>
          <w:tab/>
        </w:r>
        <w:r>
          <w:rPr>
            <w:noProof/>
          </w:rPr>
          <w:fldChar w:fldCharType="begin"/>
        </w:r>
        <w:r>
          <w:rPr>
            <w:noProof/>
          </w:rPr>
          <w:instrText xml:space="preserve"> PAGEREF _Toc80719283 \h </w:instrText>
        </w:r>
        <w:r>
          <w:rPr>
            <w:noProof/>
          </w:rPr>
        </w:r>
        <w:r>
          <w:rPr>
            <w:noProof/>
          </w:rPr>
          <w:fldChar w:fldCharType="separate"/>
        </w:r>
        <w:r>
          <w:rPr>
            <w:noProof/>
          </w:rPr>
          <w:t>B-4</w:t>
        </w:r>
        <w:r>
          <w:rPr>
            <w:noProof/>
          </w:rPr>
          <w:fldChar w:fldCharType="end"/>
        </w:r>
      </w:hyperlink>
    </w:p>
    <w:p w14:paraId="550374BE" w14:textId="77777777" w:rsidR="00676882" w:rsidRDefault="00676882" w:rsidP="00676882">
      <w:pPr>
        <w:pStyle w:val="TableofFigures"/>
        <w:rPr>
          <w:rFonts w:asciiTheme="minorHAnsi" w:eastAsiaTheme="minorEastAsia" w:hAnsiTheme="minorHAnsi" w:cstheme="minorBidi"/>
          <w:noProof/>
          <w:lang w:eastAsia="zh-CN"/>
        </w:rPr>
      </w:pPr>
      <w:hyperlink w:anchor="_Toc80719284" w:history="1">
        <w:r w:rsidRPr="00B438B3">
          <w:rPr>
            <w:rStyle w:val="Hyperlink"/>
            <w:b/>
            <w:noProof/>
          </w:rPr>
          <w:t>Figure B.3</w:t>
        </w:r>
        <w:r>
          <w:rPr>
            <w:rFonts w:asciiTheme="minorHAnsi" w:eastAsiaTheme="minorEastAsia" w:hAnsiTheme="minorHAnsi" w:cstheme="minorBidi"/>
            <w:noProof/>
            <w:lang w:eastAsia="zh-CN"/>
          </w:rPr>
          <w:tab/>
        </w:r>
        <w:r w:rsidRPr="00B438B3">
          <w:rPr>
            <w:rStyle w:val="Hyperlink"/>
            <w:noProof/>
          </w:rPr>
          <w:t>Wholesale electricity price projections, $ per MWh</w:t>
        </w:r>
        <w:r>
          <w:rPr>
            <w:noProof/>
          </w:rPr>
          <w:tab/>
        </w:r>
        <w:r>
          <w:rPr>
            <w:noProof/>
          </w:rPr>
          <w:fldChar w:fldCharType="begin"/>
        </w:r>
        <w:r>
          <w:rPr>
            <w:noProof/>
          </w:rPr>
          <w:instrText xml:space="preserve"> PAGEREF _Toc80719284 \h </w:instrText>
        </w:r>
        <w:r>
          <w:rPr>
            <w:noProof/>
          </w:rPr>
        </w:r>
        <w:r>
          <w:rPr>
            <w:noProof/>
          </w:rPr>
          <w:fldChar w:fldCharType="separate"/>
        </w:r>
        <w:r>
          <w:rPr>
            <w:noProof/>
          </w:rPr>
          <w:t>B-7</w:t>
        </w:r>
        <w:r>
          <w:rPr>
            <w:noProof/>
          </w:rPr>
          <w:fldChar w:fldCharType="end"/>
        </w:r>
      </w:hyperlink>
    </w:p>
    <w:p w14:paraId="00A274EB" w14:textId="77777777" w:rsidR="00676882" w:rsidRDefault="00676882" w:rsidP="00676882">
      <w:pPr>
        <w:pStyle w:val="TableofFigures"/>
        <w:rPr>
          <w:rFonts w:asciiTheme="minorHAnsi" w:eastAsiaTheme="minorEastAsia" w:hAnsiTheme="minorHAnsi" w:cstheme="minorBidi"/>
          <w:noProof/>
          <w:lang w:eastAsia="zh-CN"/>
        </w:rPr>
      </w:pPr>
      <w:hyperlink w:anchor="_Toc80719285" w:history="1">
        <w:r w:rsidRPr="00B438B3">
          <w:rPr>
            <w:rStyle w:val="Hyperlink"/>
            <w:b/>
            <w:noProof/>
          </w:rPr>
          <w:t>Figure B.4</w:t>
        </w:r>
        <w:r>
          <w:rPr>
            <w:rFonts w:asciiTheme="minorHAnsi" w:eastAsiaTheme="minorEastAsia" w:hAnsiTheme="minorHAnsi" w:cstheme="minorBidi"/>
            <w:noProof/>
            <w:lang w:eastAsia="zh-CN"/>
          </w:rPr>
          <w:tab/>
        </w:r>
        <w:r w:rsidRPr="00B438B3">
          <w:rPr>
            <w:rStyle w:val="Hyperlink"/>
            <w:noProof/>
          </w:rPr>
          <w:t>Wholesale gas price projections, $ per GJ</w:t>
        </w:r>
        <w:r>
          <w:rPr>
            <w:noProof/>
          </w:rPr>
          <w:tab/>
        </w:r>
        <w:r>
          <w:rPr>
            <w:noProof/>
          </w:rPr>
          <w:fldChar w:fldCharType="begin"/>
        </w:r>
        <w:r>
          <w:rPr>
            <w:noProof/>
          </w:rPr>
          <w:instrText xml:space="preserve"> PAGEREF _Toc80719285 \h </w:instrText>
        </w:r>
        <w:r>
          <w:rPr>
            <w:noProof/>
          </w:rPr>
        </w:r>
        <w:r>
          <w:rPr>
            <w:noProof/>
          </w:rPr>
          <w:fldChar w:fldCharType="separate"/>
        </w:r>
        <w:r>
          <w:rPr>
            <w:noProof/>
          </w:rPr>
          <w:t>B-7</w:t>
        </w:r>
        <w:r>
          <w:rPr>
            <w:noProof/>
          </w:rPr>
          <w:fldChar w:fldCharType="end"/>
        </w:r>
      </w:hyperlink>
    </w:p>
    <w:p w14:paraId="736C1151" w14:textId="77777777" w:rsidR="00676882" w:rsidRDefault="00676882" w:rsidP="00676882">
      <w:pPr>
        <w:pStyle w:val="TableofFigures"/>
        <w:rPr>
          <w:rFonts w:asciiTheme="minorHAnsi" w:eastAsiaTheme="minorEastAsia" w:hAnsiTheme="minorHAnsi" w:cstheme="minorBidi"/>
          <w:noProof/>
          <w:lang w:eastAsia="zh-CN"/>
        </w:rPr>
      </w:pPr>
      <w:hyperlink w:anchor="_Toc80719286" w:history="1">
        <w:r w:rsidRPr="00B438B3">
          <w:rPr>
            <w:rStyle w:val="Hyperlink"/>
            <w:b/>
            <w:noProof/>
          </w:rPr>
          <w:t>Figure B.5</w:t>
        </w:r>
        <w:r>
          <w:rPr>
            <w:rFonts w:asciiTheme="minorHAnsi" w:eastAsiaTheme="minorEastAsia" w:hAnsiTheme="minorHAnsi" w:cstheme="minorBidi"/>
            <w:noProof/>
            <w:lang w:eastAsia="zh-CN"/>
          </w:rPr>
          <w:tab/>
        </w:r>
        <w:r w:rsidRPr="00B438B3">
          <w:rPr>
            <w:rStyle w:val="Hyperlink"/>
            <w:noProof/>
          </w:rPr>
          <w:t>Retail electricity prices, $ per kWh</w:t>
        </w:r>
        <w:r>
          <w:rPr>
            <w:noProof/>
          </w:rPr>
          <w:tab/>
        </w:r>
        <w:r>
          <w:rPr>
            <w:noProof/>
          </w:rPr>
          <w:fldChar w:fldCharType="begin"/>
        </w:r>
        <w:r>
          <w:rPr>
            <w:noProof/>
          </w:rPr>
          <w:instrText xml:space="preserve"> PAGEREF _Toc80719286 \h </w:instrText>
        </w:r>
        <w:r>
          <w:rPr>
            <w:noProof/>
          </w:rPr>
        </w:r>
        <w:r>
          <w:rPr>
            <w:noProof/>
          </w:rPr>
          <w:fldChar w:fldCharType="separate"/>
        </w:r>
        <w:r>
          <w:rPr>
            <w:noProof/>
          </w:rPr>
          <w:t>B-8</w:t>
        </w:r>
        <w:r>
          <w:rPr>
            <w:noProof/>
          </w:rPr>
          <w:fldChar w:fldCharType="end"/>
        </w:r>
      </w:hyperlink>
    </w:p>
    <w:p w14:paraId="13E1483E" w14:textId="77777777" w:rsidR="00676882" w:rsidRDefault="00676882" w:rsidP="00676882">
      <w:pPr>
        <w:pStyle w:val="TableofFigures"/>
        <w:rPr>
          <w:rFonts w:asciiTheme="minorHAnsi" w:eastAsiaTheme="minorEastAsia" w:hAnsiTheme="minorHAnsi" w:cstheme="minorBidi"/>
          <w:noProof/>
          <w:lang w:eastAsia="zh-CN"/>
        </w:rPr>
      </w:pPr>
      <w:hyperlink w:anchor="_Toc80719287" w:history="1">
        <w:r w:rsidRPr="00B438B3">
          <w:rPr>
            <w:rStyle w:val="Hyperlink"/>
            <w:b/>
            <w:noProof/>
          </w:rPr>
          <w:t>Figure B.6</w:t>
        </w:r>
        <w:r>
          <w:rPr>
            <w:rFonts w:asciiTheme="minorHAnsi" w:eastAsiaTheme="minorEastAsia" w:hAnsiTheme="minorHAnsi" w:cstheme="minorBidi"/>
            <w:noProof/>
            <w:lang w:eastAsia="zh-CN"/>
          </w:rPr>
          <w:tab/>
        </w:r>
        <w:r w:rsidRPr="00B438B3">
          <w:rPr>
            <w:rStyle w:val="Hyperlink"/>
            <w:noProof/>
          </w:rPr>
          <w:t>Retail gas prices, cents per MJ</w:t>
        </w:r>
        <w:r>
          <w:rPr>
            <w:noProof/>
          </w:rPr>
          <w:tab/>
        </w:r>
        <w:r>
          <w:rPr>
            <w:noProof/>
          </w:rPr>
          <w:fldChar w:fldCharType="begin"/>
        </w:r>
        <w:r>
          <w:rPr>
            <w:noProof/>
          </w:rPr>
          <w:instrText xml:space="preserve"> PAGEREF _Toc80719287 \h </w:instrText>
        </w:r>
        <w:r>
          <w:rPr>
            <w:noProof/>
          </w:rPr>
        </w:r>
        <w:r>
          <w:rPr>
            <w:noProof/>
          </w:rPr>
          <w:fldChar w:fldCharType="separate"/>
        </w:r>
        <w:r>
          <w:rPr>
            <w:noProof/>
          </w:rPr>
          <w:t>B-8</w:t>
        </w:r>
        <w:r>
          <w:rPr>
            <w:noProof/>
          </w:rPr>
          <w:fldChar w:fldCharType="end"/>
        </w:r>
      </w:hyperlink>
    </w:p>
    <w:p w14:paraId="449D1C42" w14:textId="77777777" w:rsidR="00676882" w:rsidRDefault="00676882" w:rsidP="00676882">
      <w:pPr>
        <w:pStyle w:val="TableofFigures"/>
        <w:rPr>
          <w:rFonts w:asciiTheme="minorHAnsi" w:eastAsiaTheme="minorEastAsia" w:hAnsiTheme="minorHAnsi" w:cstheme="minorBidi"/>
          <w:noProof/>
          <w:lang w:eastAsia="zh-CN"/>
        </w:rPr>
      </w:pPr>
      <w:hyperlink w:anchor="_Toc80719288" w:history="1">
        <w:r w:rsidRPr="00B438B3">
          <w:rPr>
            <w:rStyle w:val="Hyperlink"/>
            <w:b/>
            <w:noProof/>
          </w:rPr>
          <w:t>Figure B.7</w:t>
        </w:r>
        <w:r>
          <w:rPr>
            <w:rFonts w:asciiTheme="minorHAnsi" w:eastAsiaTheme="minorEastAsia" w:hAnsiTheme="minorHAnsi" w:cstheme="minorBidi"/>
            <w:noProof/>
            <w:lang w:eastAsia="zh-CN"/>
          </w:rPr>
          <w:tab/>
        </w:r>
        <w:r w:rsidRPr="00B438B3">
          <w:rPr>
            <w:rStyle w:val="Hyperlink"/>
            <w:noProof/>
          </w:rPr>
          <w:t>Feed in tariff for PV exports to grid, cents per kWh</w:t>
        </w:r>
        <w:r>
          <w:rPr>
            <w:noProof/>
          </w:rPr>
          <w:tab/>
        </w:r>
        <w:r>
          <w:rPr>
            <w:noProof/>
          </w:rPr>
          <w:fldChar w:fldCharType="begin"/>
        </w:r>
        <w:r>
          <w:rPr>
            <w:noProof/>
          </w:rPr>
          <w:instrText xml:space="preserve"> PAGEREF _Toc80719288 \h </w:instrText>
        </w:r>
        <w:r>
          <w:rPr>
            <w:noProof/>
          </w:rPr>
        </w:r>
        <w:r>
          <w:rPr>
            <w:noProof/>
          </w:rPr>
          <w:fldChar w:fldCharType="separate"/>
        </w:r>
        <w:r>
          <w:rPr>
            <w:noProof/>
          </w:rPr>
          <w:t>B-9</w:t>
        </w:r>
        <w:r>
          <w:rPr>
            <w:noProof/>
          </w:rPr>
          <w:fldChar w:fldCharType="end"/>
        </w:r>
      </w:hyperlink>
    </w:p>
    <w:p w14:paraId="5A51F07C" w14:textId="77777777" w:rsidR="00676882" w:rsidRDefault="00676882" w:rsidP="00676882">
      <w:pPr>
        <w:pStyle w:val="TableofFigures"/>
        <w:rPr>
          <w:rFonts w:asciiTheme="minorHAnsi" w:eastAsiaTheme="minorEastAsia" w:hAnsiTheme="minorHAnsi" w:cstheme="minorBidi"/>
          <w:noProof/>
          <w:lang w:eastAsia="zh-CN"/>
        </w:rPr>
      </w:pPr>
      <w:hyperlink w:anchor="_Toc80719289" w:history="1">
        <w:r w:rsidRPr="00B438B3">
          <w:rPr>
            <w:rStyle w:val="Hyperlink"/>
            <w:b/>
            <w:noProof/>
          </w:rPr>
          <w:t>Figure B.8</w:t>
        </w:r>
        <w:r>
          <w:rPr>
            <w:rFonts w:asciiTheme="minorHAnsi" w:eastAsiaTheme="minorEastAsia" w:hAnsiTheme="minorHAnsi" w:cstheme="minorBidi"/>
            <w:noProof/>
            <w:lang w:eastAsia="zh-CN"/>
          </w:rPr>
          <w:tab/>
        </w:r>
        <w:r w:rsidRPr="00B438B3">
          <w:rPr>
            <w:rStyle w:val="Hyperlink"/>
            <w:noProof/>
          </w:rPr>
          <w:t>Comparison of electricity prices at wholesale and retail prices, $ per kWh</w:t>
        </w:r>
        <w:r>
          <w:rPr>
            <w:noProof/>
          </w:rPr>
          <w:tab/>
        </w:r>
        <w:r>
          <w:rPr>
            <w:noProof/>
          </w:rPr>
          <w:fldChar w:fldCharType="begin"/>
        </w:r>
        <w:r>
          <w:rPr>
            <w:noProof/>
          </w:rPr>
          <w:instrText xml:space="preserve"> PAGEREF _Toc80719289 \h </w:instrText>
        </w:r>
        <w:r>
          <w:rPr>
            <w:noProof/>
          </w:rPr>
        </w:r>
        <w:r>
          <w:rPr>
            <w:noProof/>
          </w:rPr>
          <w:fldChar w:fldCharType="separate"/>
        </w:r>
        <w:r>
          <w:rPr>
            <w:noProof/>
          </w:rPr>
          <w:t>B-9</w:t>
        </w:r>
        <w:r>
          <w:rPr>
            <w:noProof/>
          </w:rPr>
          <w:fldChar w:fldCharType="end"/>
        </w:r>
      </w:hyperlink>
    </w:p>
    <w:p w14:paraId="14839D17" w14:textId="77777777" w:rsidR="00676882" w:rsidRDefault="00676882" w:rsidP="00676882">
      <w:pPr>
        <w:pStyle w:val="TableofFigures"/>
        <w:rPr>
          <w:rFonts w:asciiTheme="minorHAnsi" w:eastAsiaTheme="minorEastAsia" w:hAnsiTheme="minorHAnsi" w:cstheme="minorBidi"/>
          <w:noProof/>
          <w:lang w:eastAsia="zh-CN"/>
        </w:rPr>
      </w:pPr>
      <w:hyperlink w:anchor="_Toc80719290" w:history="1">
        <w:r w:rsidRPr="00B438B3">
          <w:rPr>
            <w:rStyle w:val="Hyperlink"/>
            <w:b/>
            <w:noProof/>
          </w:rPr>
          <w:t>Figure B.9</w:t>
        </w:r>
        <w:r>
          <w:rPr>
            <w:rFonts w:asciiTheme="minorHAnsi" w:eastAsiaTheme="minorEastAsia" w:hAnsiTheme="minorHAnsi" w:cstheme="minorBidi"/>
            <w:noProof/>
            <w:lang w:eastAsia="zh-CN"/>
          </w:rPr>
          <w:tab/>
        </w:r>
        <w:r w:rsidRPr="00B438B3">
          <w:rPr>
            <w:rStyle w:val="Hyperlink"/>
            <w:noProof/>
          </w:rPr>
          <w:t>Comparison of gas prices at wholesale and retail prices, cents per MJ</w:t>
        </w:r>
        <w:r>
          <w:rPr>
            <w:noProof/>
          </w:rPr>
          <w:tab/>
        </w:r>
        <w:r>
          <w:rPr>
            <w:noProof/>
          </w:rPr>
          <w:fldChar w:fldCharType="begin"/>
        </w:r>
        <w:r>
          <w:rPr>
            <w:noProof/>
          </w:rPr>
          <w:instrText xml:space="preserve"> PAGEREF _Toc80719290 \h </w:instrText>
        </w:r>
        <w:r>
          <w:rPr>
            <w:noProof/>
          </w:rPr>
        </w:r>
        <w:r>
          <w:rPr>
            <w:noProof/>
          </w:rPr>
          <w:fldChar w:fldCharType="separate"/>
        </w:r>
        <w:r>
          <w:rPr>
            <w:noProof/>
          </w:rPr>
          <w:t>B-10</w:t>
        </w:r>
        <w:r>
          <w:rPr>
            <w:noProof/>
          </w:rPr>
          <w:fldChar w:fldCharType="end"/>
        </w:r>
      </w:hyperlink>
    </w:p>
    <w:p w14:paraId="182E3F3E" w14:textId="77777777" w:rsidR="00676882" w:rsidRDefault="00676882" w:rsidP="00676882">
      <w:pPr>
        <w:pStyle w:val="TableofFigures"/>
        <w:rPr>
          <w:rFonts w:asciiTheme="minorHAnsi" w:eastAsiaTheme="minorEastAsia" w:hAnsiTheme="minorHAnsi" w:cstheme="minorBidi"/>
          <w:noProof/>
          <w:lang w:eastAsia="zh-CN"/>
        </w:rPr>
      </w:pPr>
      <w:hyperlink w:anchor="_Toc80719291" w:history="1">
        <w:r w:rsidRPr="00B438B3">
          <w:rPr>
            <w:rStyle w:val="Hyperlink"/>
            <w:b/>
            <w:noProof/>
          </w:rPr>
          <w:t>Figure C.1</w:t>
        </w:r>
        <w:r>
          <w:rPr>
            <w:rFonts w:asciiTheme="minorHAnsi" w:eastAsiaTheme="minorEastAsia" w:hAnsiTheme="minorHAnsi" w:cstheme="minorBidi"/>
            <w:noProof/>
            <w:lang w:eastAsia="zh-CN"/>
          </w:rPr>
          <w:tab/>
        </w:r>
        <w:r w:rsidRPr="00B438B3">
          <w:rPr>
            <w:rStyle w:val="Hyperlink"/>
            <w:noProof/>
          </w:rPr>
          <w:t>Schematic of housing stock evaluation model</w:t>
        </w:r>
        <w:r>
          <w:rPr>
            <w:noProof/>
          </w:rPr>
          <w:tab/>
        </w:r>
        <w:r>
          <w:rPr>
            <w:noProof/>
          </w:rPr>
          <w:fldChar w:fldCharType="begin"/>
        </w:r>
        <w:r>
          <w:rPr>
            <w:noProof/>
          </w:rPr>
          <w:instrText xml:space="preserve"> PAGEREF _Toc80719291 \h </w:instrText>
        </w:r>
        <w:r>
          <w:rPr>
            <w:noProof/>
          </w:rPr>
        </w:r>
        <w:r>
          <w:rPr>
            <w:noProof/>
          </w:rPr>
          <w:fldChar w:fldCharType="separate"/>
        </w:r>
        <w:r>
          <w:rPr>
            <w:noProof/>
          </w:rPr>
          <w:t>C-1</w:t>
        </w:r>
        <w:r>
          <w:rPr>
            <w:noProof/>
          </w:rPr>
          <w:fldChar w:fldCharType="end"/>
        </w:r>
      </w:hyperlink>
    </w:p>
    <w:p w14:paraId="413CF6BB" w14:textId="77777777" w:rsidR="00676882" w:rsidRDefault="00676882" w:rsidP="00676882">
      <w:pPr>
        <w:pStyle w:val="TableofFigures"/>
        <w:rPr>
          <w:rFonts w:asciiTheme="minorHAnsi" w:eastAsiaTheme="minorEastAsia" w:hAnsiTheme="minorHAnsi" w:cstheme="minorBidi"/>
          <w:noProof/>
          <w:lang w:eastAsia="zh-CN"/>
        </w:rPr>
      </w:pPr>
      <w:hyperlink w:anchor="_Toc80719292" w:history="1">
        <w:r w:rsidRPr="00B438B3">
          <w:rPr>
            <w:rStyle w:val="Hyperlink"/>
            <w:b/>
            <w:noProof/>
          </w:rPr>
          <w:t>Figure C.2</w:t>
        </w:r>
        <w:r>
          <w:rPr>
            <w:rFonts w:asciiTheme="minorHAnsi" w:eastAsiaTheme="minorEastAsia" w:hAnsiTheme="minorHAnsi" w:cstheme="minorBidi"/>
            <w:noProof/>
            <w:lang w:eastAsia="zh-CN"/>
          </w:rPr>
          <w:tab/>
        </w:r>
        <w:r w:rsidRPr="00B438B3">
          <w:rPr>
            <w:rStyle w:val="Hyperlink"/>
            <w:noProof/>
          </w:rPr>
          <w:t>ACT Housing stock profile, 2020</w:t>
        </w:r>
        <w:r>
          <w:rPr>
            <w:noProof/>
          </w:rPr>
          <w:tab/>
        </w:r>
        <w:r>
          <w:rPr>
            <w:noProof/>
          </w:rPr>
          <w:fldChar w:fldCharType="begin"/>
        </w:r>
        <w:r>
          <w:rPr>
            <w:noProof/>
          </w:rPr>
          <w:instrText xml:space="preserve"> PAGEREF _Toc80719292 \h </w:instrText>
        </w:r>
        <w:r>
          <w:rPr>
            <w:noProof/>
          </w:rPr>
        </w:r>
        <w:r>
          <w:rPr>
            <w:noProof/>
          </w:rPr>
          <w:fldChar w:fldCharType="separate"/>
        </w:r>
        <w:r>
          <w:rPr>
            <w:noProof/>
          </w:rPr>
          <w:t>C-4</w:t>
        </w:r>
        <w:r>
          <w:rPr>
            <w:noProof/>
          </w:rPr>
          <w:fldChar w:fldCharType="end"/>
        </w:r>
      </w:hyperlink>
    </w:p>
    <w:p w14:paraId="5AD2292B" w14:textId="77777777" w:rsidR="00676882" w:rsidRDefault="00676882" w:rsidP="00676882">
      <w:pPr>
        <w:pStyle w:val="TableofFigures"/>
        <w:rPr>
          <w:rFonts w:asciiTheme="minorHAnsi" w:eastAsiaTheme="minorEastAsia" w:hAnsiTheme="minorHAnsi" w:cstheme="minorBidi"/>
          <w:noProof/>
          <w:lang w:eastAsia="zh-CN"/>
        </w:rPr>
      </w:pPr>
      <w:hyperlink w:anchor="_Toc80719293" w:history="1">
        <w:r w:rsidRPr="00B438B3">
          <w:rPr>
            <w:rStyle w:val="Hyperlink"/>
            <w:b/>
            <w:noProof/>
          </w:rPr>
          <w:t>Figure C.3</w:t>
        </w:r>
        <w:r>
          <w:rPr>
            <w:rFonts w:asciiTheme="minorHAnsi" w:eastAsiaTheme="minorEastAsia" w:hAnsiTheme="minorHAnsi" w:cstheme="minorBidi"/>
            <w:noProof/>
            <w:lang w:eastAsia="zh-CN"/>
          </w:rPr>
          <w:tab/>
        </w:r>
        <w:r w:rsidRPr="00B438B3">
          <w:rPr>
            <w:rStyle w:val="Hyperlink"/>
            <w:noProof/>
          </w:rPr>
          <w:t>Cost curve analysis for selected space conditioning equipment – central gas ducted</w:t>
        </w:r>
        <w:r>
          <w:rPr>
            <w:noProof/>
          </w:rPr>
          <w:tab/>
        </w:r>
        <w:r>
          <w:rPr>
            <w:noProof/>
          </w:rPr>
          <w:fldChar w:fldCharType="begin"/>
        </w:r>
        <w:r>
          <w:rPr>
            <w:noProof/>
          </w:rPr>
          <w:instrText xml:space="preserve"> PAGEREF _Toc80719293 \h </w:instrText>
        </w:r>
        <w:r>
          <w:rPr>
            <w:noProof/>
          </w:rPr>
        </w:r>
        <w:r>
          <w:rPr>
            <w:noProof/>
          </w:rPr>
          <w:fldChar w:fldCharType="separate"/>
        </w:r>
        <w:r>
          <w:rPr>
            <w:noProof/>
          </w:rPr>
          <w:t>C-11</w:t>
        </w:r>
        <w:r>
          <w:rPr>
            <w:noProof/>
          </w:rPr>
          <w:fldChar w:fldCharType="end"/>
        </w:r>
      </w:hyperlink>
    </w:p>
    <w:p w14:paraId="4B822A2A" w14:textId="77777777" w:rsidR="00676882" w:rsidRDefault="00676882" w:rsidP="00676882">
      <w:pPr>
        <w:pStyle w:val="TableofFigures"/>
        <w:rPr>
          <w:rFonts w:asciiTheme="minorHAnsi" w:eastAsiaTheme="minorEastAsia" w:hAnsiTheme="minorHAnsi" w:cstheme="minorBidi"/>
          <w:noProof/>
          <w:lang w:eastAsia="zh-CN"/>
        </w:rPr>
      </w:pPr>
      <w:hyperlink w:anchor="_Toc80719294" w:history="1">
        <w:r w:rsidRPr="00B438B3">
          <w:rPr>
            <w:rStyle w:val="Hyperlink"/>
            <w:b/>
            <w:noProof/>
          </w:rPr>
          <w:t>Figure C.4</w:t>
        </w:r>
        <w:r>
          <w:rPr>
            <w:rFonts w:asciiTheme="minorHAnsi" w:eastAsiaTheme="minorEastAsia" w:hAnsiTheme="minorHAnsi" w:cstheme="minorBidi"/>
            <w:noProof/>
            <w:lang w:eastAsia="zh-CN"/>
          </w:rPr>
          <w:tab/>
        </w:r>
        <w:r w:rsidRPr="00B438B3">
          <w:rPr>
            <w:rStyle w:val="Hyperlink"/>
            <w:noProof/>
          </w:rPr>
          <w:t>Cost curve analysis for selected space conditioning equipment – central ducted reverse cycle</w:t>
        </w:r>
        <w:r>
          <w:rPr>
            <w:noProof/>
          </w:rPr>
          <w:tab/>
        </w:r>
        <w:r>
          <w:rPr>
            <w:noProof/>
          </w:rPr>
          <w:fldChar w:fldCharType="begin"/>
        </w:r>
        <w:r>
          <w:rPr>
            <w:noProof/>
          </w:rPr>
          <w:instrText xml:space="preserve"> PAGEREF _Toc80719294 \h </w:instrText>
        </w:r>
        <w:r>
          <w:rPr>
            <w:noProof/>
          </w:rPr>
        </w:r>
        <w:r>
          <w:rPr>
            <w:noProof/>
          </w:rPr>
          <w:fldChar w:fldCharType="separate"/>
        </w:r>
        <w:r>
          <w:rPr>
            <w:noProof/>
          </w:rPr>
          <w:t>C-11</w:t>
        </w:r>
        <w:r>
          <w:rPr>
            <w:noProof/>
          </w:rPr>
          <w:fldChar w:fldCharType="end"/>
        </w:r>
      </w:hyperlink>
    </w:p>
    <w:p w14:paraId="5B987B67" w14:textId="77777777" w:rsidR="00676882" w:rsidRDefault="00676882" w:rsidP="00676882">
      <w:pPr>
        <w:pStyle w:val="TableofFigures"/>
        <w:rPr>
          <w:rFonts w:asciiTheme="minorHAnsi" w:eastAsiaTheme="minorEastAsia" w:hAnsiTheme="minorHAnsi" w:cstheme="minorBidi"/>
          <w:noProof/>
          <w:lang w:eastAsia="zh-CN"/>
        </w:rPr>
      </w:pPr>
      <w:hyperlink w:anchor="_Toc80719295" w:history="1">
        <w:r w:rsidRPr="00B438B3">
          <w:rPr>
            <w:rStyle w:val="Hyperlink"/>
            <w:b/>
            <w:noProof/>
          </w:rPr>
          <w:t>Figure C.5</w:t>
        </w:r>
        <w:r>
          <w:rPr>
            <w:rFonts w:asciiTheme="minorHAnsi" w:eastAsiaTheme="minorEastAsia" w:hAnsiTheme="minorHAnsi" w:cstheme="minorBidi"/>
            <w:noProof/>
            <w:lang w:eastAsia="zh-CN"/>
          </w:rPr>
          <w:tab/>
        </w:r>
        <w:r w:rsidRPr="00B438B3">
          <w:rPr>
            <w:rStyle w:val="Hyperlink"/>
            <w:noProof/>
          </w:rPr>
          <w:t>Cost curve analysis for selected space conditioning equipment – room gas</w:t>
        </w:r>
        <w:r>
          <w:rPr>
            <w:noProof/>
          </w:rPr>
          <w:tab/>
        </w:r>
        <w:r>
          <w:rPr>
            <w:noProof/>
          </w:rPr>
          <w:fldChar w:fldCharType="begin"/>
        </w:r>
        <w:r>
          <w:rPr>
            <w:noProof/>
          </w:rPr>
          <w:instrText xml:space="preserve"> PAGEREF _Toc80719295 \h </w:instrText>
        </w:r>
        <w:r>
          <w:rPr>
            <w:noProof/>
          </w:rPr>
        </w:r>
        <w:r>
          <w:rPr>
            <w:noProof/>
          </w:rPr>
          <w:fldChar w:fldCharType="separate"/>
        </w:r>
        <w:r>
          <w:rPr>
            <w:noProof/>
          </w:rPr>
          <w:t>C-12</w:t>
        </w:r>
        <w:r>
          <w:rPr>
            <w:noProof/>
          </w:rPr>
          <w:fldChar w:fldCharType="end"/>
        </w:r>
      </w:hyperlink>
    </w:p>
    <w:p w14:paraId="03C2F8B6" w14:textId="77777777" w:rsidR="00676882" w:rsidRDefault="00676882" w:rsidP="00676882">
      <w:pPr>
        <w:pStyle w:val="TableofFigures"/>
        <w:rPr>
          <w:rFonts w:asciiTheme="minorHAnsi" w:eastAsiaTheme="minorEastAsia" w:hAnsiTheme="minorHAnsi" w:cstheme="minorBidi"/>
          <w:noProof/>
          <w:lang w:eastAsia="zh-CN"/>
        </w:rPr>
      </w:pPr>
      <w:hyperlink w:anchor="_Toc80719296" w:history="1">
        <w:r w:rsidRPr="00B438B3">
          <w:rPr>
            <w:rStyle w:val="Hyperlink"/>
            <w:b/>
            <w:noProof/>
          </w:rPr>
          <w:t>Figure C.6</w:t>
        </w:r>
        <w:r>
          <w:rPr>
            <w:rFonts w:asciiTheme="minorHAnsi" w:eastAsiaTheme="minorEastAsia" w:hAnsiTheme="minorHAnsi" w:cstheme="minorBidi"/>
            <w:noProof/>
            <w:lang w:eastAsia="zh-CN"/>
          </w:rPr>
          <w:tab/>
        </w:r>
        <w:r w:rsidRPr="00B438B3">
          <w:rPr>
            <w:rStyle w:val="Hyperlink"/>
            <w:noProof/>
          </w:rPr>
          <w:t>Cost curve analysis for selected space conditioning equipment</w:t>
        </w:r>
        <w:r>
          <w:rPr>
            <w:noProof/>
          </w:rPr>
          <w:tab/>
        </w:r>
        <w:r>
          <w:rPr>
            <w:noProof/>
          </w:rPr>
          <w:fldChar w:fldCharType="begin"/>
        </w:r>
        <w:r>
          <w:rPr>
            <w:noProof/>
          </w:rPr>
          <w:instrText xml:space="preserve"> PAGEREF _Toc80719296 \h </w:instrText>
        </w:r>
        <w:r>
          <w:rPr>
            <w:noProof/>
          </w:rPr>
        </w:r>
        <w:r>
          <w:rPr>
            <w:noProof/>
          </w:rPr>
          <w:fldChar w:fldCharType="separate"/>
        </w:r>
        <w:r>
          <w:rPr>
            <w:noProof/>
          </w:rPr>
          <w:t>C-12</w:t>
        </w:r>
        <w:r>
          <w:rPr>
            <w:noProof/>
          </w:rPr>
          <w:fldChar w:fldCharType="end"/>
        </w:r>
      </w:hyperlink>
    </w:p>
    <w:p w14:paraId="69CC0CDF" w14:textId="77777777" w:rsidR="00676882" w:rsidRDefault="00676882" w:rsidP="00676882">
      <w:pPr>
        <w:pStyle w:val="TableofFigures"/>
        <w:rPr>
          <w:rFonts w:asciiTheme="minorHAnsi" w:eastAsiaTheme="minorEastAsia" w:hAnsiTheme="minorHAnsi" w:cstheme="minorBidi"/>
          <w:noProof/>
          <w:lang w:eastAsia="zh-CN"/>
        </w:rPr>
      </w:pPr>
      <w:hyperlink w:anchor="_Toc80719297" w:history="1">
        <w:r w:rsidRPr="00B438B3">
          <w:rPr>
            <w:rStyle w:val="Hyperlink"/>
            <w:b/>
            <w:noProof/>
          </w:rPr>
          <w:t>Figure C.7</w:t>
        </w:r>
        <w:r>
          <w:rPr>
            <w:rFonts w:asciiTheme="minorHAnsi" w:eastAsiaTheme="minorEastAsia" w:hAnsiTheme="minorHAnsi" w:cstheme="minorBidi"/>
            <w:noProof/>
            <w:lang w:eastAsia="zh-CN"/>
          </w:rPr>
          <w:tab/>
        </w:r>
        <w:r w:rsidRPr="00B438B3">
          <w:rPr>
            <w:rStyle w:val="Hyperlink"/>
            <w:noProof/>
          </w:rPr>
          <w:t>Distribution of costs to upgrade to 2 stars</w:t>
        </w:r>
        <w:r>
          <w:rPr>
            <w:noProof/>
          </w:rPr>
          <w:tab/>
        </w:r>
        <w:r>
          <w:rPr>
            <w:noProof/>
          </w:rPr>
          <w:fldChar w:fldCharType="begin"/>
        </w:r>
        <w:r>
          <w:rPr>
            <w:noProof/>
          </w:rPr>
          <w:instrText xml:space="preserve"> PAGEREF _Toc80719297 \h </w:instrText>
        </w:r>
        <w:r>
          <w:rPr>
            <w:noProof/>
          </w:rPr>
        </w:r>
        <w:r>
          <w:rPr>
            <w:noProof/>
          </w:rPr>
          <w:fldChar w:fldCharType="separate"/>
        </w:r>
        <w:r>
          <w:rPr>
            <w:noProof/>
          </w:rPr>
          <w:t>C-16</w:t>
        </w:r>
        <w:r>
          <w:rPr>
            <w:noProof/>
          </w:rPr>
          <w:fldChar w:fldCharType="end"/>
        </w:r>
      </w:hyperlink>
    </w:p>
    <w:p w14:paraId="5416AE0A" w14:textId="77777777" w:rsidR="00676882" w:rsidRDefault="00676882" w:rsidP="00676882">
      <w:pPr>
        <w:pStyle w:val="TableofFigures"/>
        <w:rPr>
          <w:rFonts w:asciiTheme="minorHAnsi" w:eastAsiaTheme="minorEastAsia" w:hAnsiTheme="minorHAnsi" w:cstheme="minorBidi"/>
          <w:noProof/>
          <w:lang w:eastAsia="zh-CN"/>
        </w:rPr>
      </w:pPr>
      <w:hyperlink w:anchor="_Toc80719298" w:history="1">
        <w:r w:rsidRPr="00B438B3">
          <w:rPr>
            <w:rStyle w:val="Hyperlink"/>
            <w:b/>
            <w:noProof/>
          </w:rPr>
          <w:t>Figure C.8</w:t>
        </w:r>
        <w:r>
          <w:rPr>
            <w:rFonts w:asciiTheme="minorHAnsi" w:eastAsiaTheme="minorEastAsia" w:hAnsiTheme="minorHAnsi" w:cstheme="minorBidi"/>
            <w:noProof/>
            <w:lang w:eastAsia="zh-CN"/>
          </w:rPr>
          <w:tab/>
        </w:r>
        <w:r w:rsidRPr="00B438B3">
          <w:rPr>
            <w:rStyle w:val="Hyperlink"/>
            <w:noProof/>
          </w:rPr>
          <w:t>Distribution of costs to upgrade to 3 stars</w:t>
        </w:r>
        <w:r>
          <w:rPr>
            <w:noProof/>
          </w:rPr>
          <w:tab/>
        </w:r>
        <w:r>
          <w:rPr>
            <w:noProof/>
          </w:rPr>
          <w:fldChar w:fldCharType="begin"/>
        </w:r>
        <w:r>
          <w:rPr>
            <w:noProof/>
          </w:rPr>
          <w:instrText xml:space="preserve"> PAGEREF _Toc80719298 \h </w:instrText>
        </w:r>
        <w:r>
          <w:rPr>
            <w:noProof/>
          </w:rPr>
        </w:r>
        <w:r>
          <w:rPr>
            <w:noProof/>
          </w:rPr>
          <w:fldChar w:fldCharType="separate"/>
        </w:r>
        <w:r>
          <w:rPr>
            <w:noProof/>
          </w:rPr>
          <w:t>C-16</w:t>
        </w:r>
        <w:r>
          <w:rPr>
            <w:noProof/>
          </w:rPr>
          <w:fldChar w:fldCharType="end"/>
        </w:r>
      </w:hyperlink>
    </w:p>
    <w:p w14:paraId="051F861C" w14:textId="77777777" w:rsidR="00676882" w:rsidRDefault="00676882" w:rsidP="00676882">
      <w:pPr>
        <w:pStyle w:val="TableofFigures"/>
        <w:rPr>
          <w:rFonts w:asciiTheme="minorHAnsi" w:eastAsiaTheme="minorEastAsia" w:hAnsiTheme="minorHAnsi" w:cstheme="minorBidi"/>
          <w:noProof/>
          <w:lang w:eastAsia="zh-CN"/>
        </w:rPr>
      </w:pPr>
      <w:hyperlink w:anchor="_Toc80719299" w:history="1">
        <w:r w:rsidRPr="00B438B3">
          <w:rPr>
            <w:rStyle w:val="Hyperlink"/>
            <w:b/>
            <w:noProof/>
          </w:rPr>
          <w:t>Figure D.1</w:t>
        </w:r>
        <w:r>
          <w:rPr>
            <w:rFonts w:asciiTheme="minorHAnsi" w:eastAsiaTheme="minorEastAsia" w:hAnsiTheme="minorHAnsi" w:cstheme="minorBidi"/>
            <w:noProof/>
            <w:lang w:eastAsia="zh-CN"/>
          </w:rPr>
          <w:tab/>
        </w:r>
        <w:r w:rsidRPr="00B438B3">
          <w:rPr>
            <w:rStyle w:val="Hyperlink"/>
            <w:noProof/>
          </w:rPr>
          <w:t>PowerMark model structure</w:t>
        </w:r>
        <w:r>
          <w:rPr>
            <w:noProof/>
          </w:rPr>
          <w:tab/>
        </w:r>
        <w:r>
          <w:rPr>
            <w:noProof/>
          </w:rPr>
          <w:fldChar w:fldCharType="begin"/>
        </w:r>
        <w:r>
          <w:rPr>
            <w:noProof/>
          </w:rPr>
          <w:instrText xml:space="preserve"> PAGEREF _Toc80719299 \h </w:instrText>
        </w:r>
        <w:r>
          <w:rPr>
            <w:noProof/>
          </w:rPr>
        </w:r>
        <w:r>
          <w:rPr>
            <w:noProof/>
          </w:rPr>
          <w:fldChar w:fldCharType="separate"/>
        </w:r>
        <w:r>
          <w:rPr>
            <w:noProof/>
          </w:rPr>
          <w:t>D-2</w:t>
        </w:r>
        <w:r>
          <w:rPr>
            <w:noProof/>
          </w:rPr>
          <w:fldChar w:fldCharType="end"/>
        </w:r>
      </w:hyperlink>
    </w:p>
    <w:p w14:paraId="256896CC" w14:textId="77777777" w:rsidR="00676882" w:rsidRDefault="00676882" w:rsidP="00676882">
      <w:pPr>
        <w:pStyle w:val="TableofFigures"/>
        <w:rPr>
          <w:rFonts w:asciiTheme="minorHAnsi" w:eastAsiaTheme="minorEastAsia" w:hAnsiTheme="minorHAnsi" w:cstheme="minorBidi"/>
          <w:noProof/>
          <w:lang w:eastAsia="zh-CN"/>
        </w:rPr>
      </w:pPr>
      <w:hyperlink w:anchor="_Toc80719300" w:history="1">
        <w:r w:rsidRPr="00B438B3">
          <w:rPr>
            <w:rStyle w:val="Hyperlink"/>
            <w:b/>
            <w:noProof/>
          </w:rPr>
          <w:t>Figure D.2</w:t>
        </w:r>
        <w:r>
          <w:rPr>
            <w:rFonts w:asciiTheme="minorHAnsi" w:eastAsiaTheme="minorEastAsia" w:hAnsiTheme="minorHAnsi" w:cstheme="minorBidi"/>
            <w:noProof/>
            <w:lang w:eastAsia="zh-CN"/>
          </w:rPr>
          <w:tab/>
        </w:r>
        <w:r w:rsidRPr="00B438B3">
          <w:rPr>
            <w:rStyle w:val="Hyperlink"/>
            <w:noProof/>
          </w:rPr>
          <w:t>Simplified example of market equilibrium and settlement process</w:t>
        </w:r>
        <w:r>
          <w:rPr>
            <w:noProof/>
          </w:rPr>
          <w:tab/>
        </w:r>
        <w:r>
          <w:rPr>
            <w:noProof/>
          </w:rPr>
          <w:fldChar w:fldCharType="begin"/>
        </w:r>
        <w:r>
          <w:rPr>
            <w:noProof/>
          </w:rPr>
          <w:instrText xml:space="preserve"> PAGEREF _Toc80719300 \h </w:instrText>
        </w:r>
        <w:r>
          <w:rPr>
            <w:noProof/>
          </w:rPr>
        </w:r>
        <w:r>
          <w:rPr>
            <w:noProof/>
          </w:rPr>
          <w:fldChar w:fldCharType="separate"/>
        </w:r>
        <w:r>
          <w:rPr>
            <w:noProof/>
          </w:rPr>
          <w:t>D-4</w:t>
        </w:r>
        <w:r>
          <w:rPr>
            <w:noProof/>
          </w:rPr>
          <w:fldChar w:fldCharType="end"/>
        </w:r>
      </w:hyperlink>
    </w:p>
    <w:p w14:paraId="386DD38C" w14:textId="77777777" w:rsidR="00676882" w:rsidRDefault="00676882" w:rsidP="00676882">
      <w:pPr>
        <w:pStyle w:val="TableofFigures"/>
        <w:rPr>
          <w:rFonts w:asciiTheme="minorHAnsi" w:eastAsiaTheme="minorEastAsia" w:hAnsiTheme="minorHAnsi" w:cstheme="minorBidi"/>
          <w:noProof/>
          <w:lang w:eastAsia="zh-CN"/>
        </w:rPr>
      </w:pPr>
      <w:hyperlink w:anchor="_Toc80719301" w:history="1">
        <w:r w:rsidRPr="00B438B3">
          <w:rPr>
            <w:rStyle w:val="Hyperlink"/>
            <w:b/>
            <w:noProof/>
          </w:rPr>
          <w:t>Figure E.1</w:t>
        </w:r>
        <w:r>
          <w:rPr>
            <w:rFonts w:asciiTheme="minorHAnsi" w:eastAsiaTheme="minorEastAsia" w:hAnsiTheme="minorHAnsi" w:cstheme="minorBidi"/>
            <w:noProof/>
            <w:lang w:eastAsia="zh-CN"/>
          </w:rPr>
          <w:tab/>
        </w:r>
        <w:r w:rsidRPr="00B438B3">
          <w:rPr>
            <w:rStyle w:val="Hyperlink"/>
            <w:noProof/>
          </w:rPr>
          <w:t>External stakeholders</w:t>
        </w:r>
        <w:r>
          <w:rPr>
            <w:noProof/>
          </w:rPr>
          <w:tab/>
        </w:r>
        <w:r>
          <w:rPr>
            <w:noProof/>
          </w:rPr>
          <w:fldChar w:fldCharType="begin"/>
        </w:r>
        <w:r>
          <w:rPr>
            <w:noProof/>
          </w:rPr>
          <w:instrText xml:space="preserve"> PAGEREF _Toc80719301 \h </w:instrText>
        </w:r>
        <w:r>
          <w:rPr>
            <w:noProof/>
          </w:rPr>
        </w:r>
        <w:r>
          <w:rPr>
            <w:noProof/>
          </w:rPr>
          <w:fldChar w:fldCharType="separate"/>
        </w:r>
        <w:r>
          <w:rPr>
            <w:noProof/>
          </w:rPr>
          <w:t>E-1</w:t>
        </w:r>
        <w:r>
          <w:rPr>
            <w:noProof/>
          </w:rPr>
          <w:fldChar w:fldCharType="end"/>
        </w:r>
      </w:hyperlink>
    </w:p>
    <w:p w14:paraId="6859679E" w14:textId="77777777" w:rsidR="00676882" w:rsidRDefault="00676882" w:rsidP="00676882">
      <w:pPr>
        <w:pStyle w:val="TableofFigures"/>
        <w:rPr>
          <w:rFonts w:asciiTheme="minorHAnsi" w:eastAsiaTheme="minorEastAsia" w:hAnsiTheme="minorHAnsi" w:cstheme="minorBidi"/>
          <w:noProof/>
          <w:lang w:eastAsia="zh-CN"/>
        </w:rPr>
      </w:pPr>
      <w:hyperlink w:anchor="_Toc80719302" w:history="1">
        <w:r w:rsidRPr="00B438B3">
          <w:rPr>
            <w:rStyle w:val="Hyperlink"/>
            <w:b/>
            <w:noProof/>
          </w:rPr>
          <w:t>Figure F.1</w:t>
        </w:r>
        <w:r>
          <w:rPr>
            <w:rFonts w:asciiTheme="minorHAnsi" w:eastAsiaTheme="minorEastAsia" w:hAnsiTheme="minorHAnsi" w:cstheme="minorBidi"/>
            <w:noProof/>
            <w:lang w:eastAsia="zh-CN"/>
          </w:rPr>
          <w:tab/>
        </w:r>
        <w:r w:rsidRPr="00B438B3">
          <w:rPr>
            <w:rStyle w:val="Hyperlink"/>
            <w:noProof/>
          </w:rPr>
          <w:t>Responses by participant group</w:t>
        </w:r>
        <w:r>
          <w:rPr>
            <w:noProof/>
          </w:rPr>
          <w:tab/>
        </w:r>
        <w:r>
          <w:rPr>
            <w:noProof/>
          </w:rPr>
          <w:fldChar w:fldCharType="begin"/>
        </w:r>
        <w:r>
          <w:rPr>
            <w:noProof/>
          </w:rPr>
          <w:instrText xml:space="preserve"> PAGEREF _Toc80719302 \h </w:instrText>
        </w:r>
        <w:r>
          <w:rPr>
            <w:noProof/>
          </w:rPr>
        </w:r>
        <w:r>
          <w:rPr>
            <w:noProof/>
          </w:rPr>
          <w:fldChar w:fldCharType="separate"/>
        </w:r>
        <w:r>
          <w:rPr>
            <w:noProof/>
          </w:rPr>
          <w:t>F-2</w:t>
        </w:r>
        <w:r>
          <w:rPr>
            <w:noProof/>
          </w:rPr>
          <w:fldChar w:fldCharType="end"/>
        </w:r>
      </w:hyperlink>
    </w:p>
    <w:p w14:paraId="48E8F65C" w14:textId="77777777" w:rsidR="00676882" w:rsidRDefault="00676882" w:rsidP="00676882">
      <w:pPr>
        <w:pStyle w:val="TableofFigures"/>
        <w:rPr>
          <w:rFonts w:asciiTheme="minorHAnsi" w:eastAsiaTheme="minorEastAsia" w:hAnsiTheme="minorHAnsi" w:cstheme="minorBidi"/>
          <w:noProof/>
          <w:lang w:eastAsia="zh-CN"/>
        </w:rPr>
      </w:pPr>
      <w:hyperlink w:anchor="_Toc80719303" w:history="1">
        <w:r w:rsidRPr="00B438B3">
          <w:rPr>
            <w:rStyle w:val="Hyperlink"/>
            <w:b/>
            <w:noProof/>
          </w:rPr>
          <w:t>Figure F.2</w:t>
        </w:r>
        <w:r>
          <w:rPr>
            <w:rFonts w:asciiTheme="minorHAnsi" w:eastAsiaTheme="minorEastAsia" w:hAnsiTheme="minorHAnsi" w:cstheme="minorBidi"/>
            <w:noProof/>
            <w:lang w:eastAsia="zh-CN"/>
          </w:rPr>
          <w:tab/>
        </w:r>
        <w:r w:rsidRPr="00B438B3">
          <w:rPr>
            <w:rStyle w:val="Hyperlink"/>
            <w:noProof/>
          </w:rPr>
          <w:t>Perceived responsibility for energy efficiency of rental properties, by respondent groups</w:t>
        </w:r>
        <w:r>
          <w:rPr>
            <w:noProof/>
          </w:rPr>
          <w:tab/>
        </w:r>
        <w:r>
          <w:rPr>
            <w:noProof/>
          </w:rPr>
          <w:fldChar w:fldCharType="begin"/>
        </w:r>
        <w:r>
          <w:rPr>
            <w:noProof/>
          </w:rPr>
          <w:instrText xml:space="preserve"> PAGEREF _Toc80719303 \h </w:instrText>
        </w:r>
        <w:r>
          <w:rPr>
            <w:noProof/>
          </w:rPr>
        </w:r>
        <w:r>
          <w:rPr>
            <w:noProof/>
          </w:rPr>
          <w:fldChar w:fldCharType="separate"/>
        </w:r>
        <w:r>
          <w:rPr>
            <w:noProof/>
          </w:rPr>
          <w:t>F-3</w:t>
        </w:r>
        <w:r>
          <w:rPr>
            <w:noProof/>
          </w:rPr>
          <w:fldChar w:fldCharType="end"/>
        </w:r>
      </w:hyperlink>
    </w:p>
    <w:p w14:paraId="2C3FF8B8" w14:textId="77777777" w:rsidR="00676882" w:rsidRDefault="00676882" w:rsidP="00676882">
      <w:pPr>
        <w:pStyle w:val="TableofFigures"/>
        <w:rPr>
          <w:rFonts w:asciiTheme="minorHAnsi" w:eastAsiaTheme="minorEastAsia" w:hAnsiTheme="minorHAnsi" w:cstheme="minorBidi"/>
          <w:noProof/>
          <w:lang w:eastAsia="zh-CN"/>
        </w:rPr>
      </w:pPr>
      <w:hyperlink w:anchor="_Toc80719304" w:history="1">
        <w:r w:rsidRPr="00B438B3">
          <w:rPr>
            <w:rStyle w:val="Hyperlink"/>
            <w:b/>
            <w:noProof/>
          </w:rPr>
          <w:t>Figure F.3</w:t>
        </w:r>
        <w:r>
          <w:rPr>
            <w:rFonts w:asciiTheme="minorHAnsi" w:eastAsiaTheme="minorEastAsia" w:hAnsiTheme="minorHAnsi" w:cstheme="minorBidi"/>
            <w:noProof/>
            <w:lang w:eastAsia="zh-CN"/>
          </w:rPr>
          <w:tab/>
        </w:r>
        <w:r w:rsidRPr="00B438B3">
          <w:rPr>
            <w:rStyle w:val="Hyperlink"/>
            <w:noProof/>
          </w:rPr>
          <w:t>Perceived value of energy efficiency investments in rental properties</w:t>
        </w:r>
        <w:r>
          <w:rPr>
            <w:noProof/>
          </w:rPr>
          <w:tab/>
        </w:r>
        <w:r>
          <w:rPr>
            <w:noProof/>
          </w:rPr>
          <w:fldChar w:fldCharType="begin"/>
        </w:r>
        <w:r>
          <w:rPr>
            <w:noProof/>
          </w:rPr>
          <w:instrText xml:space="preserve"> PAGEREF _Toc80719304 \h </w:instrText>
        </w:r>
        <w:r>
          <w:rPr>
            <w:noProof/>
          </w:rPr>
        </w:r>
        <w:r>
          <w:rPr>
            <w:noProof/>
          </w:rPr>
          <w:fldChar w:fldCharType="separate"/>
        </w:r>
        <w:r>
          <w:rPr>
            <w:noProof/>
          </w:rPr>
          <w:t>F-3</w:t>
        </w:r>
        <w:r>
          <w:rPr>
            <w:noProof/>
          </w:rPr>
          <w:fldChar w:fldCharType="end"/>
        </w:r>
      </w:hyperlink>
    </w:p>
    <w:p w14:paraId="2D3587C2" w14:textId="77777777" w:rsidR="00676882" w:rsidRDefault="00676882" w:rsidP="00676882">
      <w:pPr>
        <w:pStyle w:val="TableofFigures"/>
        <w:rPr>
          <w:rFonts w:asciiTheme="minorHAnsi" w:eastAsiaTheme="minorEastAsia" w:hAnsiTheme="minorHAnsi" w:cstheme="minorBidi"/>
          <w:noProof/>
          <w:lang w:eastAsia="zh-CN"/>
        </w:rPr>
      </w:pPr>
      <w:hyperlink w:anchor="_Toc80719305" w:history="1">
        <w:r w:rsidRPr="00B438B3">
          <w:rPr>
            <w:rStyle w:val="Hyperlink"/>
            <w:b/>
            <w:noProof/>
          </w:rPr>
          <w:t>Figure F.4</w:t>
        </w:r>
        <w:r>
          <w:rPr>
            <w:rFonts w:asciiTheme="minorHAnsi" w:eastAsiaTheme="minorEastAsia" w:hAnsiTheme="minorHAnsi" w:cstheme="minorBidi"/>
            <w:noProof/>
            <w:lang w:eastAsia="zh-CN"/>
          </w:rPr>
          <w:tab/>
        </w:r>
        <w:r w:rsidRPr="00B438B3">
          <w:rPr>
            <w:rStyle w:val="Hyperlink"/>
            <w:noProof/>
          </w:rPr>
          <w:t>Preferred standard by respondent group</w:t>
        </w:r>
        <w:r>
          <w:rPr>
            <w:noProof/>
          </w:rPr>
          <w:tab/>
        </w:r>
        <w:r>
          <w:rPr>
            <w:noProof/>
          </w:rPr>
          <w:fldChar w:fldCharType="begin"/>
        </w:r>
        <w:r>
          <w:rPr>
            <w:noProof/>
          </w:rPr>
          <w:instrText xml:space="preserve"> PAGEREF _Toc80719305 \h </w:instrText>
        </w:r>
        <w:r>
          <w:rPr>
            <w:noProof/>
          </w:rPr>
        </w:r>
        <w:r>
          <w:rPr>
            <w:noProof/>
          </w:rPr>
          <w:fldChar w:fldCharType="separate"/>
        </w:r>
        <w:r>
          <w:rPr>
            <w:noProof/>
          </w:rPr>
          <w:t>F-4</w:t>
        </w:r>
        <w:r>
          <w:rPr>
            <w:noProof/>
          </w:rPr>
          <w:fldChar w:fldCharType="end"/>
        </w:r>
      </w:hyperlink>
    </w:p>
    <w:p w14:paraId="79A5D9F1" w14:textId="77777777" w:rsidR="00676882" w:rsidRDefault="00676882" w:rsidP="00676882">
      <w:pPr>
        <w:pStyle w:val="TableofFigures"/>
        <w:rPr>
          <w:rFonts w:asciiTheme="minorHAnsi" w:eastAsiaTheme="minorEastAsia" w:hAnsiTheme="minorHAnsi" w:cstheme="minorBidi"/>
          <w:noProof/>
          <w:lang w:eastAsia="zh-CN"/>
        </w:rPr>
      </w:pPr>
      <w:hyperlink w:anchor="_Toc80719306" w:history="1">
        <w:r w:rsidRPr="00B438B3">
          <w:rPr>
            <w:rStyle w:val="Hyperlink"/>
            <w:b/>
            <w:noProof/>
          </w:rPr>
          <w:t>Figure F.5</w:t>
        </w:r>
        <w:r>
          <w:rPr>
            <w:rFonts w:asciiTheme="minorHAnsi" w:eastAsiaTheme="minorEastAsia" w:hAnsiTheme="minorHAnsi" w:cstheme="minorBidi"/>
            <w:noProof/>
            <w:lang w:eastAsia="zh-CN"/>
          </w:rPr>
          <w:tab/>
        </w:r>
        <w:r w:rsidRPr="00B438B3">
          <w:rPr>
            <w:rStyle w:val="Hyperlink"/>
            <w:noProof/>
          </w:rPr>
          <w:t>Support for the introduction of a roof insulation minimum standard in rental properties</w:t>
        </w:r>
        <w:r>
          <w:rPr>
            <w:noProof/>
          </w:rPr>
          <w:tab/>
        </w:r>
        <w:r>
          <w:rPr>
            <w:noProof/>
          </w:rPr>
          <w:fldChar w:fldCharType="begin"/>
        </w:r>
        <w:r>
          <w:rPr>
            <w:noProof/>
          </w:rPr>
          <w:instrText xml:space="preserve"> PAGEREF _Toc80719306 \h </w:instrText>
        </w:r>
        <w:r>
          <w:rPr>
            <w:noProof/>
          </w:rPr>
        </w:r>
        <w:r>
          <w:rPr>
            <w:noProof/>
          </w:rPr>
          <w:fldChar w:fldCharType="separate"/>
        </w:r>
        <w:r>
          <w:rPr>
            <w:noProof/>
          </w:rPr>
          <w:t>F-5</w:t>
        </w:r>
        <w:r>
          <w:rPr>
            <w:noProof/>
          </w:rPr>
          <w:fldChar w:fldCharType="end"/>
        </w:r>
      </w:hyperlink>
    </w:p>
    <w:p w14:paraId="6AA6E2CB" w14:textId="77777777" w:rsidR="00676882" w:rsidRDefault="00676882" w:rsidP="00676882">
      <w:pPr>
        <w:pStyle w:val="TableofFigures"/>
        <w:rPr>
          <w:rFonts w:asciiTheme="minorHAnsi" w:eastAsiaTheme="minorEastAsia" w:hAnsiTheme="minorHAnsi" w:cstheme="minorBidi"/>
          <w:noProof/>
          <w:lang w:eastAsia="zh-CN"/>
        </w:rPr>
      </w:pPr>
      <w:hyperlink w:anchor="_Toc80719307" w:history="1">
        <w:r w:rsidRPr="00B438B3">
          <w:rPr>
            <w:rStyle w:val="Hyperlink"/>
            <w:b/>
            <w:noProof/>
          </w:rPr>
          <w:t>Figure F.6</w:t>
        </w:r>
        <w:r>
          <w:rPr>
            <w:rFonts w:asciiTheme="minorHAnsi" w:eastAsiaTheme="minorEastAsia" w:hAnsiTheme="minorHAnsi" w:cstheme="minorBidi"/>
            <w:noProof/>
            <w:lang w:eastAsia="zh-CN"/>
          </w:rPr>
          <w:tab/>
        </w:r>
        <w:r w:rsidRPr="00B438B3">
          <w:rPr>
            <w:rStyle w:val="Hyperlink"/>
            <w:noProof/>
          </w:rPr>
          <w:t>Support for the introduction of an energy efficient heater minimum standard in rental properties</w:t>
        </w:r>
        <w:r>
          <w:rPr>
            <w:noProof/>
          </w:rPr>
          <w:tab/>
        </w:r>
        <w:r>
          <w:rPr>
            <w:noProof/>
          </w:rPr>
          <w:fldChar w:fldCharType="begin"/>
        </w:r>
        <w:r>
          <w:rPr>
            <w:noProof/>
          </w:rPr>
          <w:instrText xml:space="preserve"> PAGEREF _Toc80719307 \h </w:instrText>
        </w:r>
        <w:r>
          <w:rPr>
            <w:noProof/>
          </w:rPr>
        </w:r>
        <w:r>
          <w:rPr>
            <w:noProof/>
          </w:rPr>
          <w:fldChar w:fldCharType="separate"/>
        </w:r>
        <w:r>
          <w:rPr>
            <w:noProof/>
          </w:rPr>
          <w:t>F-5</w:t>
        </w:r>
        <w:r>
          <w:rPr>
            <w:noProof/>
          </w:rPr>
          <w:fldChar w:fldCharType="end"/>
        </w:r>
      </w:hyperlink>
    </w:p>
    <w:p w14:paraId="1F57637C" w14:textId="77777777" w:rsidR="00676882" w:rsidRDefault="00676882" w:rsidP="00676882">
      <w:pPr>
        <w:pStyle w:val="TableofFigures"/>
        <w:rPr>
          <w:rFonts w:asciiTheme="minorHAnsi" w:eastAsiaTheme="minorEastAsia" w:hAnsiTheme="minorHAnsi" w:cstheme="minorBidi"/>
          <w:noProof/>
          <w:lang w:eastAsia="zh-CN"/>
        </w:rPr>
      </w:pPr>
      <w:hyperlink w:anchor="_Toc80719308" w:history="1">
        <w:r w:rsidRPr="00B438B3">
          <w:rPr>
            <w:rStyle w:val="Hyperlink"/>
            <w:b/>
            <w:noProof/>
          </w:rPr>
          <w:t>Figure F.7</w:t>
        </w:r>
        <w:r>
          <w:rPr>
            <w:rFonts w:asciiTheme="minorHAnsi" w:eastAsiaTheme="minorEastAsia" w:hAnsiTheme="minorHAnsi" w:cstheme="minorBidi"/>
            <w:noProof/>
            <w:lang w:eastAsia="zh-CN"/>
          </w:rPr>
          <w:tab/>
        </w:r>
        <w:r w:rsidRPr="00B438B3">
          <w:rPr>
            <w:rStyle w:val="Hyperlink"/>
            <w:noProof/>
          </w:rPr>
          <w:t>Support for the introduction of a performance-based minimum standard for rental properties</w:t>
        </w:r>
        <w:r>
          <w:rPr>
            <w:noProof/>
          </w:rPr>
          <w:tab/>
        </w:r>
        <w:r>
          <w:rPr>
            <w:noProof/>
          </w:rPr>
          <w:fldChar w:fldCharType="begin"/>
        </w:r>
        <w:r>
          <w:rPr>
            <w:noProof/>
          </w:rPr>
          <w:instrText xml:space="preserve"> PAGEREF _Toc80719308 \h </w:instrText>
        </w:r>
        <w:r>
          <w:rPr>
            <w:noProof/>
          </w:rPr>
        </w:r>
        <w:r>
          <w:rPr>
            <w:noProof/>
          </w:rPr>
          <w:fldChar w:fldCharType="separate"/>
        </w:r>
        <w:r>
          <w:rPr>
            <w:noProof/>
          </w:rPr>
          <w:t>F-6</w:t>
        </w:r>
        <w:r>
          <w:rPr>
            <w:noProof/>
          </w:rPr>
          <w:fldChar w:fldCharType="end"/>
        </w:r>
      </w:hyperlink>
    </w:p>
    <w:p w14:paraId="76904870" w14:textId="77777777" w:rsidR="00676882" w:rsidRDefault="00676882" w:rsidP="00676882">
      <w:pPr>
        <w:pStyle w:val="TableofFigures"/>
        <w:rPr>
          <w:rFonts w:asciiTheme="minorHAnsi" w:eastAsiaTheme="minorEastAsia" w:hAnsiTheme="minorHAnsi" w:cstheme="minorBidi"/>
          <w:noProof/>
          <w:lang w:eastAsia="zh-CN"/>
        </w:rPr>
      </w:pPr>
      <w:hyperlink w:anchor="_Toc80719309" w:history="1">
        <w:r w:rsidRPr="00B438B3">
          <w:rPr>
            <w:rStyle w:val="Hyperlink"/>
            <w:b/>
            <w:noProof/>
          </w:rPr>
          <w:t>Figure F.8</w:t>
        </w:r>
        <w:r>
          <w:rPr>
            <w:rFonts w:asciiTheme="minorHAnsi" w:eastAsiaTheme="minorEastAsia" w:hAnsiTheme="minorHAnsi" w:cstheme="minorBidi"/>
            <w:noProof/>
            <w:lang w:eastAsia="zh-CN"/>
          </w:rPr>
          <w:tab/>
        </w:r>
        <w:r w:rsidRPr="00B438B3">
          <w:rPr>
            <w:rStyle w:val="Hyperlink"/>
            <w:noProof/>
          </w:rPr>
          <w:t>Preferred energy efficient improvements in rental properties</w:t>
        </w:r>
        <w:r>
          <w:rPr>
            <w:noProof/>
          </w:rPr>
          <w:tab/>
        </w:r>
        <w:r>
          <w:rPr>
            <w:noProof/>
          </w:rPr>
          <w:fldChar w:fldCharType="begin"/>
        </w:r>
        <w:r>
          <w:rPr>
            <w:noProof/>
          </w:rPr>
          <w:instrText xml:space="preserve"> PAGEREF _Toc80719309 \h </w:instrText>
        </w:r>
        <w:r>
          <w:rPr>
            <w:noProof/>
          </w:rPr>
        </w:r>
        <w:r>
          <w:rPr>
            <w:noProof/>
          </w:rPr>
          <w:fldChar w:fldCharType="separate"/>
        </w:r>
        <w:r>
          <w:rPr>
            <w:noProof/>
          </w:rPr>
          <w:t>F-6</w:t>
        </w:r>
        <w:r>
          <w:rPr>
            <w:noProof/>
          </w:rPr>
          <w:fldChar w:fldCharType="end"/>
        </w:r>
      </w:hyperlink>
    </w:p>
    <w:p w14:paraId="1837D9F7" w14:textId="77777777" w:rsidR="00676882" w:rsidRDefault="00676882" w:rsidP="00676882">
      <w:pPr>
        <w:pStyle w:val="TableofFigures"/>
        <w:rPr>
          <w:rFonts w:asciiTheme="minorHAnsi" w:eastAsiaTheme="minorEastAsia" w:hAnsiTheme="minorHAnsi" w:cstheme="minorBidi"/>
          <w:noProof/>
          <w:lang w:eastAsia="zh-CN"/>
        </w:rPr>
      </w:pPr>
      <w:hyperlink w:anchor="_Toc80719310" w:history="1">
        <w:r w:rsidRPr="00B438B3">
          <w:rPr>
            <w:rStyle w:val="Hyperlink"/>
            <w:b/>
            <w:noProof/>
          </w:rPr>
          <w:t>Figure F.9</w:t>
        </w:r>
        <w:r>
          <w:rPr>
            <w:rFonts w:asciiTheme="minorHAnsi" w:eastAsiaTheme="minorEastAsia" w:hAnsiTheme="minorHAnsi" w:cstheme="minorBidi"/>
            <w:noProof/>
            <w:lang w:eastAsia="zh-CN"/>
          </w:rPr>
          <w:tab/>
        </w:r>
        <w:r w:rsidRPr="00B438B3">
          <w:rPr>
            <w:rStyle w:val="Hyperlink"/>
            <w:noProof/>
          </w:rPr>
          <w:t>Age of rental properties</w:t>
        </w:r>
        <w:r>
          <w:rPr>
            <w:noProof/>
          </w:rPr>
          <w:tab/>
        </w:r>
        <w:r>
          <w:rPr>
            <w:noProof/>
          </w:rPr>
          <w:fldChar w:fldCharType="begin"/>
        </w:r>
        <w:r>
          <w:rPr>
            <w:noProof/>
          </w:rPr>
          <w:instrText xml:space="preserve"> PAGEREF _Toc80719310 \h </w:instrText>
        </w:r>
        <w:r>
          <w:rPr>
            <w:noProof/>
          </w:rPr>
        </w:r>
        <w:r>
          <w:rPr>
            <w:noProof/>
          </w:rPr>
          <w:fldChar w:fldCharType="separate"/>
        </w:r>
        <w:r>
          <w:rPr>
            <w:noProof/>
          </w:rPr>
          <w:t>F-7</w:t>
        </w:r>
        <w:r>
          <w:rPr>
            <w:noProof/>
          </w:rPr>
          <w:fldChar w:fldCharType="end"/>
        </w:r>
      </w:hyperlink>
    </w:p>
    <w:p w14:paraId="31B19426" w14:textId="77777777" w:rsidR="00676882" w:rsidRDefault="00676882" w:rsidP="00676882">
      <w:pPr>
        <w:pStyle w:val="TableofFigures"/>
        <w:rPr>
          <w:rFonts w:asciiTheme="minorHAnsi" w:eastAsiaTheme="minorEastAsia" w:hAnsiTheme="minorHAnsi" w:cstheme="minorBidi"/>
          <w:noProof/>
          <w:lang w:eastAsia="zh-CN"/>
        </w:rPr>
      </w:pPr>
      <w:hyperlink w:anchor="_Toc80719311" w:history="1">
        <w:r w:rsidRPr="00B438B3">
          <w:rPr>
            <w:rStyle w:val="Hyperlink"/>
            <w:b/>
            <w:noProof/>
          </w:rPr>
          <w:t>Figure F.10</w:t>
        </w:r>
        <w:r>
          <w:rPr>
            <w:rFonts w:asciiTheme="minorHAnsi" w:eastAsiaTheme="minorEastAsia" w:hAnsiTheme="minorHAnsi" w:cstheme="minorBidi"/>
            <w:noProof/>
            <w:lang w:eastAsia="zh-CN"/>
          </w:rPr>
          <w:tab/>
        </w:r>
        <w:r w:rsidRPr="00B438B3">
          <w:rPr>
            <w:rStyle w:val="Hyperlink"/>
            <w:noProof/>
          </w:rPr>
          <w:t>Perceived quality of housing</w:t>
        </w:r>
        <w:r>
          <w:rPr>
            <w:noProof/>
          </w:rPr>
          <w:tab/>
        </w:r>
        <w:r>
          <w:rPr>
            <w:noProof/>
          </w:rPr>
          <w:fldChar w:fldCharType="begin"/>
        </w:r>
        <w:r>
          <w:rPr>
            <w:noProof/>
          </w:rPr>
          <w:instrText xml:space="preserve"> PAGEREF _Toc80719311 \h </w:instrText>
        </w:r>
        <w:r>
          <w:rPr>
            <w:noProof/>
          </w:rPr>
        </w:r>
        <w:r>
          <w:rPr>
            <w:noProof/>
          </w:rPr>
          <w:fldChar w:fldCharType="separate"/>
        </w:r>
        <w:r>
          <w:rPr>
            <w:noProof/>
          </w:rPr>
          <w:t>F-8</w:t>
        </w:r>
        <w:r>
          <w:rPr>
            <w:noProof/>
          </w:rPr>
          <w:fldChar w:fldCharType="end"/>
        </w:r>
      </w:hyperlink>
    </w:p>
    <w:p w14:paraId="048D5139" w14:textId="77777777" w:rsidR="00676882" w:rsidRDefault="00676882" w:rsidP="00676882">
      <w:pPr>
        <w:pStyle w:val="TableofFigures"/>
        <w:rPr>
          <w:rFonts w:asciiTheme="minorHAnsi" w:eastAsiaTheme="minorEastAsia" w:hAnsiTheme="minorHAnsi" w:cstheme="minorBidi"/>
          <w:noProof/>
          <w:lang w:eastAsia="zh-CN"/>
        </w:rPr>
      </w:pPr>
      <w:hyperlink w:anchor="_Toc80719312" w:history="1">
        <w:r w:rsidRPr="00B438B3">
          <w:rPr>
            <w:rStyle w:val="Hyperlink"/>
            <w:b/>
            <w:noProof/>
          </w:rPr>
          <w:t>Figure F.11</w:t>
        </w:r>
        <w:r>
          <w:rPr>
            <w:rFonts w:asciiTheme="minorHAnsi" w:eastAsiaTheme="minorEastAsia" w:hAnsiTheme="minorHAnsi" w:cstheme="minorBidi"/>
            <w:noProof/>
            <w:lang w:eastAsia="zh-CN"/>
          </w:rPr>
          <w:tab/>
        </w:r>
        <w:r w:rsidRPr="00B438B3">
          <w:rPr>
            <w:rStyle w:val="Hyperlink"/>
            <w:noProof/>
          </w:rPr>
          <w:t>Presence of energy efficiency features in rental properties</w:t>
        </w:r>
        <w:r>
          <w:rPr>
            <w:noProof/>
          </w:rPr>
          <w:tab/>
        </w:r>
        <w:r>
          <w:rPr>
            <w:noProof/>
          </w:rPr>
          <w:fldChar w:fldCharType="begin"/>
        </w:r>
        <w:r>
          <w:rPr>
            <w:noProof/>
          </w:rPr>
          <w:instrText xml:space="preserve"> PAGEREF _Toc80719312 \h </w:instrText>
        </w:r>
        <w:r>
          <w:rPr>
            <w:noProof/>
          </w:rPr>
        </w:r>
        <w:r>
          <w:rPr>
            <w:noProof/>
          </w:rPr>
          <w:fldChar w:fldCharType="separate"/>
        </w:r>
        <w:r>
          <w:rPr>
            <w:noProof/>
          </w:rPr>
          <w:t>F-8</w:t>
        </w:r>
        <w:r>
          <w:rPr>
            <w:noProof/>
          </w:rPr>
          <w:fldChar w:fldCharType="end"/>
        </w:r>
      </w:hyperlink>
    </w:p>
    <w:p w14:paraId="3C719BE6" w14:textId="77777777" w:rsidR="00676882" w:rsidRDefault="00676882" w:rsidP="00676882">
      <w:pPr>
        <w:pStyle w:val="TableofFigures"/>
        <w:rPr>
          <w:rFonts w:asciiTheme="minorHAnsi" w:eastAsiaTheme="minorEastAsia" w:hAnsiTheme="minorHAnsi" w:cstheme="minorBidi"/>
          <w:noProof/>
          <w:lang w:eastAsia="zh-CN"/>
        </w:rPr>
      </w:pPr>
      <w:hyperlink w:anchor="_Toc80719313" w:history="1">
        <w:r w:rsidRPr="00B438B3">
          <w:rPr>
            <w:rStyle w:val="Hyperlink"/>
            <w:b/>
            <w:noProof/>
          </w:rPr>
          <w:t>Figure F.12</w:t>
        </w:r>
        <w:r>
          <w:rPr>
            <w:rFonts w:asciiTheme="minorHAnsi" w:eastAsiaTheme="minorEastAsia" w:hAnsiTheme="minorHAnsi" w:cstheme="minorBidi"/>
            <w:noProof/>
            <w:lang w:eastAsia="zh-CN"/>
          </w:rPr>
          <w:tab/>
        </w:r>
        <w:r w:rsidRPr="00B438B3">
          <w:rPr>
            <w:rStyle w:val="Hyperlink"/>
            <w:noProof/>
          </w:rPr>
          <w:t>Method for heating rental properties</w:t>
        </w:r>
        <w:r>
          <w:rPr>
            <w:noProof/>
          </w:rPr>
          <w:tab/>
        </w:r>
        <w:r>
          <w:rPr>
            <w:noProof/>
          </w:rPr>
          <w:fldChar w:fldCharType="begin"/>
        </w:r>
        <w:r>
          <w:rPr>
            <w:noProof/>
          </w:rPr>
          <w:instrText xml:space="preserve"> PAGEREF _Toc80719313 \h </w:instrText>
        </w:r>
        <w:r>
          <w:rPr>
            <w:noProof/>
          </w:rPr>
        </w:r>
        <w:r>
          <w:rPr>
            <w:noProof/>
          </w:rPr>
          <w:fldChar w:fldCharType="separate"/>
        </w:r>
        <w:r>
          <w:rPr>
            <w:noProof/>
          </w:rPr>
          <w:t>F-9</w:t>
        </w:r>
        <w:r>
          <w:rPr>
            <w:noProof/>
          </w:rPr>
          <w:fldChar w:fldCharType="end"/>
        </w:r>
      </w:hyperlink>
    </w:p>
    <w:p w14:paraId="6D769620" w14:textId="77777777" w:rsidR="00676882" w:rsidRDefault="00676882" w:rsidP="00676882">
      <w:pPr>
        <w:pStyle w:val="TableofFigures"/>
        <w:rPr>
          <w:rFonts w:asciiTheme="minorHAnsi" w:eastAsiaTheme="minorEastAsia" w:hAnsiTheme="minorHAnsi" w:cstheme="minorBidi"/>
          <w:noProof/>
          <w:lang w:eastAsia="zh-CN"/>
        </w:rPr>
      </w:pPr>
      <w:hyperlink w:anchor="_Toc80719314" w:history="1">
        <w:r w:rsidRPr="00B438B3">
          <w:rPr>
            <w:rStyle w:val="Hyperlink"/>
            <w:b/>
            <w:noProof/>
          </w:rPr>
          <w:t>Figure F.13</w:t>
        </w:r>
        <w:r>
          <w:rPr>
            <w:rFonts w:asciiTheme="minorHAnsi" w:eastAsiaTheme="minorEastAsia" w:hAnsiTheme="minorHAnsi" w:cstheme="minorBidi"/>
            <w:noProof/>
            <w:lang w:eastAsia="zh-CN"/>
          </w:rPr>
          <w:tab/>
        </w:r>
        <w:r w:rsidRPr="00B438B3">
          <w:rPr>
            <w:rStyle w:val="Hyperlink"/>
            <w:noProof/>
          </w:rPr>
          <w:t>Rental provider investments in energy efficiency</w:t>
        </w:r>
        <w:r>
          <w:rPr>
            <w:noProof/>
          </w:rPr>
          <w:tab/>
        </w:r>
        <w:r>
          <w:rPr>
            <w:noProof/>
          </w:rPr>
          <w:fldChar w:fldCharType="begin"/>
        </w:r>
        <w:r>
          <w:rPr>
            <w:noProof/>
          </w:rPr>
          <w:instrText xml:space="preserve"> PAGEREF _Toc80719314 \h </w:instrText>
        </w:r>
        <w:r>
          <w:rPr>
            <w:noProof/>
          </w:rPr>
        </w:r>
        <w:r>
          <w:rPr>
            <w:noProof/>
          </w:rPr>
          <w:fldChar w:fldCharType="separate"/>
        </w:r>
        <w:r>
          <w:rPr>
            <w:noProof/>
          </w:rPr>
          <w:t>F-9</w:t>
        </w:r>
        <w:r>
          <w:rPr>
            <w:noProof/>
          </w:rPr>
          <w:fldChar w:fldCharType="end"/>
        </w:r>
      </w:hyperlink>
    </w:p>
    <w:p w14:paraId="796A4614" w14:textId="77777777" w:rsidR="00676882" w:rsidRDefault="00676882" w:rsidP="00676882">
      <w:pPr>
        <w:pStyle w:val="TableofFigures"/>
        <w:rPr>
          <w:rFonts w:asciiTheme="minorHAnsi" w:eastAsiaTheme="minorEastAsia" w:hAnsiTheme="minorHAnsi" w:cstheme="minorBidi"/>
          <w:noProof/>
          <w:lang w:eastAsia="zh-CN"/>
        </w:rPr>
      </w:pPr>
      <w:hyperlink w:anchor="_Toc80719315" w:history="1">
        <w:r w:rsidRPr="00B438B3">
          <w:rPr>
            <w:rStyle w:val="Hyperlink"/>
            <w:b/>
            <w:noProof/>
          </w:rPr>
          <w:t>Figure F.14</w:t>
        </w:r>
        <w:r>
          <w:rPr>
            <w:rFonts w:asciiTheme="minorHAnsi" w:eastAsiaTheme="minorEastAsia" w:hAnsiTheme="minorHAnsi" w:cstheme="minorBidi"/>
            <w:noProof/>
            <w:lang w:eastAsia="zh-CN"/>
          </w:rPr>
          <w:tab/>
        </w:r>
        <w:r w:rsidRPr="00B438B3">
          <w:rPr>
            <w:rStyle w:val="Hyperlink"/>
            <w:noProof/>
          </w:rPr>
          <w:t>Rental provider familiarity of energy efficiency improvements</w:t>
        </w:r>
        <w:r>
          <w:rPr>
            <w:noProof/>
          </w:rPr>
          <w:tab/>
        </w:r>
        <w:r>
          <w:rPr>
            <w:noProof/>
          </w:rPr>
          <w:fldChar w:fldCharType="begin"/>
        </w:r>
        <w:r>
          <w:rPr>
            <w:noProof/>
          </w:rPr>
          <w:instrText xml:space="preserve"> PAGEREF _Toc80719315 \h </w:instrText>
        </w:r>
        <w:r>
          <w:rPr>
            <w:noProof/>
          </w:rPr>
        </w:r>
        <w:r>
          <w:rPr>
            <w:noProof/>
          </w:rPr>
          <w:fldChar w:fldCharType="separate"/>
        </w:r>
        <w:r>
          <w:rPr>
            <w:noProof/>
          </w:rPr>
          <w:t>F-10</w:t>
        </w:r>
        <w:r>
          <w:rPr>
            <w:noProof/>
          </w:rPr>
          <w:fldChar w:fldCharType="end"/>
        </w:r>
      </w:hyperlink>
    </w:p>
    <w:p w14:paraId="7D0F623A" w14:textId="77777777" w:rsidR="00676882" w:rsidRDefault="00676882" w:rsidP="00676882">
      <w:pPr>
        <w:pStyle w:val="TableofFigures"/>
        <w:rPr>
          <w:rFonts w:asciiTheme="minorHAnsi" w:eastAsiaTheme="minorEastAsia" w:hAnsiTheme="minorHAnsi" w:cstheme="minorBidi"/>
          <w:noProof/>
          <w:lang w:eastAsia="zh-CN"/>
        </w:rPr>
      </w:pPr>
      <w:hyperlink w:anchor="_Toc80719316" w:history="1">
        <w:r w:rsidRPr="00B438B3">
          <w:rPr>
            <w:rStyle w:val="Hyperlink"/>
            <w:b/>
            <w:noProof/>
          </w:rPr>
          <w:t>Figure F.15</w:t>
        </w:r>
        <w:r>
          <w:rPr>
            <w:rFonts w:asciiTheme="minorHAnsi" w:eastAsiaTheme="minorEastAsia" w:hAnsiTheme="minorHAnsi" w:cstheme="minorBidi"/>
            <w:noProof/>
            <w:lang w:eastAsia="zh-CN"/>
          </w:rPr>
          <w:tab/>
        </w:r>
        <w:r w:rsidRPr="00B438B3">
          <w:rPr>
            <w:rStyle w:val="Hyperlink"/>
            <w:noProof/>
          </w:rPr>
          <w:t>Rental provider familiarity with energy efficiency incentive programs</w:t>
        </w:r>
        <w:r>
          <w:rPr>
            <w:noProof/>
          </w:rPr>
          <w:tab/>
        </w:r>
        <w:r>
          <w:rPr>
            <w:noProof/>
          </w:rPr>
          <w:fldChar w:fldCharType="begin"/>
        </w:r>
        <w:r>
          <w:rPr>
            <w:noProof/>
          </w:rPr>
          <w:instrText xml:space="preserve"> PAGEREF _Toc80719316 \h </w:instrText>
        </w:r>
        <w:r>
          <w:rPr>
            <w:noProof/>
          </w:rPr>
        </w:r>
        <w:r>
          <w:rPr>
            <w:noProof/>
          </w:rPr>
          <w:fldChar w:fldCharType="separate"/>
        </w:r>
        <w:r>
          <w:rPr>
            <w:noProof/>
          </w:rPr>
          <w:t>F-10</w:t>
        </w:r>
        <w:r>
          <w:rPr>
            <w:noProof/>
          </w:rPr>
          <w:fldChar w:fldCharType="end"/>
        </w:r>
      </w:hyperlink>
    </w:p>
    <w:p w14:paraId="523839BD" w14:textId="77777777" w:rsidR="00676882" w:rsidRDefault="00676882" w:rsidP="00676882">
      <w:pPr>
        <w:pStyle w:val="TableofFigures"/>
        <w:rPr>
          <w:rFonts w:asciiTheme="minorHAnsi" w:eastAsiaTheme="minorEastAsia" w:hAnsiTheme="minorHAnsi" w:cstheme="minorBidi"/>
          <w:noProof/>
          <w:lang w:eastAsia="zh-CN"/>
        </w:rPr>
      </w:pPr>
      <w:hyperlink w:anchor="_Toc80719317" w:history="1">
        <w:r w:rsidRPr="00B438B3">
          <w:rPr>
            <w:rStyle w:val="Hyperlink"/>
            <w:b/>
            <w:noProof/>
          </w:rPr>
          <w:t>Figure F.16</w:t>
        </w:r>
        <w:r>
          <w:rPr>
            <w:rFonts w:asciiTheme="minorHAnsi" w:eastAsiaTheme="minorEastAsia" w:hAnsiTheme="minorHAnsi" w:cstheme="minorBidi"/>
            <w:noProof/>
            <w:lang w:eastAsia="zh-CN"/>
          </w:rPr>
          <w:tab/>
        </w:r>
        <w:r w:rsidRPr="00B438B3">
          <w:rPr>
            <w:rStyle w:val="Hyperlink"/>
            <w:noProof/>
          </w:rPr>
          <w:t>Tenant requests for energy efficiency improvements</w:t>
        </w:r>
        <w:r>
          <w:rPr>
            <w:noProof/>
          </w:rPr>
          <w:tab/>
        </w:r>
        <w:r>
          <w:rPr>
            <w:noProof/>
          </w:rPr>
          <w:fldChar w:fldCharType="begin"/>
        </w:r>
        <w:r>
          <w:rPr>
            <w:noProof/>
          </w:rPr>
          <w:instrText xml:space="preserve"> PAGEREF _Toc80719317 \h </w:instrText>
        </w:r>
        <w:r>
          <w:rPr>
            <w:noProof/>
          </w:rPr>
        </w:r>
        <w:r>
          <w:rPr>
            <w:noProof/>
          </w:rPr>
          <w:fldChar w:fldCharType="separate"/>
        </w:r>
        <w:r>
          <w:rPr>
            <w:noProof/>
          </w:rPr>
          <w:t>F-11</w:t>
        </w:r>
        <w:r>
          <w:rPr>
            <w:noProof/>
          </w:rPr>
          <w:fldChar w:fldCharType="end"/>
        </w:r>
      </w:hyperlink>
    </w:p>
    <w:p w14:paraId="520BEC70" w14:textId="77777777" w:rsidR="00676882" w:rsidRDefault="00676882" w:rsidP="00676882">
      <w:pPr>
        <w:pStyle w:val="TableofFigures"/>
        <w:rPr>
          <w:rFonts w:asciiTheme="minorHAnsi" w:eastAsiaTheme="minorEastAsia" w:hAnsiTheme="minorHAnsi" w:cstheme="minorBidi"/>
          <w:noProof/>
          <w:lang w:eastAsia="zh-CN"/>
        </w:rPr>
      </w:pPr>
      <w:hyperlink w:anchor="_Toc80719318" w:history="1">
        <w:r w:rsidRPr="00B438B3">
          <w:rPr>
            <w:rStyle w:val="Hyperlink"/>
            <w:b/>
            <w:noProof/>
          </w:rPr>
          <w:t>Figure F.17</w:t>
        </w:r>
        <w:r>
          <w:rPr>
            <w:rFonts w:asciiTheme="minorHAnsi" w:eastAsiaTheme="minorEastAsia" w:hAnsiTheme="minorHAnsi" w:cstheme="minorBidi"/>
            <w:noProof/>
            <w:lang w:eastAsia="zh-CN"/>
          </w:rPr>
          <w:tab/>
        </w:r>
        <w:r w:rsidRPr="00B438B3">
          <w:rPr>
            <w:rStyle w:val="Hyperlink"/>
            <w:noProof/>
          </w:rPr>
          <w:t>Rental provider responses to tenant requests</w:t>
        </w:r>
        <w:r>
          <w:rPr>
            <w:noProof/>
          </w:rPr>
          <w:tab/>
        </w:r>
        <w:r>
          <w:rPr>
            <w:noProof/>
          </w:rPr>
          <w:fldChar w:fldCharType="begin"/>
        </w:r>
        <w:r>
          <w:rPr>
            <w:noProof/>
          </w:rPr>
          <w:instrText xml:space="preserve"> PAGEREF _Toc80719318 \h </w:instrText>
        </w:r>
        <w:r>
          <w:rPr>
            <w:noProof/>
          </w:rPr>
        </w:r>
        <w:r>
          <w:rPr>
            <w:noProof/>
          </w:rPr>
          <w:fldChar w:fldCharType="separate"/>
        </w:r>
        <w:r>
          <w:rPr>
            <w:noProof/>
          </w:rPr>
          <w:t>F-11</w:t>
        </w:r>
        <w:r>
          <w:rPr>
            <w:noProof/>
          </w:rPr>
          <w:fldChar w:fldCharType="end"/>
        </w:r>
      </w:hyperlink>
    </w:p>
    <w:p w14:paraId="2E7A6A4B" w14:textId="77777777" w:rsidR="00676882" w:rsidRDefault="00676882" w:rsidP="00676882">
      <w:pPr>
        <w:pStyle w:val="TableofFigures"/>
        <w:rPr>
          <w:rFonts w:asciiTheme="minorHAnsi" w:eastAsiaTheme="minorEastAsia" w:hAnsiTheme="minorHAnsi" w:cstheme="minorBidi"/>
          <w:noProof/>
          <w:lang w:eastAsia="zh-CN"/>
        </w:rPr>
      </w:pPr>
      <w:hyperlink w:anchor="_Toc80719319" w:history="1">
        <w:r w:rsidRPr="00B438B3">
          <w:rPr>
            <w:rStyle w:val="Hyperlink"/>
            <w:b/>
            <w:noProof/>
          </w:rPr>
          <w:t>Figure F.18</w:t>
        </w:r>
        <w:r>
          <w:rPr>
            <w:rFonts w:asciiTheme="minorHAnsi" w:eastAsiaTheme="minorEastAsia" w:hAnsiTheme="minorHAnsi" w:cstheme="minorBidi"/>
            <w:noProof/>
            <w:lang w:eastAsia="zh-CN"/>
          </w:rPr>
          <w:tab/>
        </w:r>
        <w:r w:rsidRPr="00B438B3">
          <w:rPr>
            <w:rStyle w:val="Hyperlink"/>
            <w:noProof/>
          </w:rPr>
          <w:t>Rental provider response to minimum standard costs</w:t>
        </w:r>
        <w:r>
          <w:rPr>
            <w:noProof/>
          </w:rPr>
          <w:tab/>
        </w:r>
        <w:r>
          <w:rPr>
            <w:noProof/>
          </w:rPr>
          <w:fldChar w:fldCharType="begin"/>
        </w:r>
        <w:r>
          <w:rPr>
            <w:noProof/>
          </w:rPr>
          <w:instrText xml:space="preserve"> PAGEREF _Toc80719319 \h </w:instrText>
        </w:r>
        <w:r>
          <w:rPr>
            <w:noProof/>
          </w:rPr>
        </w:r>
        <w:r>
          <w:rPr>
            <w:noProof/>
          </w:rPr>
          <w:fldChar w:fldCharType="separate"/>
        </w:r>
        <w:r>
          <w:rPr>
            <w:noProof/>
          </w:rPr>
          <w:t>F-12</w:t>
        </w:r>
        <w:r>
          <w:rPr>
            <w:noProof/>
          </w:rPr>
          <w:fldChar w:fldCharType="end"/>
        </w:r>
      </w:hyperlink>
    </w:p>
    <w:p w14:paraId="294C7E6A" w14:textId="77777777" w:rsidR="00676882" w:rsidRDefault="00676882" w:rsidP="00676882">
      <w:pPr>
        <w:pStyle w:val="TableofFigures"/>
        <w:rPr>
          <w:rFonts w:asciiTheme="minorHAnsi" w:eastAsiaTheme="minorEastAsia" w:hAnsiTheme="minorHAnsi" w:cstheme="minorBidi"/>
          <w:noProof/>
          <w:lang w:eastAsia="zh-CN"/>
        </w:rPr>
      </w:pPr>
      <w:hyperlink w:anchor="_Toc80719320" w:history="1">
        <w:r w:rsidRPr="00B438B3">
          <w:rPr>
            <w:rStyle w:val="Hyperlink"/>
            <w:b/>
            <w:noProof/>
          </w:rPr>
          <w:t>Figure F.19</w:t>
        </w:r>
        <w:r>
          <w:rPr>
            <w:rFonts w:asciiTheme="minorHAnsi" w:eastAsiaTheme="minorEastAsia" w:hAnsiTheme="minorHAnsi" w:cstheme="minorBidi"/>
            <w:noProof/>
            <w:lang w:eastAsia="zh-CN"/>
          </w:rPr>
          <w:tab/>
        </w:r>
        <w:r w:rsidRPr="00B438B3">
          <w:rPr>
            <w:rStyle w:val="Hyperlink"/>
            <w:noProof/>
          </w:rPr>
          <w:t>Reported cost pass-through of rental provider costs in the form of increased rents</w:t>
        </w:r>
        <w:r>
          <w:rPr>
            <w:noProof/>
          </w:rPr>
          <w:tab/>
        </w:r>
        <w:r>
          <w:rPr>
            <w:noProof/>
          </w:rPr>
          <w:fldChar w:fldCharType="begin"/>
        </w:r>
        <w:r>
          <w:rPr>
            <w:noProof/>
          </w:rPr>
          <w:instrText xml:space="preserve"> PAGEREF _Toc80719320 \h </w:instrText>
        </w:r>
        <w:r>
          <w:rPr>
            <w:noProof/>
          </w:rPr>
        </w:r>
        <w:r>
          <w:rPr>
            <w:noProof/>
          </w:rPr>
          <w:fldChar w:fldCharType="separate"/>
        </w:r>
        <w:r>
          <w:rPr>
            <w:noProof/>
          </w:rPr>
          <w:t>F-12</w:t>
        </w:r>
        <w:r>
          <w:rPr>
            <w:noProof/>
          </w:rPr>
          <w:fldChar w:fldCharType="end"/>
        </w:r>
      </w:hyperlink>
    </w:p>
    <w:p w14:paraId="769A60B3" w14:textId="77777777" w:rsidR="00676882" w:rsidRDefault="00676882" w:rsidP="00676882">
      <w:pPr>
        <w:pStyle w:val="TableofFigures"/>
        <w:rPr>
          <w:rFonts w:asciiTheme="minorHAnsi" w:eastAsiaTheme="minorEastAsia" w:hAnsiTheme="minorHAnsi" w:cstheme="minorBidi"/>
          <w:noProof/>
          <w:lang w:eastAsia="zh-CN"/>
        </w:rPr>
      </w:pPr>
      <w:hyperlink w:anchor="_Toc80719321" w:history="1">
        <w:r w:rsidRPr="00B438B3">
          <w:rPr>
            <w:rStyle w:val="Hyperlink"/>
            <w:b/>
            <w:noProof/>
          </w:rPr>
          <w:t>Figure F.20</w:t>
        </w:r>
        <w:r>
          <w:rPr>
            <w:rFonts w:asciiTheme="minorHAnsi" w:eastAsiaTheme="minorEastAsia" w:hAnsiTheme="minorHAnsi" w:cstheme="minorBidi"/>
            <w:noProof/>
            <w:lang w:eastAsia="zh-CN"/>
          </w:rPr>
          <w:tab/>
        </w:r>
        <w:r w:rsidRPr="00B438B3">
          <w:rPr>
            <w:rStyle w:val="Hyperlink"/>
            <w:noProof/>
          </w:rPr>
          <w:t>Tenant willingness-to-pay for energy efficiency improvements</w:t>
        </w:r>
        <w:r>
          <w:rPr>
            <w:noProof/>
          </w:rPr>
          <w:tab/>
        </w:r>
        <w:r>
          <w:rPr>
            <w:noProof/>
          </w:rPr>
          <w:fldChar w:fldCharType="begin"/>
        </w:r>
        <w:r>
          <w:rPr>
            <w:noProof/>
          </w:rPr>
          <w:instrText xml:space="preserve"> PAGEREF _Toc80719321 \h </w:instrText>
        </w:r>
        <w:r>
          <w:rPr>
            <w:noProof/>
          </w:rPr>
        </w:r>
        <w:r>
          <w:rPr>
            <w:noProof/>
          </w:rPr>
          <w:fldChar w:fldCharType="separate"/>
        </w:r>
        <w:r>
          <w:rPr>
            <w:noProof/>
          </w:rPr>
          <w:t>F-13</w:t>
        </w:r>
        <w:r>
          <w:rPr>
            <w:noProof/>
          </w:rPr>
          <w:fldChar w:fldCharType="end"/>
        </w:r>
      </w:hyperlink>
    </w:p>
    <w:p w14:paraId="1B7CBC13" w14:textId="77777777" w:rsidR="00676882" w:rsidRDefault="00676882" w:rsidP="00676882">
      <w:pPr>
        <w:pStyle w:val="TOCGeneral"/>
      </w:pPr>
      <w:r>
        <w:fldChar w:fldCharType="end"/>
      </w:r>
    </w:p>
    <w:p w14:paraId="1B47E0EC" w14:textId="77777777" w:rsidR="00676882" w:rsidRDefault="00676882" w:rsidP="00676882">
      <w:pPr>
        <w:pStyle w:val="TOCTOFSubHeading"/>
      </w:pPr>
      <w:r>
        <w:t>Tables</w:t>
      </w:r>
    </w:p>
    <w:p w14:paraId="2F8C842B" w14:textId="77777777" w:rsidR="00676882" w:rsidRDefault="00676882" w:rsidP="00676882">
      <w:pPr>
        <w:pStyle w:val="TableofFigures"/>
        <w:rPr>
          <w:rFonts w:asciiTheme="minorHAnsi" w:eastAsiaTheme="minorEastAsia" w:hAnsiTheme="minorHAnsi" w:cstheme="minorBidi"/>
          <w:noProof/>
          <w:lang w:eastAsia="zh-CN"/>
        </w:rPr>
      </w:pPr>
      <w:r>
        <w:fldChar w:fldCharType="begin"/>
      </w:r>
      <w:r>
        <w:instrText xml:space="preserve"> TOC \h \c "Table ES" \* MERGEFORMAT </w:instrText>
      </w:r>
      <w:r>
        <w:fldChar w:fldCharType="separate"/>
      </w:r>
      <w:hyperlink w:anchor="_Toc80719322" w:history="1">
        <w:r w:rsidRPr="007D073B">
          <w:rPr>
            <w:rStyle w:val="Hyperlink"/>
            <w:b/>
            <w:noProof/>
          </w:rPr>
          <w:t>Table ES 1</w:t>
        </w:r>
        <w:r>
          <w:rPr>
            <w:rFonts w:asciiTheme="minorHAnsi" w:eastAsiaTheme="minorEastAsia" w:hAnsiTheme="minorHAnsi" w:cstheme="minorBidi"/>
            <w:noProof/>
            <w:lang w:eastAsia="zh-CN"/>
          </w:rPr>
          <w:tab/>
        </w:r>
        <w:r w:rsidRPr="007D073B">
          <w:rPr>
            <w:rStyle w:val="Hyperlink"/>
            <w:noProof/>
          </w:rPr>
          <w:t>Headline results, economy wide analysis, three per cent discount rate</w:t>
        </w:r>
        <w:r>
          <w:rPr>
            <w:noProof/>
          </w:rPr>
          <w:tab/>
        </w:r>
        <w:r>
          <w:rPr>
            <w:noProof/>
          </w:rPr>
          <w:fldChar w:fldCharType="begin"/>
        </w:r>
        <w:r>
          <w:rPr>
            <w:noProof/>
          </w:rPr>
          <w:instrText xml:space="preserve"> PAGEREF _Toc80719322 \h </w:instrText>
        </w:r>
        <w:r>
          <w:rPr>
            <w:noProof/>
          </w:rPr>
        </w:r>
        <w:r>
          <w:rPr>
            <w:noProof/>
          </w:rPr>
          <w:fldChar w:fldCharType="separate"/>
        </w:r>
        <w:r>
          <w:rPr>
            <w:noProof/>
          </w:rPr>
          <w:t>1</w:t>
        </w:r>
        <w:r>
          <w:rPr>
            <w:noProof/>
          </w:rPr>
          <w:fldChar w:fldCharType="end"/>
        </w:r>
      </w:hyperlink>
    </w:p>
    <w:p w14:paraId="3CB73592" w14:textId="77777777" w:rsidR="00676882" w:rsidRDefault="00676882" w:rsidP="00676882">
      <w:pPr>
        <w:pStyle w:val="TableofFigures"/>
        <w:rPr>
          <w:rFonts w:asciiTheme="minorHAnsi" w:eastAsiaTheme="minorEastAsia" w:hAnsiTheme="minorHAnsi" w:cstheme="minorBidi"/>
          <w:noProof/>
          <w:lang w:eastAsia="zh-CN"/>
        </w:rPr>
      </w:pPr>
      <w:hyperlink w:anchor="_Toc80719323" w:history="1">
        <w:r w:rsidRPr="007D073B">
          <w:rPr>
            <w:rStyle w:val="Hyperlink"/>
            <w:b/>
            <w:noProof/>
          </w:rPr>
          <w:t>Table ES 2</w:t>
        </w:r>
        <w:r>
          <w:rPr>
            <w:rFonts w:asciiTheme="minorHAnsi" w:eastAsiaTheme="minorEastAsia" w:hAnsiTheme="minorHAnsi" w:cstheme="minorBidi"/>
            <w:noProof/>
            <w:lang w:eastAsia="zh-CN"/>
          </w:rPr>
          <w:tab/>
        </w:r>
        <w:r w:rsidRPr="007D073B">
          <w:rPr>
            <w:rStyle w:val="Hyperlink"/>
            <w:noProof/>
          </w:rPr>
          <w:t>Energy and greenhouse gas emissions saved over the life of the upgrade</w:t>
        </w:r>
        <w:r>
          <w:rPr>
            <w:noProof/>
          </w:rPr>
          <w:tab/>
        </w:r>
        <w:r>
          <w:rPr>
            <w:noProof/>
          </w:rPr>
          <w:fldChar w:fldCharType="begin"/>
        </w:r>
        <w:r>
          <w:rPr>
            <w:noProof/>
          </w:rPr>
          <w:instrText xml:space="preserve"> PAGEREF _Toc80719323 \h </w:instrText>
        </w:r>
        <w:r>
          <w:rPr>
            <w:noProof/>
          </w:rPr>
        </w:r>
        <w:r>
          <w:rPr>
            <w:noProof/>
          </w:rPr>
          <w:fldChar w:fldCharType="separate"/>
        </w:r>
        <w:r>
          <w:rPr>
            <w:noProof/>
          </w:rPr>
          <w:t>2</w:t>
        </w:r>
        <w:r>
          <w:rPr>
            <w:noProof/>
          </w:rPr>
          <w:fldChar w:fldCharType="end"/>
        </w:r>
      </w:hyperlink>
    </w:p>
    <w:p w14:paraId="5B8EF49C" w14:textId="77777777" w:rsidR="00676882" w:rsidRDefault="00676882" w:rsidP="00676882">
      <w:pPr>
        <w:pStyle w:val="TableofFigures"/>
        <w:rPr>
          <w:rFonts w:asciiTheme="minorHAnsi" w:eastAsiaTheme="minorEastAsia" w:hAnsiTheme="minorHAnsi" w:cstheme="minorBidi"/>
          <w:noProof/>
          <w:lang w:eastAsia="zh-CN"/>
        </w:rPr>
      </w:pPr>
      <w:hyperlink w:anchor="_Toc80719324" w:history="1">
        <w:r w:rsidRPr="007D073B">
          <w:rPr>
            <w:rStyle w:val="Hyperlink"/>
            <w:b/>
            <w:noProof/>
          </w:rPr>
          <w:t>Table ES 3</w:t>
        </w:r>
        <w:r>
          <w:rPr>
            <w:rFonts w:asciiTheme="minorHAnsi" w:eastAsiaTheme="minorEastAsia" w:hAnsiTheme="minorHAnsi" w:cstheme="minorBidi"/>
            <w:noProof/>
            <w:lang w:eastAsia="zh-CN"/>
          </w:rPr>
          <w:tab/>
        </w:r>
        <w:r w:rsidRPr="007D073B">
          <w:rPr>
            <w:rStyle w:val="Hyperlink"/>
            <w:noProof/>
          </w:rPr>
          <w:t>Household level impacts for upgraded tenancies (in present value)</w:t>
        </w:r>
        <w:r>
          <w:rPr>
            <w:noProof/>
          </w:rPr>
          <w:tab/>
        </w:r>
        <w:r>
          <w:rPr>
            <w:noProof/>
          </w:rPr>
          <w:fldChar w:fldCharType="begin"/>
        </w:r>
        <w:r>
          <w:rPr>
            <w:noProof/>
          </w:rPr>
          <w:instrText xml:space="preserve"> PAGEREF _Toc80719324 \h </w:instrText>
        </w:r>
        <w:r>
          <w:rPr>
            <w:noProof/>
          </w:rPr>
        </w:r>
        <w:r>
          <w:rPr>
            <w:noProof/>
          </w:rPr>
          <w:fldChar w:fldCharType="separate"/>
        </w:r>
        <w:r>
          <w:rPr>
            <w:noProof/>
          </w:rPr>
          <w:t>3</w:t>
        </w:r>
        <w:r>
          <w:rPr>
            <w:noProof/>
          </w:rPr>
          <w:fldChar w:fldCharType="end"/>
        </w:r>
      </w:hyperlink>
    </w:p>
    <w:p w14:paraId="164AE4F5" w14:textId="77777777" w:rsidR="00676882" w:rsidRDefault="00676882" w:rsidP="00676882">
      <w:pPr>
        <w:pStyle w:val="TableofFigures"/>
        <w:rPr>
          <w:noProof/>
        </w:rPr>
      </w:pPr>
      <w:r>
        <w:rPr>
          <w:b/>
          <w:bCs/>
          <w:noProof/>
          <w:lang w:val="en-US"/>
        </w:rPr>
        <w:fldChar w:fldCharType="end"/>
      </w:r>
      <w:r>
        <w:fldChar w:fldCharType="begin"/>
      </w:r>
      <w:r>
        <w:instrText xml:space="preserve"> TOC \h \c "Table" \* MERGEFORMAT </w:instrText>
      </w:r>
      <w:r>
        <w:fldChar w:fldCharType="separate"/>
      </w:r>
    </w:p>
    <w:p w14:paraId="523E4E24" w14:textId="77777777" w:rsidR="00676882" w:rsidRDefault="00676882" w:rsidP="00676882">
      <w:pPr>
        <w:pStyle w:val="TableofFigures"/>
        <w:rPr>
          <w:rFonts w:asciiTheme="minorHAnsi" w:eastAsiaTheme="minorEastAsia" w:hAnsiTheme="minorHAnsi" w:cstheme="minorBidi"/>
          <w:noProof/>
          <w:lang w:eastAsia="zh-CN"/>
        </w:rPr>
      </w:pPr>
      <w:hyperlink w:anchor="_Toc80719325" w:history="1">
        <w:r w:rsidRPr="003E1FF7">
          <w:rPr>
            <w:rStyle w:val="Hyperlink"/>
            <w:b/>
            <w:noProof/>
          </w:rPr>
          <w:t>Table 4.1</w:t>
        </w:r>
        <w:r>
          <w:rPr>
            <w:rFonts w:asciiTheme="minorHAnsi" w:eastAsiaTheme="minorEastAsia" w:hAnsiTheme="minorHAnsi" w:cstheme="minorBidi"/>
            <w:noProof/>
            <w:lang w:eastAsia="zh-CN"/>
          </w:rPr>
          <w:tab/>
        </w:r>
        <w:r w:rsidRPr="003E1FF7">
          <w:rPr>
            <w:rStyle w:val="Hyperlink"/>
            <w:noProof/>
          </w:rPr>
          <w:t>Summary of factors that influence a household’s motivation, ability and opportunity</w:t>
        </w:r>
        <w:r>
          <w:rPr>
            <w:noProof/>
          </w:rPr>
          <w:tab/>
        </w:r>
        <w:r>
          <w:rPr>
            <w:noProof/>
          </w:rPr>
          <w:fldChar w:fldCharType="begin"/>
        </w:r>
        <w:r>
          <w:rPr>
            <w:noProof/>
          </w:rPr>
          <w:instrText xml:space="preserve"> PAGEREF _Toc80719325 \h </w:instrText>
        </w:r>
        <w:r>
          <w:rPr>
            <w:noProof/>
          </w:rPr>
        </w:r>
        <w:r>
          <w:rPr>
            <w:noProof/>
          </w:rPr>
          <w:fldChar w:fldCharType="separate"/>
        </w:r>
        <w:r>
          <w:rPr>
            <w:noProof/>
          </w:rPr>
          <w:t>28</w:t>
        </w:r>
        <w:r>
          <w:rPr>
            <w:noProof/>
          </w:rPr>
          <w:fldChar w:fldCharType="end"/>
        </w:r>
      </w:hyperlink>
    </w:p>
    <w:p w14:paraId="3B488B54" w14:textId="77777777" w:rsidR="00676882" w:rsidRDefault="00676882" w:rsidP="00676882">
      <w:pPr>
        <w:pStyle w:val="TableofFigures"/>
        <w:rPr>
          <w:rFonts w:asciiTheme="minorHAnsi" w:eastAsiaTheme="minorEastAsia" w:hAnsiTheme="minorHAnsi" w:cstheme="minorBidi"/>
          <w:noProof/>
          <w:lang w:eastAsia="zh-CN"/>
        </w:rPr>
      </w:pPr>
      <w:hyperlink w:anchor="_Toc80719326" w:history="1">
        <w:r w:rsidRPr="003E1FF7">
          <w:rPr>
            <w:rStyle w:val="Hyperlink"/>
            <w:b/>
            <w:noProof/>
          </w:rPr>
          <w:t>Table 5.1</w:t>
        </w:r>
        <w:r>
          <w:rPr>
            <w:rFonts w:asciiTheme="minorHAnsi" w:eastAsiaTheme="minorEastAsia" w:hAnsiTheme="minorHAnsi" w:cstheme="minorBidi"/>
            <w:noProof/>
            <w:lang w:eastAsia="zh-CN"/>
          </w:rPr>
          <w:tab/>
        </w:r>
        <w:r w:rsidRPr="003E1FF7">
          <w:rPr>
            <w:rStyle w:val="Hyperlink"/>
            <w:noProof/>
          </w:rPr>
          <w:t>Headline results, economy-wide analysis</w:t>
        </w:r>
        <w:r>
          <w:rPr>
            <w:noProof/>
          </w:rPr>
          <w:tab/>
        </w:r>
        <w:r>
          <w:rPr>
            <w:noProof/>
          </w:rPr>
          <w:fldChar w:fldCharType="begin"/>
        </w:r>
        <w:r>
          <w:rPr>
            <w:noProof/>
          </w:rPr>
          <w:instrText xml:space="preserve"> PAGEREF _Toc80719326 \h </w:instrText>
        </w:r>
        <w:r>
          <w:rPr>
            <w:noProof/>
          </w:rPr>
        </w:r>
        <w:r>
          <w:rPr>
            <w:noProof/>
          </w:rPr>
          <w:fldChar w:fldCharType="separate"/>
        </w:r>
        <w:r>
          <w:rPr>
            <w:noProof/>
          </w:rPr>
          <w:t>38</w:t>
        </w:r>
        <w:r>
          <w:rPr>
            <w:noProof/>
          </w:rPr>
          <w:fldChar w:fldCharType="end"/>
        </w:r>
      </w:hyperlink>
    </w:p>
    <w:p w14:paraId="6915DD98" w14:textId="77777777" w:rsidR="00676882" w:rsidRDefault="00676882" w:rsidP="00676882">
      <w:pPr>
        <w:pStyle w:val="TableofFigures"/>
        <w:rPr>
          <w:rFonts w:asciiTheme="minorHAnsi" w:eastAsiaTheme="minorEastAsia" w:hAnsiTheme="minorHAnsi" w:cstheme="minorBidi"/>
          <w:noProof/>
          <w:lang w:eastAsia="zh-CN"/>
        </w:rPr>
      </w:pPr>
      <w:hyperlink w:anchor="_Toc80719327" w:history="1">
        <w:r w:rsidRPr="003E1FF7">
          <w:rPr>
            <w:rStyle w:val="Hyperlink"/>
            <w:b/>
            <w:noProof/>
          </w:rPr>
          <w:t>Table 5.2</w:t>
        </w:r>
        <w:r>
          <w:rPr>
            <w:rFonts w:asciiTheme="minorHAnsi" w:eastAsiaTheme="minorEastAsia" w:hAnsiTheme="minorHAnsi" w:cstheme="minorBidi"/>
            <w:noProof/>
            <w:lang w:eastAsia="zh-CN"/>
          </w:rPr>
          <w:tab/>
        </w:r>
        <w:r w:rsidRPr="003E1FF7">
          <w:rPr>
            <w:rStyle w:val="Hyperlink"/>
            <w:noProof/>
          </w:rPr>
          <w:t>Average tenant household impact</w:t>
        </w:r>
        <w:r>
          <w:rPr>
            <w:noProof/>
          </w:rPr>
          <w:tab/>
        </w:r>
        <w:r>
          <w:rPr>
            <w:noProof/>
          </w:rPr>
          <w:fldChar w:fldCharType="begin"/>
        </w:r>
        <w:r>
          <w:rPr>
            <w:noProof/>
          </w:rPr>
          <w:instrText xml:space="preserve"> PAGEREF _Toc80719327 \h </w:instrText>
        </w:r>
        <w:r>
          <w:rPr>
            <w:noProof/>
          </w:rPr>
        </w:r>
        <w:r>
          <w:rPr>
            <w:noProof/>
          </w:rPr>
          <w:fldChar w:fldCharType="separate"/>
        </w:r>
        <w:r>
          <w:rPr>
            <w:noProof/>
          </w:rPr>
          <w:t>48</w:t>
        </w:r>
        <w:r>
          <w:rPr>
            <w:noProof/>
          </w:rPr>
          <w:fldChar w:fldCharType="end"/>
        </w:r>
      </w:hyperlink>
    </w:p>
    <w:p w14:paraId="06E30662" w14:textId="77777777" w:rsidR="00676882" w:rsidRDefault="00676882" w:rsidP="00676882">
      <w:pPr>
        <w:pStyle w:val="TableofFigures"/>
        <w:rPr>
          <w:rFonts w:asciiTheme="minorHAnsi" w:eastAsiaTheme="minorEastAsia" w:hAnsiTheme="minorHAnsi" w:cstheme="minorBidi"/>
          <w:noProof/>
          <w:lang w:eastAsia="zh-CN"/>
        </w:rPr>
      </w:pPr>
      <w:hyperlink w:anchor="_Toc80719328" w:history="1">
        <w:r w:rsidRPr="003E1FF7">
          <w:rPr>
            <w:rStyle w:val="Hyperlink"/>
            <w:b/>
            <w:noProof/>
          </w:rPr>
          <w:t>Table 5.3</w:t>
        </w:r>
        <w:r>
          <w:rPr>
            <w:rFonts w:asciiTheme="minorHAnsi" w:eastAsiaTheme="minorEastAsia" w:hAnsiTheme="minorHAnsi" w:cstheme="minorBidi"/>
            <w:noProof/>
            <w:lang w:eastAsia="zh-CN"/>
          </w:rPr>
          <w:tab/>
        </w:r>
        <w:r w:rsidRPr="003E1FF7">
          <w:rPr>
            <w:rStyle w:val="Hyperlink"/>
            <w:noProof/>
          </w:rPr>
          <w:t>Average tenant household impact – with $800 subsidy to rental providers</w:t>
        </w:r>
        <w:r>
          <w:rPr>
            <w:noProof/>
          </w:rPr>
          <w:tab/>
        </w:r>
        <w:r>
          <w:rPr>
            <w:noProof/>
          </w:rPr>
          <w:fldChar w:fldCharType="begin"/>
        </w:r>
        <w:r>
          <w:rPr>
            <w:noProof/>
          </w:rPr>
          <w:instrText xml:space="preserve"> PAGEREF _Toc80719328 \h </w:instrText>
        </w:r>
        <w:r>
          <w:rPr>
            <w:noProof/>
          </w:rPr>
        </w:r>
        <w:r>
          <w:rPr>
            <w:noProof/>
          </w:rPr>
          <w:fldChar w:fldCharType="separate"/>
        </w:r>
        <w:r>
          <w:rPr>
            <w:noProof/>
          </w:rPr>
          <w:t>49</w:t>
        </w:r>
        <w:r>
          <w:rPr>
            <w:noProof/>
          </w:rPr>
          <w:fldChar w:fldCharType="end"/>
        </w:r>
      </w:hyperlink>
    </w:p>
    <w:p w14:paraId="4E78A23C" w14:textId="77777777" w:rsidR="00676882" w:rsidRDefault="00676882" w:rsidP="00676882">
      <w:pPr>
        <w:pStyle w:val="TableofFigures"/>
        <w:rPr>
          <w:rFonts w:asciiTheme="minorHAnsi" w:eastAsiaTheme="minorEastAsia" w:hAnsiTheme="minorHAnsi" w:cstheme="minorBidi"/>
          <w:noProof/>
          <w:lang w:eastAsia="zh-CN"/>
        </w:rPr>
      </w:pPr>
      <w:hyperlink w:anchor="_Toc80719329" w:history="1">
        <w:r w:rsidRPr="003E1FF7">
          <w:rPr>
            <w:rStyle w:val="Hyperlink"/>
            <w:b/>
            <w:noProof/>
          </w:rPr>
          <w:t>Table 5.4</w:t>
        </w:r>
        <w:r>
          <w:rPr>
            <w:rFonts w:asciiTheme="minorHAnsi" w:eastAsiaTheme="minorEastAsia" w:hAnsiTheme="minorHAnsi" w:cstheme="minorBidi"/>
            <w:noProof/>
            <w:lang w:eastAsia="zh-CN"/>
          </w:rPr>
          <w:tab/>
        </w:r>
        <w:r w:rsidRPr="003E1FF7">
          <w:rPr>
            <w:rStyle w:val="Hyperlink"/>
            <w:noProof/>
          </w:rPr>
          <w:t>Impacts on rental return for Class 1 properties</w:t>
        </w:r>
        <w:r>
          <w:rPr>
            <w:noProof/>
          </w:rPr>
          <w:tab/>
        </w:r>
        <w:r>
          <w:rPr>
            <w:noProof/>
          </w:rPr>
          <w:fldChar w:fldCharType="begin"/>
        </w:r>
        <w:r>
          <w:rPr>
            <w:noProof/>
          </w:rPr>
          <w:instrText xml:space="preserve"> PAGEREF _Toc80719329 \h </w:instrText>
        </w:r>
        <w:r>
          <w:rPr>
            <w:noProof/>
          </w:rPr>
        </w:r>
        <w:r>
          <w:rPr>
            <w:noProof/>
          </w:rPr>
          <w:fldChar w:fldCharType="separate"/>
        </w:r>
        <w:r>
          <w:rPr>
            <w:noProof/>
          </w:rPr>
          <w:t>50</w:t>
        </w:r>
        <w:r>
          <w:rPr>
            <w:noProof/>
          </w:rPr>
          <w:fldChar w:fldCharType="end"/>
        </w:r>
      </w:hyperlink>
    </w:p>
    <w:p w14:paraId="04F4C053" w14:textId="77777777" w:rsidR="00676882" w:rsidRDefault="00676882" w:rsidP="00676882">
      <w:pPr>
        <w:pStyle w:val="TableofFigures"/>
        <w:rPr>
          <w:rFonts w:asciiTheme="minorHAnsi" w:eastAsiaTheme="minorEastAsia" w:hAnsiTheme="minorHAnsi" w:cstheme="minorBidi"/>
          <w:noProof/>
          <w:lang w:eastAsia="zh-CN"/>
        </w:rPr>
      </w:pPr>
      <w:hyperlink w:anchor="_Toc80719330" w:history="1">
        <w:r w:rsidRPr="003E1FF7">
          <w:rPr>
            <w:rStyle w:val="Hyperlink"/>
            <w:b/>
            <w:noProof/>
          </w:rPr>
          <w:t>Table 5.5</w:t>
        </w:r>
        <w:r>
          <w:rPr>
            <w:rFonts w:asciiTheme="minorHAnsi" w:eastAsiaTheme="minorEastAsia" w:hAnsiTheme="minorHAnsi" w:cstheme="minorBidi"/>
            <w:noProof/>
            <w:lang w:eastAsia="zh-CN"/>
          </w:rPr>
          <w:tab/>
        </w:r>
        <w:r w:rsidRPr="003E1FF7">
          <w:rPr>
            <w:rStyle w:val="Hyperlink"/>
            <w:noProof/>
          </w:rPr>
          <w:t>Impacts on rental return for Class 2 properties</w:t>
        </w:r>
        <w:r>
          <w:rPr>
            <w:noProof/>
          </w:rPr>
          <w:tab/>
        </w:r>
        <w:r>
          <w:rPr>
            <w:noProof/>
          </w:rPr>
          <w:fldChar w:fldCharType="begin"/>
        </w:r>
        <w:r>
          <w:rPr>
            <w:noProof/>
          </w:rPr>
          <w:instrText xml:space="preserve"> PAGEREF _Toc80719330 \h </w:instrText>
        </w:r>
        <w:r>
          <w:rPr>
            <w:noProof/>
          </w:rPr>
        </w:r>
        <w:r>
          <w:rPr>
            <w:noProof/>
          </w:rPr>
          <w:fldChar w:fldCharType="separate"/>
        </w:r>
        <w:r>
          <w:rPr>
            <w:noProof/>
          </w:rPr>
          <w:t>50</w:t>
        </w:r>
        <w:r>
          <w:rPr>
            <w:noProof/>
          </w:rPr>
          <w:fldChar w:fldCharType="end"/>
        </w:r>
      </w:hyperlink>
    </w:p>
    <w:p w14:paraId="3C82F28A" w14:textId="77777777" w:rsidR="00676882" w:rsidRDefault="00676882" w:rsidP="00676882">
      <w:pPr>
        <w:pStyle w:val="TableofFigures"/>
        <w:rPr>
          <w:rFonts w:asciiTheme="minorHAnsi" w:eastAsiaTheme="minorEastAsia" w:hAnsiTheme="minorHAnsi" w:cstheme="minorBidi"/>
          <w:noProof/>
          <w:lang w:eastAsia="zh-CN"/>
        </w:rPr>
      </w:pPr>
      <w:hyperlink w:anchor="_Toc80719331" w:history="1">
        <w:r w:rsidRPr="003E1FF7">
          <w:rPr>
            <w:rStyle w:val="Hyperlink"/>
            <w:b/>
            <w:noProof/>
          </w:rPr>
          <w:t>Table 5.6</w:t>
        </w:r>
        <w:r>
          <w:rPr>
            <w:rFonts w:asciiTheme="minorHAnsi" w:eastAsiaTheme="minorEastAsia" w:hAnsiTheme="minorHAnsi" w:cstheme="minorBidi"/>
            <w:noProof/>
            <w:lang w:eastAsia="zh-CN"/>
          </w:rPr>
          <w:tab/>
        </w:r>
        <w:r w:rsidRPr="003E1FF7">
          <w:rPr>
            <w:rStyle w:val="Hyperlink"/>
            <w:noProof/>
          </w:rPr>
          <w:t>Net present value at various discount rates</w:t>
        </w:r>
        <w:r>
          <w:rPr>
            <w:noProof/>
          </w:rPr>
          <w:tab/>
        </w:r>
        <w:r>
          <w:rPr>
            <w:noProof/>
          </w:rPr>
          <w:fldChar w:fldCharType="begin"/>
        </w:r>
        <w:r>
          <w:rPr>
            <w:noProof/>
          </w:rPr>
          <w:instrText xml:space="preserve"> PAGEREF _Toc80719331 \h </w:instrText>
        </w:r>
        <w:r>
          <w:rPr>
            <w:noProof/>
          </w:rPr>
        </w:r>
        <w:r>
          <w:rPr>
            <w:noProof/>
          </w:rPr>
          <w:fldChar w:fldCharType="separate"/>
        </w:r>
        <w:r>
          <w:rPr>
            <w:noProof/>
          </w:rPr>
          <w:t>59</w:t>
        </w:r>
        <w:r>
          <w:rPr>
            <w:noProof/>
          </w:rPr>
          <w:fldChar w:fldCharType="end"/>
        </w:r>
      </w:hyperlink>
    </w:p>
    <w:p w14:paraId="069F6F6E" w14:textId="77777777" w:rsidR="00676882" w:rsidRDefault="00676882" w:rsidP="00676882">
      <w:pPr>
        <w:pStyle w:val="TableofFigures"/>
        <w:rPr>
          <w:rFonts w:asciiTheme="minorHAnsi" w:eastAsiaTheme="minorEastAsia" w:hAnsiTheme="minorHAnsi" w:cstheme="minorBidi"/>
          <w:noProof/>
          <w:lang w:eastAsia="zh-CN"/>
        </w:rPr>
      </w:pPr>
      <w:hyperlink w:anchor="_Toc80719332" w:history="1">
        <w:r w:rsidRPr="003E1FF7">
          <w:rPr>
            <w:rStyle w:val="Hyperlink"/>
            <w:b/>
            <w:noProof/>
          </w:rPr>
          <w:t>Table 5.7</w:t>
        </w:r>
        <w:r>
          <w:rPr>
            <w:rFonts w:asciiTheme="minorHAnsi" w:eastAsiaTheme="minorEastAsia" w:hAnsiTheme="minorHAnsi" w:cstheme="minorBidi"/>
            <w:noProof/>
            <w:lang w:eastAsia="zh-CN"/>
          </w:rPr>
          <w:tab/>
        </w:r>
        <w:r w:rsidRPr="003E1FF7">
          <w:rPr>
            <w:rStyle w:val="Hyperlink"/>
            <w:noProof/>
          </w:rPr>
          <w:t>Energy prices sensitivity testing</w:t>
        </w:r>
        <w:r>
          <w:rPr>
            <w:noProof/>
          </w:rPr>
          <w:tab/>
        </w:r>
        <w:r>
          <w:rPr>
            <w:noProof/>
          </w:rPr>
          <w:fldChar w:fldCharType="begin"/>
        </w:r>
        <w:r>
          <w:rPr>
            <w:noProof/>
          </w:rPr>
          <w:instrText xml:space="preserve"> PAGEREF _Toc80719332 \h </w:instrText>
        </w:r>
        <w:r>
          <w:rPr>
            <w:noProof/>
          </w:rPr>
        </w:r>
        <w:r>
          <w:rPr>
            <w:noProof/>
          </w:rPr>
          <w:fldChar w:fldCharType="separate"/>
        </w:r>
        <w:r>
          <w:rPr>
            <w:noProof/>
          </w:rPr>
          <w:t>60</w:t>
        </w:r>
        <w:r>
          <w:rPr>
            <w:noProof/>
          </w:rPr>
          <w:fldChar w:fldCharType="end"/>
        </w:r>
      </w:hyperlink>
    </w:p>
    <w:p w14:paraId="2D827387" w14:textId="77777777" w:rsidR="00676882" w:rsidRDefault="00676882" w:rsidP="00676882">
      <w:pPr>
        <w:pStyle w:val="TableofFigures"/>
        <w:rPr>
          <w:rFonts w:asciiTheme="minorHAnsi" w:eastAsiaTheme="minorEastAsia" w:hAnsiTheme="minorHAnsi" w:cstheme="minorBidi"/>
          <w:noProof/>
          <w:lang w:eastAsia="zh-CN"/>
        </w:rPr>
      </w:pPr>
      <w:hyperlink w:anchor="_Toc80719333" w:history="1">
        <w:r w:rsidRPr="003E1FF7">
          <w:rPr>
            <w:rStyle w:val="Hyperlink"/>
            <w:b/>
            <w:noProof/>
          </w:rPr>
          <w:t>Table 5.8</w:t>
        </w:r>
        <w:r>
          <w:rPr>
            <w:rFonts w:asciiTheme="minorHAnsi" w:eastAsiaTheme="minorEastAsia" w:hAnsiTheme="minorHAnsi" w:cstheme="minorBidi"/>
            <w:noProof/>
            <w:lang w:eastAsia="zh-CN"/>
          </w:rPr>
          <w:tab/>
        </w:r>
        <w:r w:rsidRPr="003E1FF7">
          <w:rPr>
            <w:rStyle w:val="Hyperlink"/>
            <w:noProof/>
          </w:rPr>
          <w:t>Carbon price sensitivity testing</w:t>
        </w:r>
        <w:r>
          <w:rPr>
            <w:noProof/>
          </w:rPr>
          <w:tab/>
        </w:r>
        <w:r>
          <w:rPr>
            <w:noProof/>
          </w:rPr>
          <w:fldChar w:fldCharType="begin"/>
        </w:r>
        <w:r>
          <w:rPr>
            <w:noProof/>
          </w:rPr>
          <w:instrText xml:space="preserve"> PAGEREF _Toc80719333 \h </w:instrText>
        </w:r>
        <w:r>
          <w:rPr>
            <w:noProof/>
          </w:rPr>
        </w:r>
        <w:r>
          <w:rPr>
            <w:noProof/>
          </w:rPr>
          <w:fldChar w:fldCharType="separate"/>
        </w:r>
        <w:r>
          <w:rPr>
            <w:noProof/>
          </w:rPr>
          <w:t>61</w:t>
        </w:r>
        <w:r>
          <w:rPr>
            <w:noProof/>
          </w:rPr>
          <w:fldChar w:fldCharType="end"/>
        </w:r>
      </w:hyperlink>
    </w:p>
    <w:p w14:paraId="0096CE19" w14:textId="77777777" w:rsidR="00676882" w:rsidRDefault="00676882" w:rsidP="00676882">
      <w:pPr>
        <w:pStyle w:val="TableofFigures"/>
        <w:rPr>
          <w:rFonts w:asciiTheme="minorHAnsi" w:eastAsiaTheme="minorEastAsia" w:hAnsiTheme="minorHAnsi" w:cstheme="minorBidi"/>
          <w:noProof/>
          <w:lang w:eastAsia="zh-CN"/>
        </w:rPr>
      </w:pPr>
      <w:hyperlink w:anchor="_Toc80719334" w:history="1">
        <w:r w:rsidRPr="003E1FF7">
          <w:rPr>
            <w:rStyle w:val="Hyperlink"/>
            <w:b/>
            <w:noProof/>
          </w:rPr>
          <w:t>Table 5.9</w:t>
        </w:r>
        <w:r>
          <w:rPr>
            <w:rFonts w:asciiTheme="minorHAnsi" w:eastAsiaTheme="minorEastAsia" w:hAnsiTheme="minorHAnsi" w:cstheme="minorBidi"/>
            <w:noProof/>
            <w:lang w:eastAsia="zh-CN"/>
          </w:rPr>
          <w:tab/>
        </w:r>
        <w:r w:rsidRPr="003E1FF7">
          <w:rPr>
            <w:rStyle w:val="Hyperlink"/>
            <w:noProof/>
          </w:rPr>
          <w:t>Headline results, health impacts only</w:t>
        </w:r>
        <w:r>
          <w:rPr>
            <w:noProof/>
          </w:rPr>
          <w:tab/>
        </w:r>
        <w:r>
          <w:rPr>
            <w:noProof/>
          </w:rPr>
          <w:fldChar w:fldCharType="begin"/>
        </w:r>
        <w:r>
          <w:rPr>
            <w:noProof/>
          </w:rPr>
          <w:instrText xml:space="preserve"> PAGEREF _Toc80719334 \h </w:instrText>
        </w:r>
        <w:r>
          <w:rPr>
            <w:noProof/>
          </w:rPr>
        </w:r>
        <w:r>
          <w:rPr>
            <w:noProof/>
          </w:rPr>
          <w:fldChar w:fldCharType="separate"/>
        </w:r>
        <w:r>
          <w:rPr>
            <w:noProof/>
          </w:rPr>
          <w:t>62</w:t>
        </w:r>
        <w:r>
          <w:rPr>
            <w:noProof/>
          </w:rPr>
          <w:fldChar w:fldCharType="end"/>
        </w:r>
      </w:hyperlink>
    </w:p>
    <w:p w14:paraId="346D5692" w14:textId="77777777" w:rsidR="00676882" w:rsidRDefault="00676882" w:rsidP="00676882">
      <w:pPr>
        <w:pStyle w:val="TableofFigures"/>
        <w:rPr>
          <w:rFonts w:asciiTheme="minorHAnsi" w:eastAsiaTheme="minorEastAsia" w:hAnsiTheme="minorHAnsi" w:cstheme="minorBidi"/>
          <w:noProof/>
          <w:lang w:eastAsia="zh-CN"/>
        </w:rPr>
      </w:pPr>
      <w:hyperlink w:anchor="_Toc80719335" w:history="1">
        <w:r w:rsidRPr="003E1FF7">
          <w:rPr>
            <w:rStyle w:val="Hyperlink"/>
            <w:b/>
            <w:noProof/>
          </w:rPr>
          <w:t>Table 5.10</w:t>
        </w:r>
        <w:r>
          <w:rPr>
            <w:rFonts w:asciiTheme="minorHAnsi" w:eastAsiaTheme="minorEastAsia" w:hAnsiTheme="minorHAnsi" w:cstheme="minorBidi"/>
            <w:noProof/>
            <w:lang w:eastAsia="zh-CN"/>
          </w:rPr>
          <w:tab/>
        </w:r>
        <w:r w:rsidRPr="003E1FF7">
          <w:rPr>
            <w:rStyle w:val="Hyperlink"/>
            <w:noProof/>
          </w:rPr>
          <w:t>Breakeven point for health benefits</w:t>
        </w:r>
        <w:r>
          <w:rPr>
            <w:noProof/>
          </w:rPr>
          <w:tab/>
        </w:r>
        <w:r>
          <w:rPr>
            <w:noProof/>
          </w:rPr>
          <w:fldChar w:fldCharType="begin"/>
        </w:r>
        <w:r>
          <w:rPr>
            <w:noProof/>
          </w:rPr>
          <w:instrText xml:space="preserve"> PAGEREF _Toc80719335 \h </w:instrText>
        </w:r>
        <w:r>
          <w:rPr>
            <w:noProof/>
          </w:rPr>
        </w:r>
        <w:r>
          <w:rPr>
            <w:noProof/>
          </w:rPr>
          <w:fldChar w:fldCharType="separate"/>
        </w:r>
        <w:r>
          <w:rPr>
            <w:noProof/>
          </w:rPr>
          <w:t>63</w:t>
        </w:r>
        <w:r>
          <w:rPr>
            <w:noProof/>
          </w:rPr>
          <w:fldChar w:fldCharType="end"/>
        </w:r>
      </w:hyperlink>
    </w:p>
    <w:p w14:paraId="619EEF70" w14:textId="77777777" w:rsidR="00676882" w:rsidRDefault="00676882" w:rsidP="00676882">
      <w:pPr>
        <w:pStyle w:val="TableofFigures"/>
        <w:rPr>
          <w:rFonts w:asciiTheme="minorHAnsi" w:eastAsiaTheme="minorEastAsia" w:hAnsiTheme="minorHAnsi" w:cstheme="minorBidi"/>
          <w:noProof/>
          <w:lang w:eastAsia="zh-CN"/>
        </w:rPr>
      </w:pPr>
      <w:hyperlink w:anchor="_Toc80719336" w:history="1">
        <w:r w:rsidRPr="003E1FF7">
          <w:rPr>
            <w:rStyle w:val="Hyperlink"/>
            <w:b/>
            <w:noProof/>
          </w:rPr>
          <w:t>Table 5.11</w:t>
        </w:r>
        <w:r>
          <w:rPr>
            <w:rFonts w:asciiTheme="minorHAnsi" w:eastAsiaTheme="minorEastAsia" w:hAnsiTheme="minorHAnsi" w:cstheme="minorBidi"/>
            <w:noProof/>
            <w:lang w:eastAsia="zh-CN"/>
          </w:rPr>
          <w:tab/>
        </w:r>
        <w:r w:rsidRPr="003E1FF7">
          <w:rPr>
            <w:rStyle w:val="Hyperlink"/>
            <w:noProof/>
          </w:rPr>
          <w:t>Title of Table</w:t>
        </w:r>
        <w:r>
          <w:rPr>
            <w:noProof/>
          </w:rPr>
          <w:tab/>
        </w:r>
        <w:r>
          <w:rPr>
            <w:noProof/>
          </w:rPr>
          <w:fldChar w:fldCharType="begin"/>
        </w:r>
        <w:r>
          <w:rPr>
            <w:noProof/>
          </w:rPr>
          <w:instrText xml:space="preserve"> PAGEREF _Toc80719336 \h </w:instrText>
        </w:r>
        <w:r>
          <w:rPr>
            <w:noProof/>
          </w:rPr>
        </w:r>
        <w:r>
          <w:rPr>
            <w:noProof/>
          </w:rPr>
          <w:fldChar w:fldCharType="separate"/>
        </w:r>
        <w:r>
          <w:rPr>
            <w:noProof/>
          </w:rPr>
          <w:t>63</w:t>
        </w:r>
        <w:r>
          <w:rPr>
            <w:noProof/>
          </w:rPr>
          <w:fldChar w:fldCharType="end"/>
        </w:r>
      </w:hyperlink>
    </w:p>
    <w:p w14:paraId="29547D35" w14:textId="77777777" w:rsidR="00676882" w:rsidRDefault="00676882" w:rsidP="00676882">
      <w:pPr>
        <w:pStyle w:val="TableofFigures"/>
        <w:rPr>
          <w:noProof/>
        </w:rPr>
      </w:pPr>
      <w:r>
        <w:fldChar w:fldCharType="end"/>
      </w:r>
      <w:r>
        <w:fldChar w:fldCharType="begin"/>
      </w:r>
      <w:r>
        <w:instrText xml:space="preserve"> TOC \h \c "Table AP" \* MERGEFORMAT </w:instrText>
      </w:r>
      <w:r>
        <w:fldChar w:fldCharType="separate"/>
      </w:r>
    </w:p>
    <w:p w14:paraId="2954306C" w14:textId="77777777" w:rsidR="00676882" w:rsidRDefault="00676882" w:rsidP="00676882">
      <w:pPr>
        <w:pStyle w:val="TableofFigures"/>
        <w:rPr>
          <w:rFonts w:asciiTheme="minorHAnsi" w:eastAsiaTheme="minorEastAsia" w:hAnsiTheme="minorHAnsi" w:cstheme="minorBidi"/>
          <w:noProof/>
          <w:lang w:eastAsia="zh-CN"/>
        </w:rPr>
      </w:pPr>
      <w:hyperlink w:anchor="_Toc80719337" w:history="1">
        <w:r w:rsidRPr="00581028">
          <w:rPr>
            <w:rStyle w:val="Hyperlink"/>
            <w:b/>
            <w:noProof/>
          </w:rPr>
          <w:t>Table A.1</w:t>
        </w:r>
        <w:r>
          <w:rPr>
            <w:rFonts w:asciiTheme="minorHAnsi" w:eastAsiaTheme="minorEastAsia" w:hAnsiTheme="minorHAnsi" w:cstheme="minorBidi"/>
            <w:noProof/>
            <w:lang w:eastAsia="zh-CN"/>
          </w:rPr>
          <w:tab/>
        </w:r>
        <w:r w:rsidRPr="00581028">
          <w:rPr>
            <w:rStyle w:val="Hyperlink"/>
            <w:noProof/>
          </w:rPr>
          <w:t>Councils that have taken enforcement action, July 2020</w:t>
        </w:r>
        <w:r>
          <w:rPr>
            <w:noProof/>
          </w:rPr>
          <w:tab/>
        </w:r>
        <w:r>
          <w:rPr>
            <w:noProof/>
          </w:rPr>
          <w:fldChar w:fldCharType="begin"/>
        </w:r>
        <w:r>
          <w:rPr>
            <w:noProof/>
          </w:rPr>
          <w:instrText xml:space="preserve"> PAGEREF _Toc80719337 \h </w:instrText>
        </w:r>
        <w:r>
          <w:rPr>
            <w:noProof/>
          </w:rPr>
        </w:r>
        <w:r>
          <w:rPr>
            <w:noProof/>
          </w:rPr>
          <w:fldChar w:fldCharType="separate"/>
        </w:r>
        <w:r>
          <w:rPr>
            <w:noProof/>
          </w:rPr>
          <w:t>A-3</w:t>
        </w:r>
        <w:r>
          <w:rPr>
            <w:noProof/>
          </w:rPr>
          <w:fldChar w:fldCharType="end"/>
        </w:r>
      </w:hyperlink>
    </w:p>
    <w:p w14:paraId="1DD274BB" w14:textId="77777777" w:rsidR="00676882" w:rsidRDefault="00676882" w:rsidP="00676882">
      <w:pPr>
        <w:pStyle w:val="TableofFigures"/>
        <w:rPr>
          <w:rFonts w:asciiTheme="minorHAnsi" w:eastAsiaTheme="minorEastAsia" w:hAnsiTheme="minorHAnsi" w:cstheme="minorBidi"/>
          <w:noProof/>
          <w:lang w:eastAsia="zh-CN"/>
        </w:rPr>
      </w:pPr>
      <w:hyperlink w:anchor="_Toc80719338" w:history="1">
        <w:r w:rsidRPr="00581028">
          <w:rPr>
            <w:rStyle w:val="Hyperlink"/>
            <w:b/>
            <w:noProof/>
          </w:rPr>
          <w:t>Table B.1</w:t>
        </w:r>
        <w:r>
          <w:rPr>
            <w:rFonts w:asciiTheme="minorHAnsi" w:eastAsiaTheme="minorEastAsia" w:hAnsiTheme="minorHAnsi" w:cstheme="minorBidi"/>
            <w:noProof/>
            <w:lang w:eastAsia="zh-CN"/>
          </w:rPr>
          <w:tab/>
        </w:r>
        <w:r w:rsidRPr="00581028">
          <w:rPr>
            <w:rStyle w:val="Hyperlink"/>
            <w:noProof/>
          </w:rPr>
          <w:t>Costs and benefits included in the CBA model</w:t>
        </w:r>
        <w:r>
          <w:rPr>
            <w:noProof/>
          </w:rPr>
          <w:tab/>
        </w:r>
        <w:r>
          <w:rPr>
            <w:noProof/>
          </w:rPr>
          <w:fldChar w:fldCharType="begin"/>
        </w:r>
        <w:r>
          <w:rPr>
            <w:noProof/>
          </w:rPr>
          <w:instrText xml:space="preserve"> PAGEREF _Toc80719338 \h </w:instrText>
        </w:r>
        <w:r>
          <w:rPr>
            <w:noProof/>
          </w:rPr>
        </w:r>
        <w:r>
          <w:rPr>
            <w:noProof/>
          </w:rPr>
          <w:fldChar w:fldCharType="separate"/>
        </w:r>
        <w:r>
          <w:rPr>
            <w:noProof/>
          </w:rPr>
          <w:t>B-2</w:t>
        </w:r>
        <w:r>
          <w:rPr>
            <w:noProof/>
          </w:rPr>
          <w:fldChar w:fldCharType="end"/>
        </w:r>
      </w:hyperlink>
    </w:p>
    <w:p w14:paraId="2DD4E714" w14:textId="77777777" w:rsidR="00676882" w:rsidRDefault="00676882" w:rsidP="00676882">
      <w:pPr>
        <w:pStyle w:val="TableofFigures"/>
        <w:rPr>
          <w:rFonts w:asciiTheme="minorHAnsi" w:eastAsiaTheme="minorEastAsia" w:hAnsiTheme="minorHAnsi" w:cstheme="minorBidi"/>
          <w:noProof/>
          <w:lang w:eastAsia="zh-CN"/>
        </w:rPr>
      </w:pPr>
      <w:hyperlink w:anchor="_Toc80719339" w:history="1">
        <w:r w:rsidRPr="00581028">
          <w:rPr>
            <w:rStyle w:val="Hyperlink"/>
            <w:b/>
            <w:noProof/>
          </w:rPr>
          <w:t>Table B.2</w:t>
        </w:r>
        <w:r>
          <w:rPr>
            <w:rFonts w:asciiTheme="minorHAnsi" w:eastAsiaTheme="minorEastAsia" w:hAnsiTheme="minorHAnsi" w:cstheme="minorBidi"/>
            <w:noProof/>
            <w:lang w:eastAsia="zh-CN"/>
          </w:rPr>
          <w:tab/>
        </w:r>
        <w:r w:rsidRPr="00581028">
          <w:rPr>
            <w:rStyle w:val="Hyperlink"/>
            <w:noProof/>
          </w:rPr>
          <w:t>Breakdown of estimated health benefits</w:t>
        </w:r>
        <w:r>
          <w:rPr>
            <w:noProof/>
          </w:rPr>
          <w:tab/>
        </w:r>
        <w:r>
          <w:rPr>
            <w:noProof/>
          </w:rPr>
          <w:fldChar w:fldCharType="begin"/>
        </w:r>
        <w:r>
          <w:rPr>
            <w:noProof/>
          </w:rPr>
          <w:instrText xml:space="preserve"> PAGEREF _Toc80719339 \h </w:instrText>
        </w:r>
        <w:r>
          <w:rPr>
            <w:noProof/>
          </w:rPr>
        </w:r>
        <w:r>
          <w:rPr>
            <w:noProof/>
          </w:rPr>
          <w:fldChar w:fldCharType="separate"/>
        </w:r>
        <w:r>
          <w:rPr>
            <w:noProof/>
          </w:rPr>
          <w:t>B-12</w:t>
        </w:r>
        <w:r>
          <w:rPr>
            <w:noProof/>
          </w:rPr>
          <w:fldChar w:fldCharType="end"/>
        </w:r>
      </w:hyperlink>
    </w:p>
    <w:p w14:paraId="5BB1A622" w14:textId="77777777" w:rsidR="00676882" w:rsidRDefault="00676882" w:rsidP="00676882">
      <w:pPr>
        <w:pStyle w:val="TableofFigures"/>
        <w:rPr>
          <w:rFonts w:asciiTheme="minorHAnsi" w:eastAsiaTheme="minorEastAsia" w:hAnsiTheme="minorHAnsi" w:cstheme="minorBidi"/>
          <w:noProof/>
          <w:lang w:eastAsia="zh-CN"/>
        </w:rPr>
      </w:pPr>
      <w:hyperlink w:anchor="_Toc80719340" w:history="1">
        <w:r w:rsidRPr="00581028">
          <w:rPr>
            <w:rStyle w:val="Hyperlink"/>
            <w:b/>
            <w:noProof/>
          </w:rPr>
          <w:t>Table B.3</w:t>
        </w:r>
        <w:r>
          <w:rPr>
            <w:rFonts w:asciiTheme="minorHAnsi" w:eastAsiaTheme="minorEastAsia" w:hAnsiTheme="minorHAnsi" w:cstheme="minorBidi"/>
            <w:noProof/>
            <w:lang w:eastAsia="zh-CN"/>
          </w:rPr>
          <w:tab/>
        </w:r>
        <w:r w:rsidRPr="00581028">
          <w:rPr>
            <w:rStyle w:val="Hyperlink"/>
            <w:noProof/>
          </w:rPr>
          <w:t>Natural gas emissions factors, kg CO2-e/GJ</w:t>
        </w:r>
        <w:r>
          <w:rPr>
            <w:noProof/>
          </w:rPr>
          <w:tab/>
        </w:r>
        <w:r>
          <w:rPr>
            <w:noProof/>
          </w:rPr>
          <w:fldChar w:fldCharType="begin"/>
        </w:r>
        <w:r>
          <w:rPr>
            <w:noProof/>
          </w:rPr>
          <w:instrText xml:space="preserve"> PAGEREF _Toc80719340 \h </w:instrText>
        </w:r>
        <w:r>
          <w:rPr>
            <w:noProof/>
          </w:rPr>
        </w:r>
        <w:r>
          <w:rPr>
            <w:noProof/>
          </w:rPr>
          <w:fldChar w:fldCharType="separate"/>
        </w:r>
        <w:r>
          <w:rPr>
            <w:noProof/>
          </w:rPr>
          <w:t>B-13</w:t>
        </w:r>
        <w:r>
          <w:rPr>
            <w:noProof/>
          </w:rPr>
          <w:fldChar w:fldCharType="end"/>
        </w:r>
      </w:hyperlink>
    </w:p>
    <w:p w14:paraId="493F4536" w14:textId="77777777" w:rsidR="00676882" w:rsidRDefault="00676882" w:rsidP="00676882">
      <w:pPr>
        <w:pStyle w:val="TableofFigures"/>
        <w:rPr>
          <w:rFonts w:asciiTheme="minorHAnsi" w:eastAsiaTheme="minorEastAsia" w:hAnsiTheme="minorHAnsi" w:cstheme="minorBidi"/>
          <w:noProof/>
          <w:lang w:eastAsia="zh-CN"/>
        </w:rPr>
      </w:pPr>
      <w:hyperlink w:anchor="_Toc80719341" w:history="1">
        <w:r w:rsidRPr="00581028">
          <w:rPr>
            <w:rStyle w:val="Hyperlink"/>
            <w:b/>
            <w:noProof/>
          </w:rPr>
          <w:t>Table B.4</w:t>
        </w:r>
        <w:r>
          <w:rPr>
            <w:rFonts w:asciiTheme="minorHAnsi" w:eastAsiaTheme="minorEastAsia" w:hAnsiTheme="minorHAnsi" w:cstheme="minorBidi"/>
            <w:noProof/>
            <w:lang w:eastAsia="zh-CN"/>
          </w:rPr>
          <w:tab/>
        </w:r>
        <w:r w:rsidRPr="00581028">
          <w:rPr>
            <w:rStyle w:val="Hyperlink"/>
            <w:noProof/>
          </w:rPr>
          <w:t>Social cost of carbon estimates, 2020 – 2050 (in Australian 2020 dollars, per tonne of CO2)</w:t>
        </w:r>
        <w:r>
          <w:rPr>
            <w:noProof/>
          </w:rPr>
          <w:tab/>
        </w:r>
        <w:r>
          <w:rPr>
            <w:noProof/>
          </w:rPr>
          <w:fldChar w:fldCharType="begin"/>
        </w:r>
        <w:r>
          <w:rPr>
            <w:noProof/>
          </w:rPr>
          <w:instrText xml:space="preserve"> PAGEREF _Toc80719341 \h </w:instrText>
        </w:r>
        <w:r>
          <w:rPr>
            <w:noProof/>
          </w:rPr>
        </w:r>
        <w:r>
          <w:rPr>
            <w:noProof/>
          </w:rPr>
          <w:fldChar w:fldCharType="separate"/>
        </w:r>
        <w:r>
          <w:rPr>
            <w:noProof/>
          </w:rPr>
          <w:t>B-15</w:t>
        </w:r>
        <w:r>
          <w:rPr>
            <w:noProof/>
          </w:rPr>
          <w:fldChar w:fldCharType="end"/>
        </w:r>
      </w:hyperlink>
    </w:p>
    <w:p w14:paraId="1B4F00CF" w14:textId="77777777" w:rsidR="00676882" w:rsidRDefault="00676882" w:rsidP="00676882">
      <w:pPr>
        <w:pStyle w:val="TableofFigures"/>
        <w:rPr>
          <w:rFonts w:asciiTheme="minorHAnsi" w:eastAsiaTheme="minorEastAsia" w:hAnsiTheme="minorHAnsi" w:cstheme="minorBidi"/>
          <w:noProof/>
          <w:lang w:eastAsia="zh-CN"/>
        </w:rPr>
      </w:pPr>
      <w:hyperlink w:anchor="_Toc80719342" w:history="1">
        <w:r w:rsidRPr="00581028">
          <w:rPr>
            <w:rStyle w:val="Hyperlink"/>
            <w:b/>
            <w:noProof/>
          </w:rPr>
          <w:t>Table B.5</w:t>
        </w:r>
        <w:r>
          <w:rPr>
            <w:rFonts w:asciiTheme="minorHAnsi" w:eastAsiaTheme="minorEastAsia" w:hAnsiTheme="minorHAnsi" w:cstheme="minorBidi"/>
            <w:noProof/>
            <w:lang w:eastAsia="zh-CN"/>
          </w:rPr>
          <w:tab/>
        </w:r>
        <w:r w:rsidRPr="00581028">
          <w:rPr>
            <w:rStyle w:val="Hyperlink"/>
            <w:noProof/>
          </w:rPr>
          <w:t>Conservation load factors</w:t>
        </w:r>
        <w:r>
          <w:rPr>
            <w:noProof/>
          </w:rPr>
          <w:tab/>
        </w:r>
        <w:r>
          <w:rPr>
            <w:noProof/>
          </w:rPr>
          <w:fldChar w:fldCharType="begin"/>
        </w:r>
        <w:r>
          <w:rPr>
            <w:noProof/>
          </w:rPr>
          <w:instrText xml:space="preserve"> PAGEREF _Toc80719342 \h </w:instrText>
        </w:r>
        <w:r>
          <w:rPr>
            <w:noProof/>
          </w:rPr>
        </w:r>
        <w:r>
          <w:rPr>
            <w:noProof/>
          </w:rPr>
          <w:fldChar w:fldCharType="separate"/>
        </w:r>
        <w:r>
          <w:rPr>
            <w:noProof/>
          </w:rPr>
          <w:t>B-16</w:t>
        </w:r>
        <w:r>
          <w:rPr>
            <w:noProof/>
          </w:rPr>
          <w:fldChar w:fldCharType="end"/>
        </w:r>
      </w:hyperlink>
    </w:p>
    <w:p w14:paraId="40DED705" w14:textId="77777777" w:rsidR="00676882" w:rsidRDefault="00676882" w:rsidP="00676882">
      <w:pPr>
        <w:pStyle w:val="TableofFigures"/>
        <w:rPr>
          <w:rFonts w:asciiTheme="minorHAnsi" w:eastAsiaTheme="minorEastAsia" w:hAnsiTheme="minorHAnsi" w:cstheme="minorBidi"/>
          <w:noProof/>
          <w:lang w:eastAsia="zh-CN"/>
        </w:rPr>
      </w:pPr>
      <w:hyperlink w:anchor="_Toc80719343" w:history="1">
        <w:r w:rsidRPr="00581028">
          <w:rPr>
            <w:rStyle w:val="Hyperlink"/>
            <w:b/>
            <w:noProof/>
          </w:rPr>
          <w:t>Table B.6</w:t>
        </w:r>
        <w:r>
          <w:rPr>
            <w:rFonts w:asciiTheme="minorHAnsi" w:eastAsiaTheme="minorEastAsia" w:hAnsiTheme="minorHAnsi" w:cstheme="minorBidi"/>
            <w:noProof/>
            <w:lang w:eastAsia="zh-CN"/>
          </w:rPr>
          <w:tab/>
        </w:r>
        <w:r w:rsidRPr="00581028">
          <w:rPr>
            <w:rStyle w:val="Hyperlink"/>
            <w:noProof/>
          </w:rPr>
          <w:t>Costs, benefits and assumptions included in the CBA model – insulation</w:t>
        </w:r>
        <w:r>
          <w:rPr>
            <w:noProof/>
          </w:rPr>
          <w:tab/>
        </w:r>
        <w:r>
          <w:rPr>
            <w:noProof/>
          </w:rPr>
          <w:fldChar w:fldCharType="begin"/>
        </w:r>
        <w:r>
          <w:rPr>
            <w:noProof/>
          </w:rPr>
          <w:instrText xml:space="preserve"> PAGEREF _Toc80719343 \h </w:instrText>
        </w:r>
        <w:r>
          <w:rPr>
            <w:noProof/>
          </w:rPr>
        </w:r>
        <w:r>
          <w:rPr>
            <w:noProof/>
          </w:rPr>
          <w:fldChar w:fldCharType="separate"/>
        </w:r>
        <w:r>
          <w:rPr>
            <w:noProof/>
          </w:rPr>
          <w:t>B-24</w:t>
        </w:r>
        <w:r>
          <w:rPr>
            <w:noProof/>
          </w:rPr>
          <w:fldChar w:fldCharType="end"/>
        </w:r>
      </w:hyperlink>
    </w:p>
    <w:p w14:paraId="3FEBC225" w14:textId="77777777" w:rsidR="00676882" w:rsidRDefault="00676882" w:rsidP="00676882">
      <w:pPr>
        <w:pStyle w:val="TableofFigures"/>
        <w:rPr>
          <w:rFonts w:asciiTheme="minorHAnsi" w:eastAsiaTheme="minorEastAsia" w:hAnsiTheme="minorHAnsi" w:cstheme="minorBidi"/>
          <w:noProof/>
          <w:lang w:eastAsia="zh-CN"/>
        </w:rPr>
      </w:pPr>
      <w:hyperlink w:anchor="_Toc80719344" w:history="1">
        <w:r w:rsidRPr="00581028">
          <w:rPr>
            <w:rStyle w:val="Hyperlink"/>
            <w:b/>
            <w:noProof/>
          </w:rPr>
          <w:t>Table B.7</w:t>
        </w:r>
        <w:r>
          <w:rPr>
            <w:rFonts w:asciiTheme="minorHAnsi" w:eastAsiaTheme="minorEastAsia" w:hAnsiTheme="minorHAnsi" w:cstheme="minorBidi"/>
            <w:noProof/>
            <w:lang w:eastAsia="zh-CN"/>
          </w:rPr>
          <w:tab/>
        </w:r>
        <w:r w:rsidRPr="00581028">
          <w:rPr>
            <w:rStyle w:val="Hyperlink"/>
            <w:noProof/>
          </w:rPr>
          <w:t>Costs, benefits and assumptions included in the CBA model – heater</w:t>
        </w:r>
        <w:r>
          <w:rPr>
            <w:noProof/>
          </w:rPr>
          <w:tab/>
        </w:r>
        <w:r>
          <w:rPr>
            <w:noProof/>
          </w:rPr>
          <w:fldChar w:fldCharType="begin"/>
        </w:r>
        <w:r>
          <w:rPr>
            <w:noProof/>
          </w:rPr>
          <w:instrText xml:space="preserve"> PAGEREF _Toc80719344 \h </w:instrText>
        </w:r>
        <w:r>
          <w:rPr>
            <w:noProof/>
          </w:rPr>
        </w:r>
        <w:r>
          <w:rPr>
            <w:noProof/>
          </w:rPr>
          <w:fldChar w:fldCharType="separate"/>
        </w:r>
        <w:r>
          <w:rPr>
            <w:noProof/>
          </w:rPr>
          <w:t>B-27</w:t>
        </w:r>
        <w:r>
          <w:rPr>
            <w:noProof/>
          </w:rPr>
          <w:fldChar w:fldCharType="end"/>
        </w:r>
      </w:hyperlink>
    </w:p>
    <w:p w14:paraId="5283CB6C" w14:textId="77777777" w:rsidR="00676882" w:rsidRDefault="00676882" w:rsidP="00676882">
      <w:pPr>
        <w:pStyle w:val="TableofFigures"/>
        <w:rPr>
          <w:rFonts w:asciiTheme="minorHAnsi" w:eastAsiaTheme="minorEastAsia" w:hAnsiTheme="minorHAnsi" w:cstheme="minorBidi"/>
          <w:noProof/>
          <w:lang w:eastAsia="zh-CN"/>
        </w:rPr>
      </w:pPr>
      <w:hyperlink w:anchor="_Toc80719345" w:history="1">
        <w:r w:rsidRPr="00581028">
          <w:rPr>
            <w:rStyle w:val="Hyperlink"/>
            <w:b/>
            <w:noProof/>
          </w:rPr>
          <w:t>Table B.8</w:t>
        </w:r>
        <w:r>
          <w:rPr>
            <w:rFonts w:asciiTheme="minorHAnsi" w:eastAsiaTheme="minorEastAsia" w:hAnsiTheme="minorHAnsi" w:cstheme="minorBidi"/>
            <w:noProof/>
            <w:lang w:eastAsia="zh-CN"/>
          </w:rPr>
          <w:tab/>
        </w:r>
        <w:r w:rsidRPr="00581028">
          <w:rPr>
            <w:rStyle w:val="Hyperlink"/>
            <w:noProof/>
          </w:rPr>
          <w:t>Costs, benefits and assumptions included in the CBA model – performance</w:t>
        </w:r>
        <w:r>
          <w:rPr>
            <w:noProof/>
          </w:rPr>
          <w:tab/>
        </w:r>
        <w:r>
          <w:rPr>
            <w:noProof/>
          </w:rPr>
          <w:fldChar w:fldCharType="begin"/>
        </w:r>
        <w:r>
          <w:rPr>
            <w:noProof/>
          </w:rPr>
          <w:instrText xml:space="preserve"> PAGEREF _Toc80719345 \h </w:instrText>
        </w:r>
        <w:r>
          <w:rPr>
            <w:noProof/>
          </w:rPr>
        </w:r>
        <w:r>
          <w:rPr>
            <w:noProof/>
          </w:rPr>
          <w:fldChar w:fldCharType="separate"/>
        </w:r>
        <w:r>
          <w:rPr>
            <w:noProof/>
          </w:rPr>
          <w:t>B-30</w:t>
        </w:r>
        <w:r>
          <w:rPr>
            <w:noProof/>
          </w:rPr>
          <w:fldChar w:fldCharType="end"/>
        </w:r>
      </w:hyperlink>
    </w:p>
    <w:p w14:paraId="251FE11A" w14:textId="77777777" w:rsidR="00676882" w:rsidRDefault="00676882" w:rsidP="00676882">
      <w:pPr>
        <w:pStyle w:val="TableofFigures"/>
        <w:rPr>
          <w:rFonts w:asciiTheme="minorHAnsi" w:eastAsiaTheme="minorEastAsia" w:hAnsiTheme="minorHAnsi" w:cstheme="minorBidi"/>
          <w:noProof/>
          <w:lang w:eastAsia="zh-CN"/>
        </w:rPr>
      </w:pPr>
      <w:hyperlink w:anchor="_Toc80719346" w:history="1">
        <w:r w:rsidRPr="00581028">
          <w:rPr>
            <w:rStyle w:val="Hyperlink"/>
            <w:b/>
            <w:noProof/>
          </w:rPr>
          <w:t>Table C.1</w:t>
        </w:r>
        <w:r>
          <w:rPr>
            <w:rFonts w:asciiTheme="minorHAnsi" w:eastAsiaTheme="minorEastAsia" w:hAnsiTheme="minorHAnsi" w:cstheme="minorBidi"/>
            <w:noProof/>
            <w:lang w:eastAsia="zh-CN"/>
          </w:rPr>
          <w:tab/>
        </w:r>
        <w:r w:rsidRPr="00581028">
          <w:rPr>
            <w:rStyle w:val="Hyperlink"/>
            <w:noProof/>
          </w:rPr>
          <w:t>ACT Housing stock projections</w:t>
        </w:r>
        <w:r>
          <w:rPr>
            <w:noProof/>
          </w:rPr>
          <w:tab/>
        </w:r>
        <w:r>
          <w:rPr>
            <w:noProof/>
          </w:rPr>
          <w:fldChar w:fldCharType="begin"/>
        </w:r>
        <w:r>
          <w:rPr>
            <w:noProof/>
          </w:rPr>
          <w:instrText xml:space="preserve"> PAGEREF _Toc80719346 \h </w:instrText>
        </w:r>
        <w:r>
          <w:rPr>
            <w:noProof/>
          </w:rPr>
        </w:r>
        <w:r>
          <w:rPr>
            <w:noProof/>
          </w:rPr>
          <w:fldChar w:fldCharType="separate"/>
        </w:r>
        <w:r>
          <w:rPr>
            <w:noProof/>
          </w:rPr>
          <w:t>C-3</w:t>
        </w:r>
        <w:r>
          <w:rPr>
            <w:noProof/>
          </w:rPr>
          <w:fldChar w:fldCharType="end"/>
        </w:r>
      </w:hyperlink>
    </w:p>
    <w:p w14:paraId="530B6761" w14:textId="77777777" w:rsidR="00676882" w:rsidRDefault="00676882" w:rsidP="00676882">
      <w:pPr>
        <w:pStyle w:val="TableofFigures"/>
        <w:rPr>
          <w:rFonts w:asciiTheme="minorHAnsi" w:eastAsiaTheme="minorEastAsia" w:hAnsiTheme="minorHAnsi" w:cstheme="minorBidi"/>
          <w:noProof/>
          <w:lang w:eastAsia="zh-CN"/>
        </w:rPr>
      </w:pPr>
      <w:hyperlink w:anchor="_Toc80719347" w:history="1">
        <w:r w:rsidRPr="00581028">
          <w:rPr>
            <w:rStyle w:val="Hyperlink"/>
            <w:b/>
            <w:noProof/>
          </w:rPr>
          <w:t>Table C.2</w:t>
        </w:r>
        <w:r>
          <w:rPr>
            <w:rFonts w:asciiTheme="minorHAnsi" w:eastAsiaTheme="minorEastAsia" w:hAnsiTheme="minorHAnsi" w:cstheme="minorBidi"/>
            <w:noProof/>
            <w:lang w:eastAsia="zh-CN"/>
          </w:rPr>
          <w:tab/>
        </w:r>
        <w:r w:rsidRPr="00581028">
          <w:rPr>
            <w:rStyle w:val="Hyperlink"/>
            <w:noProof/>
          </w:rPr>
          <w:t>Propensity of ceiling insulation, Canberra housing stock</w:t>
        </w:r>
        <w:r>
          <w:rPr>
            <w:noProof/>
          </w:rPr>
          <w:tab/>
        </w:r>
        <w:r>
          <w:rPr>
            <w:noProof/>
          </w:rPr>
          <w:fldChar w:fldCharType="begin"/>
        </w:r>
        <w:r>
          <w:rPr>
            <w:noProof/>
          </w:rPr>
          <w:instrText xml:space="preserve"> PAGEREF _Toc80719347 \h </w:instrText>
        </w:r>
        <w:r>
          <w:rPr>
            <w:noProof/>
          </w:rPr>
        </w:r>
        <w:r>
          <w:rPr>
            <w:noProof/>
          </w:rPr>
          <w:fldChar w:fldCharType="separate"/>
        </w:r>
        <w:r>
          <w:rPr>
            <w:noProof/>
          </w:rPr>
          <w:t>C-5</w:t>
        </w:r>
        <w:r>
          <w:rPr>
            <w:noProof/>
          </w:rPr>
          <w:fldChar w:fldCharType="end"/>
        </w:r>
      </w:hyperlink>
    </w:p>
    <w:p w14:paraId="7789D245" w14:textId="77777777" w:rsidR="00676882" w:rsidRDefault="00676882" w:rsidP="00676882">
      <w:pPr>
        <w:pStyle w:val="TableofFigures"/>
        <w:rPr>
          <w:rFonts w:asciiTheme="minorHAnsi" w:eastAsiaTheme="minorEastAsia" w:hAnsiTheme="minorHAnsi" w:cstheme="minorBidi"/>
          <w:noProof/>
          <w:lang w:eastAsia="zh-CN"/>
        </w:rPr>
      </w:pPr>
      <w:hyperlink w:anchor="_Toc80719348" w:history="1">
        <w:r w:rsidRPr="00581028">
          <w:rPr>
            <w:rStyle w:val="Hyperlink"/>
            <w:b/>
            <w:noProof/>
          </w:rPr>
          <w:t>Table C.3</w:t>
        </w:r>
        <w:r>
          <w:rPr>
            <w:rFonts w:asciiTheme="minorHAnsi" w:eastAsiaTheme="minorEastAsia" w:hAnsiTheme="minorHAnsi" w:cstheme="minorBidi"/>
            <w:noProof/>
            <w:lang w:eastAsia="zh-CN"/>
          </w:rPr>
          <w:tab/>
        </w:r>
        <w:r w:rsidRPr="00581028">
          <w:rPr>
            <w:rStyle w:val="Hyperlink"/>
            <w:noProof/>
          </w:rPr>
          <w:t>Thermal Performance Characteristics of Ceiling Insulation Type, MJ/m</w:t>
        </w:r>
        <w:r w:rsidRPr="00581028">
          <w:rPr>
            <w:rStyle w:val="Hyperlink"/>
            <w:noProof/>
            <w:vertAlign w:val="superscript"/>
          </w:rPr>
          <w:t>2</w:t>
        </w:r>
        <w:r w:rsidRPr="00581028">
          <w:rPr>
            <w:rStyle w:val="Hyperlink"/>
            <w:noProof/>
          </w:rPr>
          <w:t>/yr</w:t>
        </w:r>
        <w:r>
          <w:rPr>
            <w:noProof/>
          </w:rPr>
          <w:tab/>
        </w:r>
        <w:r>
          <w:rPr>
            <w:noProof/>
          </w:rPr>
          <w:fldChar w:fldCharType="begin"/>
        </w:r>
        <w:r>
          <w:rPr>
            <w:noProof/>
          </w:rPr>
          <w:instrText xml:space="preserve"> PAGEREF _Toc80719348 \h </w:instrText>
        </w:r>
        <w:r>
          <w:rPr>
            <w:noProof/>
          </w:rPr>
        </w:r>
        <w:r>
          <w:rPr>
            <w:noProof/>
          </w:rPr>
          <w:fldChar w:fldCharType="separate"/>
        </w:r>
        <w:r>
          <w:rPr>
            <w:noProof/>
          </w:rPr>
          <w:t>C-6</w:t>
        </w:r>
        <w:r>
          <w:rPr>
            <w:noProof/>
          </w:rPr>
          <w:fldChar w:fldCharType="end"/>
        </w:r>
      </w:hyperlink>
    </w:p>
    <w:p w14:paraId="7D549FB1" w14:textId="77777777" w:rsidR="00676882" w:rsidRDefault="00676882" w:rsidP="00676882">
      <w:pPr>
        <w:pStyle w:val="TableofFigures"/>
        <w:rPr>
          <w:rFonts w:asciiTheme="minorHAnsi" w:eastAsiaTheme="minorEastAsia" w:hAnsiTheme="minorHAnsi" w:cstheme="minorBidi"/>
          <w:noProof/>
          <w:lang w:eastAsia="zh-CN"/>
        </w:rPr>
      </w:pPr>
      <w:hyperlink w:anchor="_Toc80719349" w:history="1">
        <w:r w:rsidRPr="00581028">
          <w:rPr>
            <w:rStyle w:val="Hyperlink"/>
            <w:b/>
            <w:noProof/>
          </w:rPr>
          <w:t>Table C.4</w:t>
        </w:r>
        <w:r>
          <w:rPr>
            <w:rFonts w:asciiTheme="minorHAnsi" w:eastAsiaTheme="minorEastAsia" w:hAnsiTheme="minorHAnsi" w:cstheme="minorBidi"/>
            <w:noProof/>
            <w:lang w:eastAsia="zh-CN"/>
          </w:rPr>
          <w:tab/>
        </w:r>
        <w:r w:rsidRPr="00581028">
          <w:rPr>
            <w:rStyle w:val="Hyperlink"/>
            <w:noProof/>
          </w:rPr>
          <w:t>Insulation costs – various sources</w:t>
        </w:r>
        <w:r>
          <w:rPr>
            <w:noProof/>
          </w:rPr>
          <w:tab/>
        </w:r>
        <w:r>
          <w:rPr>
            <w:noProof/>
          </w:rPr>
          <w:fldChar w:fldCharType="begin"/>
        </w:r>
        <w:r>
          <w:rPr>
            <w:noProof/>
          </w:rPr>
          <w:instrText xml:space="preserve"> PAGEREF _Toc80719349 \h </w:instrText>
        </w:r>
        <w:r>
          <w:rPr>
            <w:noProof/>
          </w:rPr>
        </w:r>
        <w:r>
          <w:rPr>
            <w:noProof/>
          </w:rPr>
          <w:fldChar w:fldCharType="separate"/>
        </w:r>
        <w:r>
          <w:rPr>
            <w:noProof/>
          </w:rPr>
          <w:t>C-6</w:t>
        </w:r>
        <w:r>
          <w:rPr>
            <w:noProof/>
          </w:rPr>
          <w:fldChar w:fldCharType="end"/>
        </w:r>
      </w:hyperlink>
    </w:p>
    <w:p w14:paraId="327F489B" w14:textId="77777777" w:rsidR="00676882" w:rsidRDefault="00676882" w:rsidP="00676882">
      <w:pPr>
        <w:pStyle w:val="TableofFigures"/>
        <w:rPr>
          <w:rFonts w:asciiTheme="minorHAnsi" w:eastAsiaTheme="minorEastAsia" w:hAnsiTheme="minorHAnsi" w:cstheme="minorBidi"/>
          <w:noProof/>
          <w:lang w:eastAsia="zh-CN"/>
        </w:rPr>
      </w:pPr>
      <w:hyperlink w:anchor="_Toc80719350" w:history="1">
        <w:r w:rsidRPr="00581028">
          <w:rPr>
            <w:rStyle w:val="Hyperlink"/>
            <w:b/>
            <w:noProof/>
          </w:rPr>
          <w:t>Table C.5</w:t>
        </w:r>
        <w:r>
          <w:rPr>
            <w:rFonts w:asciiTheme="minorHAnsi" w:eastAsiaTheme="minorEastAsia" w:hAnsiTheme="minorHAnsi" w:cstheme="minorBidi"/>
            <w:noProof/>
            <w:lang w:eastAsia="zh-CN"/>
          </w:rPr>
          <w:tab/>
        </w:r>
        <w:r w:rsidRPr="00581028">
          <w:rPr>
            <w:rStyle w:val="Hyperlink"/>
            <w:noProof/>
          </w:rPr>
          <w:t>Propensity of Heating and Cooling Types – ACT</w:t>
        </w:r>
        <w:r>
          <w:rPr>
            <w:noProof/>
          </w:rPr>
          <w:tab/>
        </w:r>
        <w:r>
          <w:rPr>
            <w:noProof/>
          </w:rPr>
          <w:fldChar w:fldCharType="begin"/>
        </w:r>
        <w:r>
          <w:rPr>
            <w:noProof/>
          </w:rPr>
          <w:instrText xml:space="preserve"> PAGEREF _Toc80719350 \h </w:instrText>
        </w:r>
        <w:r>
          <w:rPr>
            <w:noProof/>
          </w:rPr>
        </w:r>
        <w:r>
          <w:rPr>
            <w:noProof/>
          </w:rPr>
          <w:fldChar w:fldCharType="separate"/>
        </w:r>
        <w:r>
          <w:rPr>
            <w:noProof/>
          </w:rPr>
          <w:t>C-8</w:t>
        </w:r>
        <w:r>
          <w:rPr>
            <w:noProof/>
          </w:rPr>
          <w:fldChar w:fldCharType="end"/>
        </w:r>
      </w:hyperlink>
    </w:p>
    <w:p w14:paraId="58112D29" w14:textId="77777777" w:rsidR="00676882" w:rsidRDefault="00676882" w:rsidP="00676882">
      <w:pPr>
        <w:pStyle w:val="TableofFigures"/>
        <w:rPr>
          <w:rFonts w:asciiTheme="minorHAnsi" w:eastAsiaTheme="minorEastAsia" w:hAnsiTheme="minorHAnsi" w:cstheme="minorBidi"/>
          <w:noProof/>
          <w:lang w:eastAsia="zh-CN"/>
        </w:rPr>
      </w:pPr>
      <w:hyperlink w:anchor="_Toc80719351" w:history="1">
        <w:r w:rsidRPr="00581028">
          <w:rPr>
            <w:rStyle w:val="Hyperlink"/>
            <w:b/>
            <w:noProof/>
          </w:rPr>
          <w:t>Table C.6</w:t>
        </w:r>
        <w:r>
          <w:rPr>
            <w:rFonts w:asciiTheme="minorHAnsi" w:eastAsiaTheme="minorEastAsia" w:hAnsiTheme="minorHAnsi" w:cstheme="minorBidi"/>
            <w:noProof/>
            <w:lang w:eastAsia="zh-CN"/>
          </w:rPr>
          <w:tab/>
        </w:r>
        <w:r w:rsidRPr="00581028">
          <w:rPr>
            <w:rStyle w:val="Hyperlink"/>
            <w:noProof/>
          </w:rPr>
          <w:t>Performance Characteristics of Heating and Cooling Types - ACT</w:t>
        </w:r>
        <w:r>
          <w:rPr>
            <w:noProof/>
          </w:rPr>
          <w:tab/>
        </w:r>
        <w:r>
          <w:rPr>
            <w:noProof/>
          </w:rPr>
          <w:fldChar w:fldCharType="begin"/>
        </w:r>
        <w:r>
          <w:rPr>
            <w:noProof/>
          </w:rPr>
          <w:instrText xml:space="preserve"> PAGEREF _Toc80719351 \h </w:instrText>
        </w:r>
        <w:r>
          <w:rPr>
            <w:noProof/>
          </w:rPr>
        </w:r>
        <w:r>
          <w:rPr>
            <w:noProof/>
          </w:rPr>
          <w:fldChar w:fldCharType="separate"/>
        </w:r>
        <w:r>
          <w:rPr>
            <w:noProof/>
          </w:rPr>
          <w:t>C-9</w:t>
        </w:r>
        <w:r>
          <w:rPr>
            <w:noProof/>
          </w:rPr>
          <w:fldChar w:fldCharType="end"/>
        </w:r>
      </w:hyperlink>
    </w:p>
    <w:p w14:paraId="25FE6958" w14:textId="77777777" w:rsidR="00676882" w:rsidRDefault="00676882" w:rsidP="00676882">
      <w:pPr>
        <w:pStyle w:val="TableofFigures"/>
        <w:rPr>
          <w:rFonts w:asciiTheme="minorHAnsi" w:eastAsiaTheme="minorEastAsia" w:hAnsiTheme="minorHAnsi" w:cstheme="minorBidi"/>
          <w:noProof/>
          <w:lang w:eastAsia="zh-CN"/>
        </w:rPr>
      </w:pPr>
      <w:hyperlink w:anchor="_Toc80719352" w:history="1">
        <w:r w:rsidRPr="00581028">
          <w:rPr>
            <w:rStyle w:val="Hyperlink"/>
            <w:b/>
            <w:noProof/>
          </w:rPr>
          <w:t>Table C.7</w:t>
        </w:r>
        <w:r>
          <w:rPr>
            <w:rFonts w:asciiTheme="minorHAnsi" w:eastAsiaTheme="minorEastAsia" w:hAnsiTheme="minorHAnsi" w:cstheme="minorBidi"/>
            <w:noProof/>
            <w:lang w:eastAsia="zh-CN"/>
          </w:rPr>
          <w:tab/>
        </w:r>
        <w:r w:rsidRPr="00581028">
          <w:rPr>
            <w:rStyle w:val="Hyperlink"/>
            <w:noProof/>
          </w:rPr>
          <w:t>Victorian Scorecard rating basis for the ACR</w:t>
        </w:r>
        <w:r>
          <w:rPr>
            <w:noProof/>
          </w:rPr>
          <w:tab/>
        </w:r>
        <w:r>
          <w:rPr>
            <w:noProof/>
          </w:rPr>
          <w:fldChar w:fldCharType="begin"/>
        </w:r>
        <w:r>
          <w:rPr>
            <w:noProof/>
          </w:rPr>
          <w:instrText xml:space="preserve"> PAGEREF _Toc80719352 \h </w:instrText>
        </w:r>
        <w:r>
          <w:rPr>
            <w:noProof/>
          </w:rPr>
        </w:r>
        <w:r>
          <w:rPr>
            <w:noProof/>
          </w:rPr>
          <w:fldChar w:fldCharType="separate"/>
        </w:r>
        <w:r>
          <w:rPr>
            <w:noProof/>
          </w:rPr>
          <w:t>C-13</w:t>
        </w:r>
        <w:r>
          <w:rPr>
            <w:noProof/>
          </w:rPr>
          <w:fldChar w:fldCharType="end"/>
        </w:r>
      </w:hyperlink>
    </w:p>
    <w:p w14:paraId="2C1C1A94" w14:textId="77777777" w:rsidR="00676882" w:rsidRDefault="00676882" w:rsidP="00676882">
      <w:pPr>
        <w:pStyle w:val="TableofFigures"/>
        <w:rPr>
          <w:rFonts w:asciiTheme="minorHAnsi" w:eastAsiaTheme="minorEastAsia" w:hAnsiTheme="minorHAnsi" w:cstheme="minorBidi"/>
          <w:noProof/>
          <w:lang w:eastAsia="zh-CN"/>
        </w:rPr>
      </w:pPr>
      <w:hyperlink w:anchor="_Toc80719353" w:history="1">
        <w:r w:rsidRPr="00581028">
          <w:rPr>
            <w:rStyle w:val="Hyperlink"/>
            <w:b/>
            <w:noProof/>
          </w:rPr>
          <w:t>Table C.8</w:t>
        </w:r>
        <w:r>
          <w:rPr>
            <w:rFonts w:asciiTheme="minorHAnsi" w:eastAsiaTheme="minorEastAsia" w:hAnsiTheme="minorHAnsi" w:cstheme="minorBidi"/>
            <w:noProof/>
            <w:lang w:eastAsia="zh-CN"/>
          </w:rPr>
          <w:tab/>
        </w:r>
        <w:r w:rsidRPr="00581028">
          <w:rPr>
            <w:rStyle w:val="Hyperlink"/>
            <w:noProof/>
          </w:rPr>
          <w:t>Propensity of Existing ACT Housing - Victorian Scorecard Rating Basis</w:t>
        </w:r>
        <w:r>
          <w:rPr>
            <w:noProof/>
          </w:rPr>
          <w:tab/>
        </w:r>
        <w:r>
          <w:rPr>
            <w:noProof/>
          </w:rPr>
          <w:fldChar w:fldCharType="begin"/>
        </w:r>
        <w:r>
          <w:rPr>
            <w:noProof/>
          </w:rPr>
          <w:instrText xml:space="preserve"> PAGEREF _Toc80719353 \h </w:instrText>
        </w:r>
        <w:r>
          <w:rPr>
            <w:noProof/>
          </w:rPr>
        </w:r>
        <w:r>
          <w:rPr>
            <w:noProof/>
          </w:rPr>
          <w:fldChar w:fldCharType="separate"/>
        </w:r>
        <w:r>
          <w:rPr>
            <w:noProof/>
          </w:rPr>
          <w:t>C-14</w:t>
        </w:r>
        <w:r>
          <w:rPr>
            <w:noProof/>
          </w:rPr>
          <w:fldChar w:fldCharType="end"/>
        </w:r>
      </w:hyperlink>
    </w:p>
    <w:p w14:paraId="4D346FCA" w14:textId="77777777" w:rsidR="00676882" w:rsidRDefault="00676882" w:rsidP="00676882">
      <w:pPr>
        <w:pStyle w:val="TableofFigures"/>
        <w:rPr>
          <w:rFonts w:asciiTheme="minorHAnsi" w:eastAsiaTheme="minorEastAsia" w:hAnsiTheme="minorHAnsi" w:cstheme="minorBidi"/>
          <w:noProof/>
          <w:lang w:eastAsia="zh-CN"/>
        </w:rPr>
      </w:pPr>
      <w:hyperlink w:anchor="_Toc80719354" w:history="1">
        <w:r w:rsidRPr="00581028">
          <w:rPr>
            <w:rStyle w:val="Hyperlink"/>
            <w:b/>
            <w:noProof/>
          </w:rPr>
          <w:t>Table C.9</w:t>
        </w:r>
        <w:r>
          <w:rPr>
            <w:rFonts w:asciiTheme="minorHAnsi" w:eastAsiaTheme="minorEastAsia" w:hAnsiTheme="minorHAnsi" w:cstheme="minorBidi"/>
            <w:noProof/>
            <w:lang w:eastAsia="zh-CN"/>
          </w:rPr>
          <w:tab/>
        </w:r>
        <w:r w:rsidRPr="00581028">
          <w:rPr>
            <w:rStyle w:val="Hyperlink"/>
            <w:noProof/>
          </w:rPr>
          <w:t>Class 1 average annual energy consumption (MJ) by star rating cohort</w:t>
        </w:r>
        <w:r>
          <w:rPr>
            <w:noProof/>
          </w:rPr>
          <w:tab/>
        </w:r>
        <w:r>
          <w:rPr>
            <w:noProof/>
          </w:rPr>
          <w:fldChar w:fldCharType="begin"/>
        </w:r>
        <w:r>
          <w:rPr>
            <w:noProof/>
          </w:rPr>
          <w:instrText xml:space="preserve"> PAGEREF _Toc80719354 \h </w:instrText>
        </w:r>
        <w:r>
          <w:rPr>
            <w:noProof/>
          </w:rPr>
        </w:r>
        <w:r>
          <w:rPr>
            <w:noProof/>
          </w:rPr>
          <w:fldChar w:fldCharType="separate"/>
        </w:r>
        <w:r>
          <w:rPr>
            <w:noProof/>
          </w:rPr>
          <w:t>C-14</w:t>
        </w:r>
        <w:r>
          <w:rPr>
            <w:noProof/>
          </w:rPr>
          <w:fldChar w:fldCharType="end"/>
        </w:r>
      </w:hyperlink>
    </w:p>
    <w:p w14:paraId="6FB171EB" w14:textId="77777777" w:rsidR="00676882" w:rsidRDefault="00676882" w:rsidP="00676882">
      <w:pPr>
        <w:pStyle w:val="TableofFigures"/>
        <w:rPr>
          <w:rFonts w:asciiTheme="minorHAnsi" w:eastAsiaTheme="minorEastAsia" w:hAnsiTheme="minorHAnsi" w:cstheme="minorBidi"/>
          <w:noProof/>
          <w:lang w:eastAsia="zh-CN"/>
        </w:rPr>
      </w:pPr>
      <w:hyperlink w:anchor="_Toc80719355" w:history="1">
        <w:r w:rsidRPr="00581028">
          <w:rPr>
            <w:rStyle w:val="Hyperlink"/>
            <w:b/>
            <w:noProof/>
          </w:rPr>
          <w:t>Table C.10</w:t>
        </w:r>
        <w:r>
          <w:rPr>
            <w:rFonts w:asciiTheme="minorHAnsi" w:eastAsiaTheme="minorEastAsia" w:hAnsiTheme="minorHAnsi" w:cstheme="minorBidi"/>
            <w:noProof/>
            <w:lang w:eastAsia="zh-CN"/>
          </w:rPr>
          <w:tab/>
        </w:r>
        <w:r w:rsidRPr="00581028">
          <w:rPr>
            <w:rStyle w:val="Hyperlink"/>
            <w:noProof/>
          </w:rPr>
          <w:t>Class 2 average annual energy consumption (MJ) by star rating cohort</w:t>
        </w:r>
        <w:r>
          <w:rPr>
            <w:noProof/>
          </w:rPr>
          <w:tab/>
        </w:r>
        <w:r>
          <w:rPr>
            <w:noProof/>
          </w:rPr>
          <w:fldChar w:fldCharType="begin"/>
        </w:r>
        <w:r>
          <w:rPr>
            <w:noProof/>
          </w:rPr>
          <w:instrText xml:space="preserve"> PAGEREF _Toc80719355 \h </w:instrText>
        </w:r>
        <w:r>
          <w:rPr>
            <w:noProof/>
          </w:rPr>
        </w:r>
        <w:r>
          <w:rPr>
            <w:noProof/>
          </w:rPr>
          <w:fldChar w:fldCharType="separate"/>
        </w:r>
        <w:r>
          <w:rPr>
            <w:noProof/>
          </w:rPr>
          <w:t>C-15</w:t>
        </w:r>
        <w:r>
          <w:rPr>
            <w:noProof/>
          </w:rPr>
          <w:fldChar w:fldCharType="end"/>
        </w:r>
      </w:hyperlink>
    </w:p>
    <w:p w14:paraId="056C46E6" w14:textId="77777777" w:rsidR="00676882" w:rsidRDefault="00676882" w:rsidP="00676882">
      <w:pPr>
        <w:pStyle w:val="TableofFigures"/>
        <w:rPr>
          <w:rFonts w:asciiTheme="minorHAnsi" w:eastAsiaTheme="minorEastAsia" w:hAnsiTheme="minorHAnsi" w:cstheme="minorBidi"/>
          <w:noProof/>
          <w:lang w:eastAsia="zh-CN"/>
        </w:rPr>
      </w:pPr>
      <w:hyperlink w:anchor="_Toc80719356" w:history="1">
        <w:r w:rsidRPr="00581028">
          <w:rPr>
            <w:rStyle w:val="Hyperlink"/>
            <w:b/>
            <w:noProof/>
          </w:rPr>
          <w:t>Table C.11</w:t>
        </w:r>
        <w:r>
          <w:rPr>
            <w:rFonts w:asciiTheme="minorHAnsi" w:eastAsiaTheme="minorEastAsia" w:hAnsiTheme="minorHAnsi" w:cstheme="minorBidi"/>
            <w:noProof/>
            <w:lang w:eastAsia="zh-CN"/>
          </w:rPr>
          <w:tab/>
        </w:r>
        <w:r w:rsidRPr="00581028">
          <w:rPr>
            <w:rStyle w:val="Hyperlink"/>
            <w:noProof/>
          </w:rPr>
          <w:t>Greenhouse gas intensity of fuels (tonnes/MJ)</w:t>
        </w:r>
        <w:r>
          <w:rPr>
            <w:noProof/>
          </w:rPr>
          <w:tab/>
        </w:r>
        <w:r>
          <w:rPr>
            <w:noProof/>
          </w:rPr>
          <w:fldChar w:fldCharType="begin"/>
        </w:r>
        <w:r>
          <w:rPr>
            <w:noProof/>
          </w:rPr>
          <w:instrText xml:space="preserve"> PAGEREF _Toc80719356 \h </w:instrText>
        </w:r>
        <w:r>
          <w:rPr>
            <w:noProof/>
          </w:rPr>
        </w:r>
        <w:r>
          <w:rPr>
            <w:noProof/>
          </w:rPr>
          <w:fldChar w:fldCharType="separate"/>
        </w:r>
        <w:r>
          <w:rPr>
            <w:noProof/>
          </w:rPr>
          <w:t>C-17</w:t>
        </w:r>
        <w:r>
          <w:rPr>
            <w:noProof/>
          </w:rPr>
          <w:fldChar w:fldCharType="end"/>
        </w:r>
      </w:hyperlink>
    </w:p>
    <w:p w14:paraId="25E8A938" w14:textId="77777777" w:rsidR="00676882" w:rsidRDefault="00676882" w:rsidP="00676882">
      <w:pPr>
        <w:pStyle w:val="TOCGeneral"/>
      </w:pPr>
      <w:r>
        <w:fldChar w:fldCharType="end"/>
      </w:r>
    </w:p>
    <w:p w14:paraId="69B07DA4" w14:textId="77777777" w:rsidR="00676882" w:rsidRDefault="00676882" w:rsidP="00676882">
      <w:pPr>
        <w:pStyle w:val="TOCTOFSubHeading"/>
      </w:pPr>
      <w:r>
        <w:t>Boxes</w:t>
      </w:r>
    </w:p>
    <w:p w14:paraId="32D0F48A" w14:textId="77777777" w:rsidR="00676882" w:rsidRDefault="00676882" w:rsidP="00676882">
      <w:pPr>
        <w:pStyle w:val="TableofFigures"/>
        <w:rPr>
          <w:rFonts w:asciiTheme="minorHAnsi" w:eastAsiaTheme="minorEastAsia" w:hAnsiTheme="minorHAnsi" w:cstheme="minorBidi"/>
          <w:noProof/>
          <w:lang w:eastAsia="zh-CN"/>
        </w:rPr>
      </w:pPr>
      <w:r>
        <w:fldChar w:fldCharType="begin"/>
      </w:r>
      <w:r>
        <w:instrText xml:space="preserve"> TOC \h \z \c "Box" </w:instrText>
      </w:r>
      <w:r>
        <w:fldChar w:fldCharType="separate"/>
      </w:r>
      <w:hyperlink w:anchor="_Toc80719357" w:history="1">
        <w:r w:rsidRPr="009D1486">
          <w:rPr>
            <w:rStyle w:val="Hyperlink"/>
            <w:b/>
            <w:noProof/>
          </w:rPr>
          <w:t>Box 4.1</w:t>
        </w:r>
        <w:r>
          <w:rPr>
            <w:rFonts w:asciiTheme="minorHAnsi" w:eastAsiaTheme="minorEastAsia" w:hAnsiTheme="minorHAnsi" w:cstheme="minorBidi"/>
            <w:noProof/>
            <w:lang w:eastAsia="zh-CN"/>
          </w:rPr>
          <w:tab/>
        </w:r>
        <w:r w:rsidRPr="009D1486">
          <w:rPr>
            <w:rStyle w:val="Hyperlink"/>
            <w:noProof/>
          </w:rPr>
          <w:t>R-value for insulation</w:t>
        </w:r>
        <w:r>
          <w:rPr>
            <w:noProof/>
            <w:webHidden/>
          </w:rPr>
          <w:tab/>
        </w:r>
        <w:r>
          <w:rPr>
            <w:noProof/>
            <w:webHidden/>
          </w:rPr>
          <w:fldChar w:fldCharType="begin"/>
        </w:r>
        <w:r>
          <w:rPr>
            <w:noProof/>
            <w:webHidden/>
          </w:rPr>
          <w:instrText xml:space="preserve"> PAGEREF _Toc80719357 \h </w:instrText>
        </w:r>
        <w:r>
          <w:rPr>
            <w:noProof/>
            <w:webHidden/>
          </w:rPr>
        </w:r>
        <w:r>
          <w:rPr>
            <w:noProof/>
            <w:webHidden/>
          </w:rPr>
          <w:fldChar w:fldCharType="separate"/>
        </w:r>
        <w:r>
          <w:rPr>
            <w:noProof/>
            <w:webHidden/>
          </w:rPr>
          <w:t>33</w:t>
        </w:r>
        <w:r>
          <w:rPr>
            <w:noProof/>
            <w:webHidden/>
          </w:rPr>
          <w:fldChar w:fldCharType="end"/>
        </w:r>
      </w:hyperlink>
    </w:p>
    <w:p w14:paraId="1542248F" w14:textId="77777777" w:rsidR="00676882" w:rsidRPr="009D7170" w:rsidRDefault="00676882" w:rsidP="00676882">
      <w:pPr>
        <w:pStyle w:val="TOCTOFSubHeading"/>
        <w:sectPr w:rsidR="00676882" w:rsidRPr="009D7170" w:rsidSect="00F32FCC">
          <w:headerReference w:type="default" r:id="rId21"/>
          <w:pgSz w:w="11906" w:h="16838" w:code="9"/>
          <w:pgMar w:top="1134" w:right="851" w:bottom="1134" w:left="3119" w:header="454" w:footer="374" w:gutter="0"/>
          <w:cols w:space="708"/>
          <w:docGrid w:linePitch="360"/>
        </w:sectPr>
      </w:pPr>
      <w:r>
        <w:rPr>
          <w:b w:val="0"/>
        </w:rPr>
        <w:fldChar w:fldCharType="end"/>
      </w:r>
    </w:p>
    <w:tbl>
      <w:tblPr>
        <w:tblW w:w="0" w:type="auto"/>
        <w:tblLayout w:type="fixed"/>
        <w:tblCellMar>
          <w:left w:w="0" w:type="dxa"/>
          <w:right w:w="0" w:type="dxa"/>
        </w:tblCellMar>
        <w:tblLook w:val="0000" w:firstRow="0" w:lastRow="0" w:firstColumn="0" w:lastColumn="0" w:noHBand="0" w:noVBand="0"/>
        <w:tblCaption w:val="Executive summary"/>
        <w:tblDescription w:val="Executive summary"/>
      </w:tblPr>
      <w:tblGrid>
        <w:gridCol w:w="5570"/>
        <w:gridCol w:w="2366"/>
      </w:tblGrid>
      <w:tr w:rsidR="00676882" w14:paraId="168A9B64" w14:textId="77777777" w:rsidTr="00DF45FA">
        <w:trPr>
          <w:trHeight w:hRule="exact" w:val="382"/>
        </w:trPr>
        <w:tc>
          <w:tcPr>
            <w:tcW w:w="5570" w:type="dxa"/>
          </w:tcPr>
          <w:p w14:paraId="25812DEF" w14:textId="77777777" w:rsidR="00676882" w:rsidRDefault="00676882" w:rsidP="00DF45FA">
            <w:pPr>
              <w:pStyle w:val="tagexecBanner"/>
            </w:pPr>
            <w:r>
              <w:rPr>
                <w:noProof/>
              </w:rPr>
              <w:lastRenderedPageBreak/>
              <w:drawing>
                <wp:anchor distT="0" distB="0" distL="114300" distR="114300" simplePos="0" relativeHeight="251662336" behindDoc="1" locked="1" layoutInCell="1" allowOverlap="1" wp14:anchorId="365F12E9" wp14:editId="78654E1B">
                  <wp:simplePos x="0" y="0"/>
                  <wp:positionH relativeFrom="page">
                    <wp:posOffset>0</wp:posOffset>
                  </wp:positionH>
                  <wp:positionV relativeFrom="page">
                    <wp:posOffset>0</wp:posOffset>
                  </wp:positionV>
                  <wp:extent cx="5039360" cy="1995170"/>
                  <wp:effectExtent l="0" t="0" r="8890" b="5080"/>
                  <wp:wrapNone/>
                  <wp:docPr id="572"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72"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67CBF533" w14:textId="77777777" w:rsidR="00676882" w:rsidRDefault="00676882" w:rsidP="00DF45FA">
            <w:pPr>
              <w:pStyle w:val="spacer"/>
            </w:pPr>
          </w:p>
        </w:tc>
      </w:tr>
      <w:tr w:rsidR="00676882" w14:paraId="2E5A5446" w14:textId="77777777" w:rsidTr="00DF45FA">
        <w:trPr>
          <w:trHeight w:hRule="exact" w:val="2760"/>
        </w:trPr>
        <w:tc>
          <w:tcPr>
            <w:tcW w:w="5570" w:type="dxa"/>
            <w:vAlign w:val="bottom"/>
          </w:tcPr>
          <w:p w14:paraId="5E781A73" w14:textId="77777777" w:rsidR="00676882" w:rsidRDefault="00676882" w:rsidP="00DF45FA">
            <w:pPr>
              <w:pStyle w:val="Heading1ES"/>
            </w:pPr>
            <w:bookmarkStart w:id="0" w:name="_Toc80712570"/>
            <w:r>
              <w:t>Executive summary</w:t>
            </w:r>
            <w:bookmarkEnd w:id="0"/>
          </w:p>
        </w:tc>
        <w:tc>
          <w:tcPr>
            <w:tcW w:w="2366" w:type="dxa"/>
            <w:tcMar>
              <w:right w:w="224" w:type="dxa"/>
            </w:tcMar>
            <w:vAlign w:val="bottom"/>
          </w:tcPr>
          <w:p w14:paraId="409BA6C9" w14:textId="77777777" w:rsidR="00676882" w:rsidRDefault="00676882" w:rsidP="00DF45FA">
            <w:pPr>
              <w:pStyle w:val="spacer"/>
            </w:pPr>
          </w:p>
        </w:tc>
      </w:tr>
      <w:tr w:rsidR="00676882" w14:paraId="4AFC9231" w14:textId="77777777" w:rsidTr="00DF45FA">
        <w:trPr>
          <w:trHeight w:hRule="exact" w:val="228"/>
        </w:trPr>
        <w:tc>
          <w:tcPr>
            <w:tcW w:w="5570" w:type="dxa"/>
          </w:tcPr>
          <w:p w14:paraId="5A5FC071" w14:textId="77777777" w:rsidR="00676882" w:rsidRDefault="00676882" w:rsidP="00DF45FA">
            <w:pPr>
              <w:pStyle w:val="spacer"/>
            </w:pPr>
          </w:p>
        </w:tc>
        <w:tc>
          <w:tcPr>
            <w:tcW w:w="2366" w:type="dxa"/>
          </w:tcPr>
          <w:p w14:paraId="2666A60A" w14:textId="77777777" w:rsidR="00676882" w:rsidRDefault="00676882" w:rsidP="00DF45FA">
            <w:pPr>
              <w:pStyle w:val="spacer"/>
            </w:pPr>
          </w:p>
        </w:tc>
      </w:tr>
    </w:tbl>
    <w:p w14:paraId="5681435B" w14:textId="77777777" w:rsidR="00676882" w:rsidRDefault="00676882" w:rsidP="00676882">
      <w:r>
        <w:t>Rental properties with poor thermal control place burdens on tenants — they spend more on keeping their household comfortable, which puts pressures on their household budgets, or live in conditions that are uncomfortable or unsafe, which impacts their wellbeing and health. The burden of poor thermal control falls disproportionally on renters from low-income households, concession card holders, those with a disability, aged renters, and households with children.</w:t>
      </w:r>
    </w:p>
    <w:p w14:paraId="3801E6EE" w14:textId="77777777" w:rsidR="00676882" w:rsidRDefault="00676882" w:rsidP="00676882">
      <w:pPr>
        <w:pStyle w:val="BodyText"/>
      </w:pPr>
      <w:r>
        <w:t xml:space="preserve">Evidence nationally and provided by ACT residents is that rental premises have poorer thermal control and therefore energy efficiency than owner-occupier premises. The main driver of this gap is the split incentive problem — where those who have ownership and control of the property do not benefit directly from investing in improving </w:t>
      </w:r>
      <w:r>
        <w:rPr>
          <w:noProof/>
        </w:rPr>
        <mc:AlternateContent>
          <mc:Choice Requires="wps">
            <w:drawing>
              <wp:anchor distT="0" distB="0" distL="114300" distR="114300" simplePos="0" relativeHeight="251672576" behindDoc="0" locked="1" layoutInCell="1" allowOverlap="1" wp14:anchorId="61725D5D" wp14:editId="7B74A6DA">
                <wp:simplePos x="0" y="0"/>
                <wp:positionH relativeFrom="page">
                  <wp:posOffset>441325</wp:posOffset>
                </wp:positionH>
                <wp:positionV relativeFrom="paragraph">
                  <wp:posOffset>-928370</wp:posOffset>
                </wp:positionV>
                <wp:extent cx="1289050" cy="732790"/>
                <wp:effectExtent l="0" t="0" r="0" b="0"/>
                <wp:wrapNone/>
                <wp:docPr id="33" name="Text Box 33"/>
                <wp:cNvGraphicFramePr/>
                <a:graphic xmlns:a="http://schemas.openxmlformats.org/drawingml/2006/main">
                  <a:graphicData uri="http://schemas.microsoft.com/office/word/2010/wordprocessingShape">
                    <wps:wsp>
                      <wps:cNvSpPr txBox="1"/>
                      <wps:spPr>
                        <a:xfrm>
                          <a:off x="0" y="0"/>
                          <a:ext cx="1289050" cy="732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2F9358" w14:textId="77777777" w:rsidR="00676882" w:rsidRPr="00676882" w:rsidRDefault="00676882" w:rsidP="00676882">
                            <w:pPr>
                              <w:pStyle w:val="Caption"/>
                              <w:spacing w:before="120" w:after="0"/>
                              <w:rPr>
                                <w:b/>
                                <w:bCs/>
                                <w:sz w:val="20"/>
                                <w:szCs w:val="16"/>
                              </w:rPr>
                            </w:pPr>
                            <w:r w:rsidRPr="00676882">
                              <w:rPr>
                                <w:b/>
                                <w:bCs/>
                                <w:sz w:val="20"/>
                                <w:szCs w:val="16"/>
                              </w:rPr>
                              <w:t>Insulation R value</w:t>
                            </w:r>
                          </w:p>
                          <w:p w14:paraId="17345696" w14:textId="77777777" w:rsidR="00676882" w:rsidRPr="00676882" w:rsidRDefault="00676882" w:rsidP="00676882">
                            <w:pPr>
                              <w:pStyle w:val="FootnoteText"/>
                            </w:pPr>
                            <w:r w:rsidRPr="00676882">
                              <w:t>The R-value of ceiling insulation is a measure of the ability of insulation to resist heat flow. R5 is a grade of roof insulation commonly used in new builds and considered a cost-effective option in the Canberra climate.</w:t>
                            </w:r>
                          </w:p>
                          <w:p w14:paraId="4DEA7422" w14:textId="77777777" w:rsidR="00676882" w:rsidRPr="00676882" w:rsidRDefault="00676882" w:rsidP="00676882">
                            <w:pPr>
                              <w:pStyle w:val="FootnoteText"/>
                              <w:spacing w:after="0"/>
                              <w:rPr>
                                <w:b/>
                                <w:bCs/>
                              </w:rPr>
                            </w:pPr>
                            <w:r w:rsidRPr="00676882">
                              <w:rPr>
                                <w:b/>
                                <w:bCs/>
                              </w:rPr>
                              <w:t>Energy efficient heater</w:t>
                            </w:r>
                          </w:p>
                          <w:p w14:paraId="36762CAC" w14:textId="77777777" w:rsidR="00676882" w:rsidRPr="00676882" w:rsidRDefault="00676882" w:rsidP="00676882">
                            <w:pPr>
                              <w:pStyle w:val="FootnoteText"/>
                            </w:pPr>
                            <w:r w:rsidRPr="00676882">
                              <w:t>An electric heat pump heater such as a reverse cycle air conditioner (which can also provide cooling in summer).</w:t>
                            </w:r>
                          </w:p>
                          <w:p w14:paraId="6E9C80AC" w14:textId="77777777" w:rsidR="00676882" w:rsidRPr="00676882" w:rsidRDefault="00676882" w:rsidP="00676882">
                            <w:pPr>
                              <w:pStyle w:val="FootnoteText"/>
                              <w:spacing w:after="0"/>
                              <w:rPr>
                                <w:b/>
                                <w:bCs/>
                              </w:rPr>
                            </w:pPr>
                            <w:r w:rsidRPr="00676882">
                              <w:rPr>
                                <w:b/>
                                <w:bCs/>
                              </w:rPr>
                              <w:t>Energy performance tool ratings</w:t>
                            </w:r>
                          </w:p>
                          <w:p w14:paraId="05013D8D" w14:textId="77777777" w:rsidR="00676882" w:rsidRPr="00676882" w:rsidRDefault="00676882" w:rsidP="00676882">
                            <w:pPr>
                              <w:pStyle w:val="FootnoteText"/>
                            </w:pPr>
                            <w:r w:rsidRPr="00676882">
                              <w:t>For the purposes of this analysis, the Victorian Residential Scorecard was assumed to be the rating tool for this standard. Using this tool, a 3-star rating corresponds to a dwelling having average energy costs and a 2</w:t>
                            </w:r>
                            <w:r w:rsidRPr="00676882">
                              <w:noBreakHyphen/>
                              <w:t>star rating corresponds to a dwelling having energy costs twice the average.</w:t>
                            </w:r>
                          </w:p>
                          <w:p w14:paraId="1BA2EF77" w14:textId="77777777" w:rsidR="00676882" w:rsidRPr="00676882" w:rsidRDefault="00676882" w:rsidP="00676882">
                            <w:pPr>
                              <w:spacing w:before="0" w:after="0"/>
                              <w:rPr>
                                <w:rFonts w:cs="Calibri"/>
                                <w:b/>
                                <w:bCs/>
                                <w:sz w:val="20"/>
                                <w:szCs w:val="20"/>
                              </w:rPr>
                            </w:pPr>
                            <w:r w:rsidRPr="00676882">
                              <w:rPr>
                                <w:rFonts w:cs="Calibri"/>
                                <w:b/>
                                <w:bCs/>
                                <w:sz w:val="20"/>
                                <w:szCs w:val="20"/>
                              </w:rPr>
                              <w:t>Social Cost of Carbon</w:t>
                            </w:r>
                          </w:p>
                          <w:p w14:paraId="54C96645" w14:textId="77777777" w:rsidR="00676882" w:rsidRPr="00676882" w:rsidRDefault="00676882" w:rsidP="00676882">
                            <w:pPr>
                              <w:pStyle w:val="FootnoteText"/>
                              <w:rPr>
                                <w:lang w:val="en-US"/>
                              </w:rPr>
                            </w:pPr>
                            <w:r w:rsidRPr="00676882">
                              <w:t>The social cost of carbon (SCC) tries to estimate the marginal impact of an additional tonne of carbon based on the future costs associated with those emissions. This analysis uses a medium SCC scenario discounted at 3 per cent derived from research by the United States</w:t>
                            </w:r>
                            <w:r w:rsidRPr="009F02C8">
                              <w:rPr>
                                <w:rFonts w:asciiTheme="minorHAnsi" w:hAnsiTheme="minorHAnsi"/>
                              </w:rPr>
                              <w:t xml:space="preserve"> </w:t>
                            </w:r>
                            <w:r w:rsidRPr="00676882">
                              <w:t>Interagency Working Group.</w:t>
                            </w:r>
                          </w:p>
                          <w:p w14:paraId="4D654E31" w14:textId="77777777" w:rsidR="00676882" w:rsidRPr="00676882" w:rsidRDefault="00676882" w:rsidP="00676882">
                            <w:pPr>
                              <w:pStyle w:val="FootnoteText"/>
                            </w:pPr>
                          </w:p>
                          <w:p w14:paraId="42758192" w14:textId="77777777" w:rsidR="00676882" w:rsidRPr="00676882" w:rsidRDefault="00676882" w:rsidP="00676882">
                            <w:pPr>
                              <w:pStyle w:val="SideNoteRegularRight"/>
                              <w:rPr>
                                <w:color w:val="auto"/>
                              </w:rPr>
                            </w:pPr>
                          </w:p>
                        </w:txbxContent>
                      </wps:txbx>
                      <wps:bodyPr rot="0" spcFirstLastPara="0" vertOverflow="overflow" horzOverflow="overflow" vert="horz" wrap="square" lIns="0" tIns="0" rIns="76200" bIns="7620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61725D5D" id="_x0000_t202" coordsize="21600,21600" o:spt="202" path="m,l,21600r21600,l21600,xe">
                <v:stroke joinstyle="miter"/>
                <v:path gradientshapeok="t" o:connecttype="rect"/>
              </v:shapetype>
              <v:shape id="Text Box 33" o:spid="_x0000_s1026" type="#_x0000_t202" style="position:absolute;margin-left:34.75pt;margin-top:-73.1pt;width:101.5pt;height:57.7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" filled="f" stroked="f" strokeweight=".5pt">
                <v:textbox style="mso-fit-shape-to-text:t" inset="0,0,6pt,6pt">
                  <w:txbxContent>
                    <w:p w14:paraId="172F9358" w14:textId="77777777" w:rsidR="00676882" w:rsidRPr="00676882" w:rsidRDefault="00676882" w:rsidP="00676882">
                      <w:pPr>
                        <w:pStyle w:val="Caption"/>
                        <w:spacing w:before="120" w:after="0"/>
                        <w:rPr>
                          <w:b/>
                          <w:bCs/>
                          <w:sz w:val="20"/>
                          <w:szCs w:val="16"/>
                        </w:rPr>
                      </w:pPr>
                      <w:r w:rsidRPr="00676882">
                        <w:rPr>
                          <w:b/>
                          <w:bCs/>
                          <w:sz w:val="20"/>
                          <w:szCs w:val="16"/>
                        </w:rPr>
                        <w:t>Insulation R value</w:t>
                      </w:r>
                    </w:p>
                    <w:p w14:paraId="17345696" w14:textId="77777777" w:rsidR="00676882" w:rsidRPr="00676882" w:rsidRDefault="00676882" w:rsidP="00676882">
                      <w:pPr>
                        <w:pStyle w:val="FootnoteText"/>
                      </w:pPr>
                      <w:r w:rsidRPr="00676882">
                        <w:t>The R-value of ceiling insulation is a measure of the ability of insulation to resist heat flow. R5 is a grade of roof insulation commonly used in new builds and considered a cost-effective option in the Canberra climate.</w:t>
                      </w:r>
                    </w:p>
                    <w:p w14:paraId="4DEA7422" w14:textId="77777777" w:rsidR="00676882" w:rsidRPr="00676882" w:rsidRDefault="00676882" w:rsidP="00676882">
                      <w:pPr>
                        <w:pStyle w:val="FootnoteText"/>
                        <w:spacing w:after="0"/>
                        <w:rPr>
                          <w:b/>
                          <w:bCs/>
                        </w:rPr>
                      </w:pPr>
                      <w:r w:rsidRPr="00676882">
                        <w:rPr>
                          <w:b/>
                          <w:bCs/>
                        </w:rPr>
                        <w:t>Energy efficient heater</w:t>
                      </w:r>
                    </w:p>
                    <w:p w14:paraId="36762CAC" w14:textId="77777777" w:rsidR="00676882" w:rsidRPr="00676882" w:rsidRDefault="00676882" w:rsidP="00676882">
                      <w:pPr>
                        <w:pStyle w:val="FootnoteText"/>
                      </w:pPr>
                      <w:r w:rsidRPr="00676882">
                        <w:t>An electric heat pump heater such as a reverse cycle air conditioner (which can also provide cooling in summer).</w:t>
                      </w:r>
                    </w:p>
                    <w:p w14:paraId="6E9C80AC" w14:textId="77777777" w:rsidR="00676882" w:rsidRPr="00676882" w:rsidRDefault="00676882" w:rsidP="00676882">
                      <w:pPr>
                        <w:pStyle w:val="FootnoteText"/>
                        <w:spacing w:after="0"/>
                        <w:rPr>
                          <w:b/>
                          <w:bCs/>
                        </w:rPr>
                      </w:pPr>
                      <w:r w:rsidRPr="00676882">
                        <w:rPr>
                          <w:b/>
                          <w:bCs/>
                        </w:rPr>
                        <w:t>Energy performance tool ratings</w:t>
                      </w:r>
                    </w:p>
                    <w:p w14:paraId="05013D8D" w14:textId="77777777" w:rsidR="00676882" w:rsidRPr="00676882" w:rsidRDefault="00676882" w:rsidP="00676882">
                      <w:pPr>
                        <w:pStyle w:val="FootnoteText"/>
                      </w:pPr>
                      <w:r w:rsidRPr="00676882">
                        <w:t>For the purposes of this analysis, the Victorian Residential Scorecard was assumed to be the rating tool for this standard. Using this tool, a 3-star rating corresponds to a dwelling having average energy costs and a 2</w:t>
                      </w:r>
                      <w:r w:rsidRPr="00676882">
                        <w:noBreakHyphen/>
                        <w:t>star rating corresponds to a dwelling having energy costs twice the average.</w:t>
                      </w:r>
                    </w:p>
                    <w:p w14:paraId="1BA2EF77" w14:textId="77777777" w:rsidR="00676882" w:rsidRPr="00676882" w:rsidRDefault="00676882" w:rsidP="00676882">
                      <w:pPr>
                        <w:spacing w:before="0" w:after="0"/>
                        <w:rPr>
                          <w:rFonts w:cs="Calibri"/>
                          <w:b/>
                          <w:bCs/>
                          <w:sz w:val="20"/>
                          <w:szCs w:val="20"/>
                        </w:rPr>
                      </w:pPr>
                      <w:r w:rsidRPr="00676882">
                        <w:rPr>
                          <w:rFonts w:cs="Calibri"/>
                          <w:b/>
                          <w:bCs/>
                          <w:sz w:val="20"/>
                          <w:szCs w:val="20"/>
                        </w:rPr>
                        <w:t>Social Cost of Carbon</w:t>
                      </w:r>
                    </w:p>
                    <w:p w14:paraId="54C96645" w14:textId="77777777" w:rsidR="00676882" w:rsidRPr="00676882" w:rsidRDefault="00676882" w:rsidP="00676882">
                      <w:pPr>
                        <w:pStyle w:val="FootnoteText"/>
                        <w:rPr>
                          <w:lang w:val="en-US"/>
                        </w:rPr>
                      </w:pPr>
                      <w:r w:rsidRPr="00676882">
                        <w:t>The social cost of carbon (SCC) tries to estimate the marginal impact of an additional tonne of carbon based on the future costs associated with those emissions. This analysis uses a medium SCC scenario discounted at 3 per cent derived from research by the United States</w:t>
                      </w:r>
                      <w:r w:rsidRPr="009F02C8">
                        <w:rPr>
                          <w:rFonts w:asciiTheme="minorHAnsi" w:hAnsiTheme="minorHAnsi"/>
                        </w:rPr>
                        <w:t xml:space="preserve"> </w:t>
                      </w:r>
                      <w:r w:rsidRPr="00676882">
                        <w:t>Interagency Working Group.</w:t>
                      </w:r>
                    </w:p>
                    <w:p w14:paraId="4D654E31" w14:textId="77777777" w:rsidR="00676882" w:rsidRPr="00676882" w:rsidRDefault="00676882" w:rsidP="00676882">
                      <w:pPr>
                        <w:pStyle w:val="FootnoteText"/>
                      </w:pPr>
                    </w:p>
                    <w:p w14:paraId="42758192" w14:textId="77777777" w:rsidR="00676882" w:rsidRPr="00676882" w:rsidRDefault="00676882" w:rsidP="00676882">
                      <w:pPr>
                        <w:pStyle w:val="SideNoteRegularRight"/>
                        <w:rPr>
                          <w:color w:val="auto"/>
                        </w:rPr>
                      </w:pPr>
                    </w:p>
                  </w:txbxContent>
                </v:textbox>
                <w10:wrap anchorx="page"/>
                <w10:anchorlock/>
              </v:shape>
            </w:pict>
          </mc:Fallback>
        </mc:AlternateContent>
      </w:r>
      <w:r>
        <w:t xml:space="preserve">it, as the benefits are primarily captured by tenants. </w:t>
      </w:r>
    </w:p>
    <w:p w14:paraId="3C050F61" w14:textId="77777777" w:rsidR="00676882" w:rsidRDefault="00676882" w:rsidP="00676882">
      <w:pPr>
        <w:pStyle w:val="BodyText"/>
      </w:pPr>
      <w:r>
        <w:t xml:space="preserve">This Regulatory Impact Statement (RIS) has considered the potential impacts of the following options to remedy the problem of low energy efficient rental properties: </w:t>
      </w:r>
    </w:p>
    <w:p w14:paraId="292BCAB1" w14:textId="77777777" w:rsidR="00676882" w:rsidRDefault="00676882" w:rsidP="00676882">
      <w:pPr>
        <w:pStyle w:val="ListBullet"/>
      </w:pPr>
      <w:r>
        <w:t>a minimum standard for roof insulation of R3 or R5</w:t>
      </w:r>
    </w:p>
    <w:p w14:paraId="100BA299" w14:textId="77777777" w:rsidR="00676882" w:rsidRDefault="00676882" w:rsidP="00676882">
      <w:pPr>
        <w:pStyle w:val="ListBullet"/>
      </w:pPr>
      <w:r>
        <w:t>a minimum standard for an energy efficient heater</w:t>
      </w:r>
    </w:p>
    <w:p w14:paraId="29698733" w14:textId="77777777" w:rsidR="00676882" w:rsidRDefault="00676882" w:rsidP="00676882">
      <w:pPr>
        <w:pStyle w:val="ListBullet"/>
      </w:pPr>
      <w:r>
        <w:t>a performance standard requiring a minimum rating of 2 stars or 3 stars.</w:t>
      </w:r>
    </w:p>
    <w:p w14:paraId="50746B2B" w14:textId="77777777" w:rsidR="00676882" w:rsidRDefault="00676882" w:rsidP="00676882">
      <w:pPr>
        <w:pStyle w:val="BodyText"/>
      </w:pPr>
      <w:r>
        <w:t>It is important to note that there are different energy savings, different numbers of properties affected, and different outcomes for tenants associated with each of these options.</w:t>
      </w:r>
    </w:p>
    <w:p w14:paraId="1D4040F1" w14:textId="77777777" w:rsidR="00676882" w:rsidRDefault="00676882" w:rsidP="00676882">
      <w:pPr>
        <w:pStyle w:val="Heading2ES"/>
      </w:pPr>
      <w:r>
        <w:t>What the analysis shows</w:t>
      </w:r>
    </w:p>
    <w:p w14:paraId="45081BBE" w14:textId="77777777" w:rsidR="00676882" w:rsidRDefault="00676882" w:rsidP="00676882">
      <w:pPr>
        <w:pStyle w:val="BodyText"/>
      </w:pPr>
      <w:r>
        <w:t xml:space="preserve">ACIL Allen analysed five minimum standards, each with a two- and four-year phase in period. </w:t>
      </w:r>
      <w:proofErr w:type="gramStart"/>
      <w:r>
        <w:t>All of</w:t>
      </w:r>
      <w:proofErr w:type="gramEnd"/>
      <w:r>
        <w:t xml:space="preserve"> the insulation options have a positive value to the ACT community, using a 3 per cent discount rate and social cost of carbon. The heater and performance standard options would result in a net cost to the community, though all options provide a positive return on average at the household level to renters in upgraded properties (see </w:t>
      </w:r>
      <w:r w:rsidRPr="009E4AB1">
        <w:fldChar w:fldCharType="begin"/>
      </w:r>
      <w:r w:rsidRPr="009E4AB1">
        <w:instrText xml:space="preserve"> REF _Ref80479775 \h  \* MERGEFORMAT </w:instrText>
      </w:r>
      <w:r w:rsidRPr="009E4AB1">
        <w:fldChar w:fldCharType="separate"/>
      </w:r>
      <w:r w:rsidRPr="00F32FCC">
        <w:t>Table ES 1</w:t>
      </w:r>
      <w:r w:rsidRPr="009E4AB1">
        <w:fldChar w:fldCharType="end"/>
      </w:r>
      <w:r>
        <w:t xml:space="preserve">). </w:t>
      </w:r>
    </w:p>
    <w:p w14:paraId="631D18B8" w14:textId="77777777" w:rsidR="00676882" w:rsidRDefault="00676882" w:rsidP="00676882">
      <w:pPr>
        <w:pStyle w:val="Caption"/>
        <w:spacing w:before="240"/>
      </w:pPr>
      <w:bookmarkStart w:id="1" w:name="_Ref80479775"/>
      <w:bookmarkStart w:id="2" w:name="_Toc80719322"/>
      <w:r w:rsidRPr="001C06E4">
        <w:rPr>
          <w:rStyle w:val="CaptionLabel"/>
        </w:rPr>
        <w:t>Table ES </w:t>
      </w:r>
      <w:r w:rsidRPr="001C06E4">
        <w:rPr>
          <w:rStyle w:val="CaptionLabel"/>
        </w:rPr>
        <w:fldChar w:fldCharType="begin"/>
      </w:r>
      <w:r w:rsidRPr="001C06E4">
        <w:rPr>
          <w:rStyle w:val="CaptionLabel"/>
        </w:rPr>
        <w:instrText xml:space="preserve"> SEQ Table_ES \* ARABIC  \* MERGEFORMAT </w:instrText>
      </w:r>
      <w:r w:rsidRPr="001C06E4">
        <w:rPr>
          <w:rStyle w:val="CaptionLabel"/>
        </w:rPr>
        <w:fldChar w:fldCharType="separate"/>
      </w:r>
      <w:r>
        <w:rPr>
          <w:rStyle w:val="CaptionLabel"/>
          <w:noProof/>
        </w:rPr>
        <w:t>1</w:t>
      </w:r>
      <w:r w:rsidRPr="001C06E4">
        <w:rPr>
          <w:rStyle w:val="CaptionLabel"/>
        </w:rPr>
        <w:fldChar w:fldCharType="end"/>
      </w:r>
      <w:bookmarkEnd w:id="1"/>
      <w:r>
        <w:tab/>
        <w:t>Headline results, economy wide analysis, three per cent discount rate</w:t>
      </w:r>
      <w:bookmarkEnd w:id="2"/>
    </w:p>
    <w:tbl>
      <w:tblPr>
        <w:tblW w:w="8391"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ES 1"/>
        <w:tblDescription w:val="Headline results, economy wide analysis, three per cent discount rate"/>
      </w:tblPr>
      <w:tblGrid>
        <w:gridCol w:w="454"/>
        <w:gridCol w:w="2645"/>
        <w:gridCol w:w="2646"/>
        <w:gridCol w:w="2646"/>
      </w:tblGrid>
      <w:tr w:rsidR="00676882" w14:paraId="7D391BF9" w14:textId="77777777" w:rsidTr="00DF45FA">
        <w:trPr>
          <w:tblHeader/>
        </w:trPr>
        <w:tc>
          <w:tcPr>
            <w:tcW w:w="3099" w:type="dxa"/>
            <w:gridSpan w:val="2"/>
            <w:tcBorders>
              <w:top w:val="nil"/>
              <w:bottom w:val="nil"/>
            </w:tcBorders>
            <w:shd w:val="clear" w:color="auto" w:fill="140034"/>
            <w:tcMar>
              <w:left w:w="454" w:type="dxa"/>
            </w:tcMar>
          </w:tcPr>
          <w:p w14:paraId="6E4A3CBB" w14:textId="77777777" w:rsidR="00676882" w:rsidRDefault="00676882" w:rsidP="00DF45FA">
            <w:pPr>
              <w:pStyle w:val="Tablecolumnheadings"/>
            </w:pPr>
            <w:r>
              <w:t>Option modelled</w:t>
            </w:r>
          </w:p>
        </w:tc>
        <w:tc>
          <w:tcPr>
            <w:tcW w:w="2646" w:type="dxa"/>
            <w:tcBorders>
              <w:top w:val="nil"/>
              <w:bottom w:val="nil"/>
            </w:tcBorders>
            <w:shd w:val="clear" w:color="auto" w:fill="140034"/>
          </w:tcPr>
          <w:p w14:paraId="3108D5BC" w14:textId="77777777" w:rsidR="00676882" w:rsidRDefault="00676882" w:rsidP="00DF45FA">
            <w:pPr>
              <w:pStyle w:val="Tablecolumnheadings"/>
              <w:jc w:val="right"/>
            </w:pPr>
            <w:r>
              <w:t>Benefit-cost ratio (BCR)</w:t>
            </w:r>
          </w:p>
        </w:tc>
        <w:tc>
          <w:tcPr>
            <w:tcW w:w="2646" w:type="dxa"/>
            <w:tcBorders>
              <w:top w:val="nil"/>
              <w:bottom w:val="nil"/>
              <w:right w:val="single" w:sz="6" w:space="0" w:color="140034"/>
            </w:tcBorders>
            <w:shd w:val="clear" w:color="auto" w:fill="140034"/>
          </w:tcPr>
          <w:p w14:paraId="3AFC5441" w14:textId="77777777" w:rsidR="00676882" w:rsidRDefault="00676882" w:rsidP="00DF45FA">
            <w:pPr>
              <w:pStyle w:val="Tablecolumnheadings"/>
              <w:jc w:val="right"/>
            </w:pPr>
            <w:r>
              <w:t>Net present value ($m)</w:t>
            </w:r>
          </w:p>
        </w:tc>
      </w:tr>
      <w:tr w:rsidR="00676882" w14:paraId="7B2BB1DF" w14:textId="77777777" w:rsidTr="00DF45FA">
        <w:trPr>
          <w:gridBefore w:val="1"/>
          <w:wBefore w:w="454" w:type="dxa"/>
        </w:trPr>
        <w:tc>
          <w:tcPr>
            <w:tcW w:w="2645" w:type="dxa"/>
            <w:tcBorders>
              <w:top w:val="nil"/>
            </w:tcBorders>
            <w:shd w:val="clear" w:color="auto" w:fill="auto"/>
            <w:vAlign w:val="bottom"/>
          </w:tcPr>
          <w:p w14:paraId="12F321E9" w14:textId="77777777" w:rsidR="00676882" w:rsidRDefault="00676882" w:rsidP="00DF45FA">
            <w:pPr>
              <w:pStyle w:val="Tableunitsrow"/>
            </w:pPr>
            <w:r>
              <w:t>a) Insulation R3 - 2 year</w:t>
            </w:r>
          </w:p>
        </w:tc>
        <w:tc>
          <w:tcPr>
            <w:tcW w:w="2646" w:type="dxa"/>
            <w:tcBorders>
              <w:top w:val="nil"/>
            </w:tcBorders>
            <w:shd w:val="clear" w:color="auto" w:fill="auto"/>
            <w:vAlign w:val="center"/>
          </w:tcPr>
          <w:p w14:paraId="1468A444" w14:textId="77777777" w:rsidR="00676882" w:rsidRDefault="00676882" w:rsidP="00DF45FA">
            <w:pPr>
              <w:pStyle w:val="Tabletext"/>
              <w:jc w:val="right"/>
            </w:pPr>
            <w:r w:rsidRPr="00881808">
              <w:t>1.19</w:t>
            </w:r>
          </w:p>
        </w:tc>
        <w:tc>
          <w:tcPr>
            <w:tcW w:w="2646" w:type="dxa"/>
            <w:tcBorders>
              <w:top w:val="nil"/>
            </w:tcBorders>
            <w:shd w:val="clear" w:color="auto" w:fill="auto"/>
            <w:vAlign w:val="center"/>
          </w:tcPr>
          <w:p w14:paraId="0D727629" w14:textId="77777777" w:rsidR="00676882" w:rsidRDefault="00676882" w:rsidP="00DF45FA">
            <w:pPr>
              <w:pStyle w:val="Tabletext"/>
              <w:jc w:val="right"/>
            </w:pPr>
            <w:r w:rsidRPr="00881808">
              <w:t xml:space="preserve">$10.4 </w:t>
            </w:r>
          </w:p>
        </w:tc>
      </w:tr>
      <w:tr w:rsidR="00676882" w14:paraId="779EC4E5" w14:textId="77777777" w:rsidTr="00DF45FA">
        <w:trPr>
          <w:gridBefore w:val="1"/>
          <w:wBefore w:w="454" w:type="dxa"/>
        </w:trPr>
        <w:tc>
          <w:tcPr>
            <w:tcW w:w="2645" w:type="dxa"/>
            <w:shd w:val="clear" w:color="auto" w:fill="auto"/>
            <w:vAlign w:val="bottom"/>
          </w:tcPr>
          <w:p w14:paraId="5653B3F1" w14:textId="77777777" w:rsidR="00676882" w:rsidRDefault="00676882" w:rsidP="00DF45FA">
            <w:pPr>
              <w:pStyle w:val="Tableunitsrow"/>
            </w:pPr>
            <w:r>
              <w:t>b) Insulation R3 - 4 year</w:t>
            </w:r>
          </w:p>
        </w:tc>
        <w:tc>
          <w:tcPr>
            <w:tcW w:w="2646" w:type="dxa"/>
            <w:shd w:val="clear" w:color="auto" w:fill="auto"/>
            <w:vAlign w:val="center"/>
          </w:tcPr>
          <w:p w14:paraId="642B0F2C" w14:textId="77777777" w:rsidR="00676882" w:rsidRDefault="00676882" w:rsidP="00DF45FA">
            <w:pPr>
              <w:pStyle w:val="Tabletext"/>
              <w:jc w:val="right"/>
            </w:pPr>
            <w:r w:rsidRPr="00881808">
              <w:t>1.21</w:t>
            </w:r>
          </w:p>
        </w:tc>
        <w:tc>
          <w:tcPr>
            <w:tcW w:w="2646" w:type="dxa"/>
            <w:shd w:val="clear" w:color="auto" w:fill="auto"/>
            <w:vAlign w:val="center"/>
          </w:tcPr>
          <w:p w14:paraId="62F1F707" w14:textId="77777777" w:rsidR="00676882" w:rsidRDefault="00676882" w:rsidP="00DF45FA">
            <w:pPr>
              <w:pStyle w:val="Tabletext"/>
              <w:jc w:val="right"/>
            </w:pPr>
            <w:r w:rsidRPr="00881808">
              <w:t>$11.</w:t>
            </w:r>
            <w:r>
              <w:t>1</w:t>
            </w:r>
            <w:r w:rsidRPr="00881808">
              <w:t xml:space="preserve"> </w:t>
            </w:r>
          </w:p>
        </w:tc>
      </w:tr>
      <w:tr w:rsidR="00676882" w14:paraId="6ED3429B" w14:textId="77777777" w:rsidTr="00DF45FA">
        <w:trPr>
          <w:gridBefore w:val="1"/>
          <w:wBefore w:w="454" w:type="dxa"/>
        </w:trPr>
        <w:tc>
          <w:tcPr>
            <w:tcW w:w="2645" w:type="dxa"/>
            <w:shd w:val="clear" w:color="auto" w:fill="auto"/>
            <w:vAlign w:val="bottom"/>
          </w:tcPr>
          <w:p w14:paraId="20F480FA" w14:textId="77777777" w:rsidR="00676882" w:rsidRDefault="00676882" w:rsidP="00DF45FA">
            <w:pPr>
              <w:pStyle w:val="Tableunitsrow"/>
            </w:pPr>
            <w:r>
              <w:t>c) Insulation R5 - 2 year</w:t>
            </w:r>
          </w:p>
        </w:tc>
        <w:tc>
          <w:tcPr>
            <w:tcW w:w="2646" w:type="dxa"/>
            <w:shd w:val="clear" w:color="auto" w:fill="auto"/>
            <w:vAlign w:val="center"/>
          </w:tcPr>
          <w:p w14:paraId="5F04ACFE" w14:textId="77777777" w:rsidR="00676882" w:rsidRDefault="00676882" w:rsidP="00DF45FA">
            <w:pPr>
              <w:pStyle w:val="Tabletext"/>
              <w:jc w:val="right"/>
            </w:pPr>
            <w:r w:rsidRPr="00881808">
              <w:t>1.29</w:t>
            </w:r>
          </w:p>
        </w:tc>
        <w:tc>
          <w:tcPr>
            <w:tcW w:w="2646" w:type="dxa"/>
            <w:shd w:val="clear" w:color="auto" w:fill="auto"/>
            <w:vAlign w:val="center"/>
          </w:tcPr>
          <w:p w14:paraId="516D72A0" w14:textId="77777777" w:rsidR="00676882" w:rsidRDefault="00676882" w:rsidP="00DF45FA">
            <w:pPr>
              <w:pStyle w:val="Tabletext"/>
              <w:jc w:val="right"/>
            </w:pPr>
            <w:r w:rsidRPr="00881808">
              <w:t xml:space="preserve">$17.4 </w:t>
            </w:r>
          </w:p>
        </w:tc>
      </w:tr>
      <w:tr w:rsidR="00676882" w14:paraId="160C6F3B" w14:textId="77777777" w:rsidTr="00DF45FA">
        <w:trPr>
          <w:gridBefore w:val="1"/>
          <w:wBefore w:w="454" w:type="dxa"/>
        </w:trPr>
        <w:tc>
          <w:tcPr>
            <w:tcW w:w="2645" w:type="dxa"/>
            <w:shd w:val="clear" w:color="auto" w:fill="auto"/>
            <w:vAlign w:val="bottom"/>
          </w:tcPr>
          <w:p w14:paraId="39AF3663" w14:textId="77777777" w:rsidR="00676882" w:rsidRDefault="00676882" w:rsidP="00DF45FA">
            <w:pPr>
              <w:pStyle w:val="Tableunitsrow"/>
            </w:pPr>
            <w:r>
              <w:t>d) Insulation R5 - 4 year</w:t>
            </w:r>
          </w:p>
        </w:tc>
        <w:tc>
          <w:tcPr>
            <w:tcW w:w="2646" w:type="dxa"/>
            <w:shd w:val="clear" w:color="auto" w:fill="auto"/>
            <w:vAlign w:val="center"/>
          </w:tcPr>
          <w:p w14:paraId="11C63408" w14:textId="77777777" w:rsidR="00676882" w:rsidRDefault="00676882" w:rsidP="00DF45FA">
            <w:pPr>
              <w:pStyle w:val="Tabletext"/>
              <w:jc w:val="right"/>
            </w:pPr>
            <w:r w:rsidRPr="00881808">
              <w:t>1.30</w:t>
            </w:r>
          </w:p>
        </w:tc>
        <w:tc>
          <w:tcPr>
            <w:tcW w:w="2646" w:type="dxa"/>
            <w:shd w:val="clear" w:color="auto" w:fill="auto"/>
            <w:vAlign w:val="center"/>
          </w:tcPr>
          <w:p w14:paraId="7BC6D5FE" w14:textId="77777777" w:rsidR="00676882" w:rsidRDefault="00676882" w:rsidP="00DF45FA">
            <w:pPr>
              <w:pStyle w:val="Tabletext"/>
              <w:jc w:val="right"/>
            </w:pPr>
            <w:r w:rsidRPr="00881808">
              <w:t xml:space="preserve">$18.0 </w:t>
            </w:r>
          </w:p>
        </w:tc>
      </w:tr>
      <w:tr w:rsidR="00676882" w14:paraId="3AD81C82" w14:textId="77777777" w:rsidTr="00DF45FA">
        <w:trPr>
          <w:gridBefore w:val="1"/>
          <w:wBefore w:w="454" w:type="dxa"/>
        </w:trPr>
        <w:tc>
          <w:tcPr>
            <w:tcW w:w="2645" w:type="dxa"/>
            <w:shd w:val="clear" w:color="auto" w:fill="auto"/>
            <w:vAlign w:val="bottom"/>
          </w:tcPr>
          <w:p w14:paraId="7613EAF2" w14:textId="77777777" w:rsidR="00676882" w:rsidRDefault="00676882" w:rsidP="00DF45FA">
            <w:pPr>
              <w:pStyle w:val="Tableunitsrow"/>
            </w:pPr>
            <w:r>
              <w:t>e) Heater - 2 year</w:t>
            </w:r>
          </w:p>
        </w:tc>
        <w:tc>
          <w:tcPr>
            <w:tcW w:w="2646" w:type="dxa"/>
            <w:shd w:val="clear" w:color="auto" w:fill="auto"/>
            <w:vAlign w:val="center"/>
          </w:tcPr>
          <w:p w14:paraId="75292ED0" w14:textId="77777777" w:rsidR="00676882" w:rsidRDefault="00676882" w:rsidP="00DF45FA">
            <w:pPr>
              <w:pStyle w:val="Tabletext"/>
              <w:jc w:val="right"/>
            </w:pPr>
            <w:r w:rsidRPr="00881808">
              <w:t>0.59</w:t>
            </w:r>
          </w:p>
        </w:tc>
        <w:tc>
          <w:tcPr>
            <w:tcW w:w="2646" w:type="dxa"/>
            <w:shd w:val="clear" w:color="auto" w:fill="auto"/>
            <w:vAlign w:val="center"/>
          </w:tcPr>
          <w:p w14:paraId="47F5C6CA" w14:textId="77777777" w:rsidR="00676882" w:rsidRPr="00125F96" w:rsidRDefault="00676882" w:rsidP="00DF45FA">
            <w:pPr>
              <w:pStyle w:val="Tabletext"/>
              <w:jc w:val="right"/>
              <w:rPr>
                <w:color w:val="C00000"/>
              </w:rPr>
            </w:pPr>
            <w:r>
              <w:rPr>
                <w:color w:val="C00000"/>
              </w:rPr>
              <w:t>-</w:t>
            </w:r>
            <w:r w:rsidRPr="00125F96">
              <w:rPr>
                <w:color w:val="C00000"/>
              </w:rPr>
              <w:t>$15.</w:t>
            </w:r>
            <w:r>
              <w:rPr>
                <w:color w:val="C00000"/>
              </w:rPr>
              <w:t>6</w:t>
            </w:r>
          </w:p>
        </w:tc>
      </w:tr>
      <w:tr w:rsidR="00676882" w14:paraId="7BD4A881" w14:textId="77777777" w:rsidTr="00DF45FA">
        <w:trPr>
          <w:gridBefore w:val="1"/>
          <w:wBefore w:w="454" w:type="dxa"/>
        </w:trPr>
        <w:tc>
          <w:tcPr>
            <w:tcW w:w="2645" w:type="dxa"/>
            <w:shd w:val="clear" w:color="auto" w:fill="auto"/>
            <w:vAlign w:val="bottom"/>
          </w:tcPr>
          <w:p w14:paraId="0FCA7B00" w14:textId="77777777" w:rsidR="00676882" w:rsidRDefault="00676882" w:rsidP="00DF45FA">
            <w:pPr>
              <w:pStyle w:val="Tableunitsrow"/>
            </w:pPr>
            <w:r>
              <w:t>f) Heater - 4 year</w:t>
            </w:r>
          </w:p>
        </w:tc>
        <w:tc>
          <w:tcPr>
            <w:tcW w:w="2646" w:type="dxa"/>
            <w:shd w:val="clear" w:color="auto" w:fill="auto"/>
            <w:vAlign w:val="center"/>
          </w:tcPr>
          <w:p w14:paraId="65DD6552" w14:textId="77777777" w:rsidR="00676882" w:rsidRDefault="00676882" w:rsidP="00DF45FA">
            <w:pPr>
              <w:pStyle w:val="Tabletext"/>
              <w:jc w:val="right"/>
            </w:pPr>
            <w:r w:rsidRPr="00881808">
              <w:t>0.59</w:t>
            </w:r>
          </w:p>
        </w:tc>
        <w:tc>
          <w:tcPr>
            <w:tcW w:w="2646" w:type="dxa"/>
            <w:shd w:val="clear" w:color="auto" w:fill="auto"/>
            <w:vAlign w:val="center"/>
          </w:tcPr>
          <w:p w14:paraId="7984EF13" w14:textId="77777777" w:rsidR="00676882" w:rsidRPr="00125F96" w:rsidRDefault="00676882" w:rsidP="00DF45FA">
            <w:pPr>
              <w:pStyle w:val="Tabletext"/>
              <w:jc w:val="right"/>
              <w:rPr>
                <w:color w:val="C00000"/>
              </w:rPr>
            </w:pPr>
            <w:r>
              <w:rPr>
                <w:color w:val="C00000"/>
              </w:rPr>
              <w:t>-</w:t>
            </w:r>
            <w:r w:rsidRPr="00125F96">
              <w:rPr>
                <w:color w:val="C00000"/>
              </w:rPr>
              <w:t>$15.</w:t>
            </w:r>
            <w:r>
              <w:rPr>
                <w:color w:val="C00000"/>
              </w:rPr>
              <w:t>6</w:t>
            </w:r>
          </w:p>
        </w:tc>
      </w:tr>
      <w:tr w:rsidR="00676882" w14:paraId="167E0620" w14:textId="77777777" w:rsidTr="00DF45FA">
        <w:trPr>
          <w:gridBefore w:val="1"/>
          <w:wBefore w:w="454" w:type="dxa"/>
        </w:trPr>
        <w:tc>
          <w:tcPr>
            <w:tcW w:w="2645" w:type="dxa"/>
            <w:shd w:val="clear" w:color="auto" w:fill="auto"/>
            <w:vAlign w:val="bottom"/>
          </w:tcPr>
          <w:p w14:paraId="28515FC4" w14:textId="77777777" w:rsidR="00676882" w:rsidRDefault="00676882" w:rsidP="00DF45FA">
            <w:pPr>
              <w:pStyle w:val="Tableunitsrow"/>
            </w:pPr>
            <w:r>
              <w:t>g) Performance 2-stars - 2 year</w:t>
            </w:r>
          </w:p>
        </w:tc>
        <w:tc>
          <w:tcPr>
            <w:tcW w:w="2646" w:type="dxa"/>
            <w:shd w:val="clear" w:color="auto" w:fill="auto"/>
            <w:vAlign w:val="center"/>
          </w:tcPr>
          <w:p w14:paraId="54D3A244" w14:textId="77777777" w:rsidR="00676882" w:rsidRDefault="00676882" w:rsidP="00DF45FA">
            <w:pPr>
              <w:pStyle w:val="Tabletext"/>
              <w:jc w:val="right"/>
            </w:pPr>
            <w:r w:rsidRPr="00881808">
              <w:t>0.46</w:t>
            </w:r>
          </w:p>
        </w:tc>
        <w:tc>
          <w:tcPr>
            <w:tcW w:w="2646" w:type="dxa"/>
            <w:shd w:val="clear" w:color="auto" w:fill="auto"/>
            <w:vAlign w:val="center"/>
          </w:tcPr>
          <w:p w14:paraId="5604F028" w14:textId="77777777" w:rsidR="00676882" w:rsidRPr="00125F96" w:rsidRDefault="00676882" w:rsidP="00DF45FA">
            <w:pPr>
              <w:pStyle w:val="Tabletext"/>
              <w:jc w:val="right"/>
              <w:rPr>
                <w:color w:val="C00000"/>
              </w:rPr>
            </w:pPr>
            <w:r>
              <w:rPr>
                <w:color w:val="C00000"/>
              </w:rPr>
              <w:t>-</w:t>
            </w:r>
            <w:r w:rsidRPr="00125F96">
              <w:rPr>
                <w:color w:val="C00000"/>
              </w:rPr>
              <w:t>$1</w:t>
            </w:r>
            <w:r>
              <w:rPr>
                <w:color w:val="C00000"/>
              </w:rPr>
              <w:t>3.0</w:t>
            </w:r>
          </w:p>
        </w:tc>
      </w:tr>
      <w:tr w:rsidR="00676882" w14:paraId="0F21000F" w14:textId="77777777" w:rsidTr="00DF45FA">
        <w:trPr>
          <w:gridBefore w:val="1"/>
          <w:wBefore w:w="454" w:type="dxa"/>
        </w:trPr>
        <w:tc>
          <w:tcPr>
            <w:tcW w:w="2645" w:type="dxa"/>
            <w:shd w:val="clear" w:color="auto" w:fill="auto"/>
            <w:vAlign w:val="bottom"/>
          </w:tcPr>
          <w:p w14:paraId="7BBDBA0F" w14:textId="77777777" w:rsidR="00676882" w:rsidRDefault="00676882" w:rsidP="00DF45FA">
            <w:pPr>
              <w:pStyle w:val="Tableunitsrow"/>
            </w:pPr>
            <w:r>
              <w:t>h) Performance 2-stars - 4 year</w:t>
            </w:r>
          </w:p>
        </w:tc>
        <w:tc>
          <w:tcPr>
            <w:tcW w:w="2646" w:type="dxa"/>
            <w:shd w:val="clear" w:color="auto" w:fill="auto"/>
            <w:vAlign w:val="center"/>
          </w:tcPr>
          <w:p w14:paraId="3897D9BF" w14:textId="77777777" w:rsidR="00676882" w:rsidRDefault="00676882" w:rsidP="00DF45FA">
            <w:pPr>
              <w:pStyle w:val="Tabletext"/>
              <w:jc w:val="right"/>
            </w:pPr>
            <w:r w:rsidRPr="00881808">
              <w:t>0.47</w:t>
            </w:r>
          </w:p>
        </w:tc>
        <w:tc>
          <w:tcPr>
            <w:tcW w:w="2646" w:type="dxa"/>
            <w:shd w:val="clear" w:color="auto" w:fill="auto"/>
            <w:vAlign w:val="center"/>
          </w:tcPr>
          <w:p w14:paraId="34893773" w14:textId="77777777" w:rsidR="00676882" w:rsidRPr="00125F96" w:rsidRDefault="00676882" w:rsidP="00DF45FA">
            <w:pPr>
              <w:pStyle w:val="Tabletext"/>
              <w:jc w:val="right"/>
              <w:rPr>
                <w:color w:val="C00000"/>
              </w:rPr>
            </w:pPr>
            <w:r>
              <w:rPr>
                <w:color w:val="C00000"/>
              </w:rPr>
              <w:t>-</w:t>
            </w:r>
            <w:r w:rsidRPr="00125F96">
              <w:rPr>
                <w:color w:val="C00000"/>
              </w:rPr>
              <w:t>$12.</w:t>
            </w:r>
            <w:r>
              <w:rPr>
                <w:color w:val="C00000"/>
              </w:rPr>
              <w:t>9</w:t>
            </w:r>
          </w:p>
        </w:tc>
      </w:tr>
      <w:tr w:rsidR="00676882" w14:paraId="41E892C7" w14:textId="77777777" w:rsidTr="00DF45FA">
        <w:trPr>
          <w:gridBefore w:val="1"/>
          <w:wBefore w:w="454" w:type="dxa"/>
        </w:trPr>
        <w:tc>
          <w:tcPr>
            <w:tcW w:w="2645" w:type="dxa"/>
            <w:shd w:val="clear" w:color="auto" w:fill="auto"/>
            <w:vAlign w:val="bottom"/>
          </w:tcPr>
          <w:p w14:paraId="000C0BA8" w14:textId="77777777" w:rsidR="00676882" w:rsidRDefault="00676882" w:rsidP="00DF45FA">
            <w:pPr>
              <w:pStyle w:val="Tableunitsrow"/>
            </w:pPr>
            <w:r>
              <w:lastRenderedPageBreak/>
              <w:t>i) Performance 3-stars - 2 year</w:t>
            </w:r>
          </w:p>
        </w:tc>
        <w:tc>
          <w:tcPr>
            <w:tcW w:w="2646" w:type="dxa"/>
            <w:shd w:val="clear" w:color="auto" w:fill="auto"/>
            <w:vAlign w:val="center"/>
          </w:tcPr>
          <w:p w14:paraId="6927D517" w14:textId="77777777" w:rsidR="00676882" w:rsidRDefault="00676882" w:rsidP="00DF45FA">
            <w:pPr>
              <w:pStyle w:val="Tabletext"/>
              <w:jc w:val="right"/>
            </w:pPr>
            <w:r w:rsidRPr="00881808">
              <w:t>0.</w:t>
            </w:r>
            <w:r>
              <w:t>49</w:t>
            </w:r>
          </w:p>
        </w:tc>
        <w:tc>
          <w:tcPr>
            <w:tcW w:w="2646" w:type="dxa"/>
            <w:shd w:val="clear" w:color="auto" w:fill="auto"/>
            <w:vAlign w:val="center"/>
          </w:tcPr>
          <w:p w14:paraId="3826C1E0" w14:textId="77777777" w:rsidR="00676882" w:rsidRPr="00125F96" w:rsidRDefault="00676882" w:rsidP="00DF45FA">
            <w:pPr>
              <w:pStyle w:val="Tabletext"/>
              <w:jc w:val="right"/>
              <w:rPr>
                <w:color w:val="C00000"/>
              </w:rPr>
            </w:pPr>
            <w:r>
              <w:rPr>
                <w:color w:val="C00000"/>
              </w:rPr>
              <w:t>-</w:t>
            </w:r>
            <w:r w:rsidRPr="00125F96">
              <w:rPr>
                <w:color w:val="C00000"/>
              </w:rPr>
              <w:t>$10</w:t>
            </w:r>
            <w:r>
              <w:rPr>
                <w:color w:val="C00000"/>
              </w:rPr>
              <w:t>7.0</w:t>
            </w:r>
          </w:p>
        </w:tc>
      </w:tr>
      <w:tr w:rsidR="00676882" w14:paraId="6EF043A0" w14:textId="77777777" w:rsidTr="00DF45FA">
        <w:trPr>
          <w:gridBefore w:val="1"/>
          <w:wBefore w:w="454" w:type="dxa"/>
        </w:trPr>
        <w:tc>
          <w:tcPr>
            <w:tcW w:w="2645" w:type="dxa"/>
            <w:shd w:val="clear" w:color="auto" w:fill="auto"/>
            <w:vAlign w:val="bottom"/>
          </w:tcPr>
          <w:p w14:paraId="1253C56C" w14:textId="77777777" w:rsidR="00676882" w:rsidRDefault="00676882" w:rsidP="00DF45FA">
            <w:pPr>
              <w:pStyle w:val="Tableunitsrow"/>
            </w:pPr>
            <w:r>
              <w:t>j) Performance 3-stars - 4 year</w:t>
            </w:r>
          </w:p>
        </w:tc>
        <w:tc>
          <w:tcPr>
            <w:tcW w:w="2646" w:type="dxa"/>
            <w:shd w:val="clear" w:color="auto" w:fill="auto"/>
            <w:vAlign w:val="center"/>
          </w:tcPr>
          <w:p w14:paraId="32C96DA4" w14:textId="77777777" w:rsidR="00676882" w:rsidRDefault="00676882" w:rsidP="00DF45FA">
            <w:pPr>
              <w:pStyle w:val="Tabletext"/>
              <w:jc w:val="right"/>
            </w:pPr>
            <w:r w:rsidRPr="00881808">
              <w:t>0.5</w:t>
            </w:r>
            <w:r>
              <w:t>0</w:t>
            </w:r>
          </w:p>
        </w:tc>
        <w:tc>
          <w:tcPr>
            <w:tcW w:w="2646" w:type="dxa"/>
            <w:shd w:val="clear" w:color="auto" w:fill="auto"/>
            <w:vAlign w:val="center"/>
          </w:tcPr>
          <w:p w14:paraId="74800943" w14:textId="77777777" w:rsidR="00676882" w:rsidRPr="00125F96" w:rsidRDefault="00676882" w:rsidP="00DF45FA">
            <w:pPr>
              <w:pStyle w:val="Tabletext"/>
              <w:jc w:val="right"/>
              <w:rPr>
                <w:color w:val="C00000"/>
              </w:rPr>
            </w:pPr>
            <w:r>
              <w:rPr>
                <w:color w:val="C00000"/>
              </w:rPr>
              <w:t>-</w:t>
            </w:r>
            <w:r w:rsidRPr="00125F96">
              <w:rPr>
                <w:color w:val="C00000"/>
              </w:rPr>
              <w:t>$10</w:t>
            </w:r>
            <w:r>
              <w:rPr>
                <w:color w:val="C00000"/>
              </w:rPr>
              <w:t>4.1</w:t>
            </w:r>
          </w:p>
        </w:tc>
      </w:tr>
      <w:tr w:rsidR="00676882" w14:paraId="463170F2" w14:textId="77777777" w:rsidTr="00DF45FA">
        <w:trPr>
          <w:gridBefore w:val="1"/>
          <w:wBefore w:w="454" w:type="dxa"/>
        </w:trPr>
        <w:tc>
          <w:tcPr>
            <w:tcW w:w="7937" w:type="dxa"/>
            <w:gridSpan w:val="3"/>
            <w:tcBorders>
              <w:bottom w:val="single" w:sz="4" w:space="0" w:color="646464"/>
            </w:tcBorders>
            <w:shd w:val="clear" w:color="auto" w:fill="auto"/>
          </w:tcPr>
          <w:p w14:paraId="125F4DBC" w14:textId="77777777" w:rsidR="00676882" w:rsidRDefault="00676882" w:rsidP="00DF45FA">
            <w:pPr>
              <w:pStyle w:val="Source"/>
              <w:rPr>
                <w:i w:val="0"/>
                <w:iCs/>
              </w:rPr>
            </w:pPr>
            <w:r>
              <w:rPr>
                <w:i w:val="0"/>
                <w:iCs/>
              </w:rPr>
              <w:t xml:space="preserve">Note: All impacts are calculated in present value (using a three per cent discount rate) over the life of the upgrades. </w:t>
            </w:r>
          </w:p>
          <w:p w14:paraId="6D35DB78" w14:textId="77777777" w:rsidR="00676882" w:rsidRPr="00205B1B" w:rsidRDefault="00676882" w:rsidP="00DF45FA">
            <w:pPr>
              <w:pStyle w:val="Source"/>
            </w:pPr>
            <w:r w:rsidRPr="00205B1B">
              <w:t>Source: ACIL Allen</w:t>
            </w:r>
          </w:p>
        </w:tc>
      </w:tr>
      <w:tr w:rsidR="00676882" w14:paraId="73882E81" w14:textId="77777777" w:rsidTr="00DF45FA">
        <w:trPr>
          <w:gridBefore w:val="1"/>
          <w:wBefore w:w="454" w:type="dxa"/>
          <w:trHeight w:hRule="exact" w:val="160"/>
        </w:trPr>
        <w:tc>
          <w:tcPr>
            <w:tcW w:w="7937" w:type="dxa"/>
            <w:gridSpan w:val="3"/>
            <w:tcBorders>
              <w:top w:val="single" w:sz="4" w:space="0" w:color="646464"/>
              <w:bottom w:val="nil"/>
            </w:tcBorders>
            <w:shd w:val="clear" w:color="auto" w:fill="auto"/>
          </w:tcPr>
          <w:p w14:paraId="71C6D28C" w14:textId="77777777" w:rsidR="00676882" w:rsidRDefault="00676882" w:rsidP="00DF45FA">
            <w:pPr>
              <w:pStyle w:val="spacer"/>
            </w:pPr>
          </w:p>
        </w:tc>
      </w:tr>
    </w:tbl>
    <w:p w14:paraId="4A6D0F90" w14:textId="77777777" w:rsidR="00676882" w:rsidRDefault="00676882" w:rsidP="00676882">
      <w:pPr>
        <w:pStyle w:val="BodyText"/>
      </w:pPr>
      <w:bookmarkStart w:id="3" w:name="_Ref80480457"/>
      <w:r>
        <w:t xml:space="preserve">The number of rental properties that </w:t>
      </w:r>
      <w:proofErr w:type="gramStart"/>
      <w:r>
        <w:t>have to</w:t>
      </w:r>
      <w:proofErr w:type="gramEnd"/>
      <w:r>
        <w:t xml:space="preserve"> be upgraded vary between options. We estimate the scale of each option is approximately:</w:t>
      </w:r>
    </w:p>
    <w:p w14:paraId="54FAD529" w14:textId="77777777" w:rsidR="00676882" w:rsidRDefault="00676882" w:rsidP="00676882">
      <w:pPr>
        <w:pStyle w:val="ListBullet"/>
      </w:pPr>
      <w:r>
        <w:t>insulation (R3 or R5): 18,450 rental properties</w:t>
      </w:r>
    </w:p>
    <w:p w14:paraId="35D07B88" w14:textId="77777777" w:rsidR="00676882" w:rsidRDefault="00676882" w:rsidP="00676882">
      <w:pPr>
        <w:pStyle w:val="ListBullet"/>
      </w:pPr>
      <w:r>
        <w:t>heater: 8,450 rental properties</w:t>
      </w:r>
    </w:p>
    <w:p w14:paraId="1A1FF0FE" w14:textId="77777777" w:rsidR="00676882" w:rsidRDefault="00676882" w:rsidP="00676882">
      <w:pPr>
        <w:pStyle w:val="ListBullet"/>
      </w:pPr>
      <w:r>
        <w:t>performance standard (2-star): 3,270 rental properties</w:t>
      </w:r>
    </w:p>
    <w:p w14:paraId="566CF8EB" w14:textId="77777777" w:rsidR="00676882" w:rsidRDefault="00676882" w:rsidP="00676882">
      <w:pPr>
        <w:pStyle w:val="ListBullet"/>
      </w:pPr>
      <w:r>
        <w:t>performance standard (3-star): 22,940 rental properties.</w:t>
      </w:r>
    </w:p>
    <w:p w14:paraId="2D963580" w14:textId="77777777" w:rsidR="00676882" w:rsidRDefault="00676882" w:rsidP="00676882">
      <w:pPr>
        <w:pStyle w:val="BodyText"/>
      </w:pPr>
      <w:r>
        <w:t xml:space="preserve">The 3-star performance standard options had the greatest energy and greenhouse gas emissions savings, followed by R5 insulation (see Table ES 2).  </w:t>
      </w:r>
    </w:p>
    <w:p w14:paraId="768F3914" w14:textId="77777777" w:rsidR="00676882" w:rsidRDefault="00676882" w:rsidP="00676882">
      <w:pPr>
        <w:pStyle w:val="Caption"/>
        <w:spacing w:before="240"/>
      </w:pPr>
      <w:bookmarkStart w:id="4" w:name="_Toc80719323"/>
      <w:r w:rsidRPr="001C06E4">
        <w:rPr>
          <w:rStyle w:val="CaptionLabel"/>
        </w:rPr>
        <w:t>Table ES </w:t>
      </w:r>
      <w:r w:rsidRPr="001C06E4">
        <w:rPr>
          <w:rStyle w:val="CaptionLabel"/>
        </w:rPr>
        <w:fldChar w:fldCharType="begin"/>
      </w:r>
      <w:r w:rsidRPr="001C06E4">
        <w:rPr>
          <w:rStyle w:val="CaptionLabel"/>
        </w:rPr>
        <w:instrText xml:space="preserve"> SEQ Table_ES \* ARABIC  \* MERGEFORMAT </w:instrText>
      </w:r>
      <w:r w:rsidRPr="001C06E4">
        <w:rPr>
          <w:rStyle w:val="CaptionLabel"/>
        </w:rPr>
        <w:fldChar w:fldCharType="separate"/>
      </w:r>
      <w:r>
        <w:rPr>
          <w:rStyle w:val="CaptionLabel"/>
          <w:noProof/>
        </w:rPr>
        <w:t>2</w:t>
      </w:r>
      <w:r w:rsidRPr="001C06E4">
        <w:rPr>
          <w:rStyle w:val="CaptionLabel"/>
        </w:rPr>
        <w:fldChar w:fldCharType="end"/>
      </w:r>
      <w:bookmarkEnd w:id="3"/>
      <w:r>
        <w:tab/>
        <w:t>Energy and greenhouse gas emissions saved over the life of the upgrade</w:t>
      </w:r>
      <w:bookmarkEnd w:id="4"/>
    </w:p>
    <w:tbl>
      <w:tblPr>
        <w:tblW w:w="8391"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ES2"/>
        <w:tblDescription w:val="Energy and greenhouse gas emissions saved over the life of the upgrade"/>
      </w:tblPr>
      <w:tblGrid>
        <w:gridCol w:w="454"/>
        <w:gridCol w:w="2645"/>
        <w:gridCol w:w="2646"/>
        <w:gridCol w:w="2646"/>
      </w:tblGrid>
      <w:tr w:rsidR="00676882" w14:paraId="6023EA6A" w14:textId="77777777" w:rsidTr="00DF45FA">
        <w:trPr>
          <w:tblHeader/>
        </w:trPr>
        <w:tc>
          <w:tcPr>
            <w:tcW w:w="3099" w:type="dxa"/>
            <w:gridSpan w:val="2"/>
            <w:tcBorders>
              <w:top w:val="nil"/>
              <w:bottom w:val="nil"/>
            </w:tcBorders>
            <w:shd w:val="clear" w:color="auto" w:fill="140034"/>
            <w:tcMar>
              <w:left w:w="454" w:type="dxa"/>
            </w:tcMar>
          </w:tcPr>
          <w:p w14:paraId="6F8D9C57" w14:textId="77777777" w:rsidR="00676882" w:rsidRDefault="00676882" w:rsidP="00DF45FA">
            <w:pPr>
              <w:pStyle w:val="Tablecolumnheadings"/>
            </w:pPr>
            <w:r>
              <w:t>Option modelled</w:t>
            </w:r>
          </w:p>
        </w:tc>
        <w:tc>
          <w:tcPr>
            <w:tcW w:w="2646" w:type="dxa"/>
            <w:tcBorders>
              <w:top w:val="nil"/>
              <w:bottom w:val="nil"/>
            </w:tcBorders>
            <w:shd w:val="clear" w:color="auto" w:fill="140034"/>
          </w:tcPr>
          <w:p w14:paraId="26B39AFC" w14:textId="77777777" w:rsidR="00676882" w:rsidRDefault="00676882" w:rsidP="00DF45FA">
            <w:pPr>
              <w:pStyle w:val="Tablecolumnheadings"/>
              <w:jc w:val="right"/>
            </w:pPr>
            <w:r>
              <w:t>Energy saved (PJ)</w:t>
            </w:r>
          </w:p>
        </w:tc>
        <w:tc>
          <w:tcPr>
            <w:tcW w:w="2646" w:type="dxa"/>
            <w:tcBorders>
              <w:top w:val="nil"/>
              <w:bottom w:val="nil"/>
              <w:right w:val="single" w:sz="6" w:space="0" w:color="140034"/>
            </w:tcBorders>
            <w:shd w:val="clear" w:color="auto" w:fill="140034"/>
          </w:tcPr>
          <w:p w14:paraId="534D863E" w14:textId="77777777" w:rsidR="00676882" w:rsidRDefault="00676882" w:rsidP="00DF45FA">
            <w:pPr>
              <w:pStyle w:val="Tablecolumnheadings"/>
              <w:jc w:val="right"/>
            </w:pPr>
            <w:r>
              <w:t>Greenhouse gas emissions saved CO</w:t>
            </w:r>
            <w:r w:rsidRPr="006B0263">
              <w:rPr>
                <w:vertAlign w:val="subscript"/>
              </w:rPr>
              <w:t>2</w:t>
            </w:r>
            <w:r>
              <w:t>-equivalent (tonnes)</w:t>
            </w:r>
          </w:p>
        </w:tc>
      </w:tr>
      <w:tr w:rsidR="00676882" w14:paraId="09048513" w14:textId="77777777" w:rsidTr="00DF45FA">
        <w:trPr>
          <w:gridBefore w:val="1"/>
          <w:wBefore w:w="454" w:type="dxa"/>
        </w:trPr>
        <w:tc>
          <w:tcPr>
            <w:tcW w:w="2645" w:type="dxa"/>
            <w:tcBorders>
              <w:top w:val="nil"/>
            </w:tcBorders>
            <w:shd w:val="clear" w:color="auto" w:fill="auto"/>
            <w:vAlign w:val="bottom"/>
          </w:tcPr>
          <w:p w14:paraId="5CE4C1F1" w14:textId="77777777" w:rsidR="00676882" w:rsidRDefault="00676882" w:rsidP="00DF45FA">
            <w:pPr>
              <w:pStyle w:val="Tableunitsrow"/>
            </w:pPr>
            <w:r>
              <w:t>a) Insulation R3 - 2 year</w:t>
            </w:r>
          </w:p>
        </w:tc>
        <w:tc>
          <w:tcPr>
            <w:tcW w:w="2646" w:type="dxa"/>
            <w:tcBorders>
              <w:top w:val="nil"/>
            </w:tcBorders>
            <w:shd w:val="clear" w:color="auto" w:fill="auto"/>
            <w:vAlign w:val="bottom"/>
          </w:tcPr>
          <w:p w14:paraId="4EF127CC" w14:textId="77777777" w:rsidR="00676882" w:rsidRDefault="00676882" w:rsidP="00DF45FA">
            <w:pPr>
              <w:pStyle w:val="Tabletext"/>
              <w:jc w:val="right"/>
            </w:pPr>
            <w:r>
              <w:t>4,860</w:t>
            </w:r>
          </w:p>
        </w:tc>
        <w:tc>
          <w:tcPr>
            <w:tcW w:w="2646" w:type="dxa"/>
            <w:tcBorders>
              <w:top w:val="nil"/>
            </w:tcBorders>
            <w:shd w:val="clear" w:color="auto" w:fill="auto"/>
          </w:tcPr>
          <w:p w14:paraId="14909082" w14:textId="77777777" w:rsidR="00676882" w:rsidRDefault="00676882" w:rsidP="00DF45FA">
            <w:pPr>
              <w:pStyle w:val="Tabletext"/>
              <w:jc w:val="right"/>
            </w:pPr>
            <w:r w:rsidRPr="00B545AA">
              <w:t>237,159</w:t>
            </w:r>
          </w:p>
        </w:tc>
      </w:tr>
      <w:tr w:rsidR="00676882" w14:paraId="0FE1AE05" w14:textId="77777777" w:rsidTr="00DF45FA">
        <w:trPr>
          <w:gridBefore w:val="1"/>
          <w:wBefore w:w="454" w:type="dxa"/>
        </w:trPr>
        <w:tc>
          <w:tcPr>
            <w:tcW w:w="2645" w:type="dxa"/>
            <w:shd w:val="clear" w:color="auto" w:fill="auto"/>
            <w:vAlign w:val="bottom"/>
          </w:tcPr>
          <w:p w14:paraId="0D71E613" w14:textId="77777777" w:rsidR="00676882" w:rsidRDefault="00676882" w:rsidP="00DF45FA">
            <w:pPr>
              <w:pStyle w:val="Tableunitsrow"/>
            </w:pPr>
            <w:r>
              <w:t>b) Insulation R3 - 4 year</w:t>
            </w:r>
          </w:p>
        </w:tc>
        <w:tc>
          <w:tcPr>
            <w:tcW w:w="2646" w:type="dxa"/>
            <w:shd w:val="clear" w:color="auto" w:fill="auto"/>
            <w:vAlign w:val="bottom"/>
          </w:tcPr>
          <w:p w14:paraId="659414E8" w14:textId="77777777" w:rsidR="00676882" w:rsidRDefault="00676882" w:rsidP="00DF45FA">
            <w:pPr>
              <w:pStyle w:val="Tabletext"/>
              <w:jc w:val="right"/>
            </w:pPr>
            <w:r>
              <w:t>4,830</w:t>
            </w:r>
          </w:p>
        </w:tc>
        <w:tc>
          <w:tcPr>
            <w:tcW w:w="2646" w:type="dxa"/>
            <w:shd w:val="clear" w:color="auto" w:fill="auto"/>
          </w:tcPr>
          <w:p w14:paraId="7CF2F659" w14:textId="77777777" w:rsidR="00676882" w:rsidRDefault="00676882" w:rsidP="00DF45FA">
            <w:pPr>
              <w:pStyle w:val="Tabletext"/>
              <w:jc w:val="right"/>
            </w:pPr>
            <w:r w:rsidRPr="00B545AA">
              <w:t>237,165</w:t>
            </w:r>
          </w:p>
        </w:tc>
      </w:tr>
      <w:tr w:rsidR="00676882" w14:paraId="5432A071" w14:textId="77777777" w:rsidTr="00DF45FA">
        <w:trPr>
          <w:gridBefore w:val="1"/>
          <w:wBefore w:w="454" w:type="dxa"/>
        </w:trPr>
        <w:tc>
          <w:tcPr>
            <w:tcW w:w="2645" w:type="dxa"/>
            <w:shd w:val="clear" w:color="auto" w:fill="auto"/>
            <w:vAlign w:val="bottom"/>
          </w:tcPr>
          <w:p w14:paraId="5FDDA8B1" w14:textId="77777777" w:rsidR="00676882" w:rsidRDefault="00676882" w:rsidP="00DF45FA">
            <w:pPr>
              <w:pStyle w:val="Tableunitsrow"/>
            </w:pPr>
            <w:r>
              <w:t>c) Insulation R5 - 2 year</w:t>
            </w:r>
          </w:p>
        </w:tc>
        <w:tc>
          <w:tcPr>
            <w:tcW w:w="2646" w:type="dxa"/>
            <w:shd w:val="clear" w:color="auto" w:fill="auto"/>
            <w:vAlign w:val="bottom"/>
          </w:tcPr>
          <w:p w14:paraId="559D74F4" w14:textId="77777777" w:rsidR="00676882" w:rsidRDefault="00676882" w:rsidP="00DF45FA">
            <w:pPr>
              <w:pStyle w:val="Tabletext"/>
              <w:jc w:val="right"/>
            </w:pPr>
            <w:r>
              <w:t>5,908</w:t>
            </w:r>
          </w:p>
        </w:tc>
        <w:tc>
          <w:tcPr>
            <w:tcW w:w="2646" w:type="dxa"/>
            <w:shd w:val="clear" w:color="auto" w:fill="auto"/>
          </w:tcPr>
          <w:p w14:paraId="149C88A3" w14:textId="77777777" w:rsidR="00676882" w:rsidRDefault="00676882" w:rsidP="00DF45FA">
            <w:pPr>
              <w:pStyle w:val="Tabletext"/>
              <w:jc w:val="right"/>
            </w:pPr>
            <w:r w:rsidRPr="00B545AA">
              <w:t>288,907</w:t>
            </w:r>
          </w:p>
        </w:tc>
      </w:tr>
      <w:tr w:rsidR="00676882" w14:paraId="6E5FCE2C" w14:textId="77777777" w:rsidTr="00DF45FA">
        <w:trPr>
          <w:gridBefore w:val="1"/>
          <w:wBefore w:w="454" w:type="dxa"/>
        </w:trPr>
        <w:tc>
          <w:tcPr>
            <w:tcW w:w="2645" w:type="dxa"/>
            <w:shd w:val="clear" w:color="auto" w:fill="auto"/>
            <w:vAlign w:val="bottom"/>
          </w:tcPr>
          <w:p w14:paraId="3541F6FA" w14:textId="77777777" w:rsidR="00676882" w:rsidRDefault="00676882" w:rsidP="00DF45FA">
            <w:pPr>
              <w:pStyle w:val="Tableunitsrow"/>
            </w:pPr>
            <w:r>
              <w:t>d) Insulation R5 - 4 year</w:t>
            </w:r>
          </w:p>
        </w:tc>
        <w:tc>
          <w:tcPr>
            <w:tcW w:w="2646" w:type="dxa"/>
            <w:shd w:val="clear" w:color="auto" w:fill="auto"/>
            <w:vAlign w:val="bottom"/>
          </w:tcPr>
          <w:p w14:paraId="3EACAC30" w14:textId="77777777" w:rsidR="00676882" w:rsidRDefault="00676882" w:rsidP="00DF45FA">
            <w:pPr>
              <w:pStyle w:val="Tabletext"/>
              <w:jc w:val="right"/>
            </w:pPr>
            <w:r>
              <w:t>5,872</w:t>
            </w:r>
          </w:p>
        </w:tc>
        <w:tc>
          <w:tcPr>
            <w:tcW w:w="2646" w:type="dxa"/>
            <w:shd w:val="clear" w:color="auto" w:fill="auto"/>
          </w:tcPr>
          <w:p w14:paraId="01567F57" w14:textId="77777777" w:rsidR="00676882" w:rsidRDefault="00676882" w:rsidP="00DF45FA">
            <w:pPr>
              <w:pStyle w:val="Tabletext"/>
              <w:jc w:val="right"/>
            </w:pPr>
            <w:r w:rsidRPr="00B545AA">
              <w:t>288,914</w:t>
            </w:r>
          </w:p>
        </w:tc>
      </w:tr>
      <w:tr w:rsidR="00676882" w14:paraId="695E9EA6" w14:textId="77777777" w:rsidTr="00DF45FA">
        <w:trPr>
          <w:gridBefore w:val="1"/>
          <w:wBefore w:w="454" w:type="dxa"/>
        </w:trPr>
        <w:tc>
          <w:tcPr>
            <w:tcW w:w="2645" w:type="dxa"/>
            <w:shd w:val="clear" w:color="auto" w:fill="auto"/>
            <w:vAlign w:val="bottom"/>
          </w:tcPr>
          <w:p w14:paraId="6C755635" w14:textId="77777777" w:rsidR="00676882" w:rsidRDefault="00676882" w:rsidP="00DF45FA">
            <w:pPr>
              <w:pStyle w:val="Tableunitsrow"/>
            </w:pPr>
            <w:r>
              <w:t>e) Heater - 2 year</w:t>
            </w:r>
          </w:p>
        </w:tc>
        <w:tc>
          <w:tcPr>
            <w:tcW w:w="2646" w:type="dxa"/>
            <w:shd w:val="clear" w:color="auto" w:fill="auto"/>
            <w:vAlign w:val="bottom"/>
          </w:tcPr>
          <w:p w14:paraId="6C792E1B" w14:textId="77777777" w:rsidR="00676882" w:rsidRDefault="00676882" w:rsidP="00DF45FA">
            <w:pPr>
              <w:pStyle w:val="Tabletext"/>
              <w:jc w:val="right"/>
            </w:pPr>
            <w:r>
              <w:t>1,589</w:t>
            </w:r>
          </w:p>
        </w:tc>
        <w:tc>
          <w:tcPr>
            <w:tcW w:w="2646" w:type="dxa"/>
            <w:shd w:val="clear" w:color="auto" w:fill="auto"/>
          </w:tcPr>
          <w:p w14:paraId="7FEAAF93" w14:textId="77777777" w:rsidR="00676882" w:rsidRPr="00125F96" w:rsidRDefault="00676882" w:rsidP="00DF45FA">
            <w:pPr>
              <w:pStyle w:val="Tabletext"/>
              <w:jc w:val="right"/>
              <w:rPr>
                <w:color w:val="C00000"/>
              </w:rPr>
            </w:pPr>
            <w:r w:rsidRPr="00B545AA">
              <w:t>68,813</w:t>
            </w:r>
          </w:p>
        </w:tc>
      </w:tr>
      <w:tr w:rsidR="00676882" w14:paraId="48DEA25E" w14:textId="77777777" w:rsidTr="00DF45FA">
        <w:trPr>
          <w:gridBefore w:val="1"/>
          <w:wBefore w:w="454" w:type="dxa"/>
        </w:trPr>
        <w:tc>
          <w:tcPr>
            <w:tcW w:w="2645" w:type="dxa"/>
            <w:shd w:val="clear" w:color="auto" w:fill="auto"/>
            <w:vAlign w:val="bottom"/>
          </w:tcPr>
          <w:p w14:paraId="6DF93712" w14:textId="77777777" w:rsidR="00676882" w:rsidRDefault="00676882" w:rsidP="00DF45FA">
            <w:pPr>
              <w:pStyle w:val="Tableunitsrow"/>
            </w:pPr>
            <w:r>
              <w:t>f) Heater - 4 year</w:t>
            </w:r>
          </w:p>
        </w:tc>
        <w:tc>
          <w:tcPr>
            <w:tcW w:w="2646" w:type="dxa"/>
            <w:shd w:val="clear" w:color="auto" w:fill="auto"/>
            <w:vAlign w:val="bottom"/>
          </w:tcPr>
          <w:p w14:paraId="0CC2958B" w14:textId="77777777" w:rsidR="00676882" w:rsidRDefault="00676882" w:rsidP="00DF45FA">
            <w:pPr>
              <w:pStyle w:val="Tabletext"/>
              <w:jc w:val="right"/>
            </w:pPr>
            <w:r>
              <w:t>1,574</w:t>
            </w:r>
          </w:p>
        </w:tc>
        <w:tc>
          <w:tcPr>
            <w:tcW w:w="2646" w:type="dxa"/>
            <w:shd w:val="clear" w:color="auto" w:fill="auto"/>
          </w:tcPr>
          <w:p w14:paraId="1FEFAD78" w14:textId="77777777" w:rsidR="00676882" w:rsidRPr="00125F96" w:rsidRDefault="00676882" w:rsidP="00DF45FA">
            <w:pPr>
              <w:pStyle w:val="Tabletext"/>
              <w:jc w:val="right"/>
              <w:rPr>
                <w:color w:val="C00000"/>
              </w:rPr>
            </w:pPr>
            <w:r w:rsidRPr="00B545AA">
              <w:t>68,925</w:t>
            </w:r>
          </w:p>
        </w:tc>
      </w:tr>
      <w:tr w:rsidR="00676882" w14:paraId="7887EDE8" w14:textId="77777777" w:rsidTr="00DF45FA">
        <w:trPr>
          <w:gridBefore w:val="1"/>
          <w:wBefore w:w="454" w:type="dxa"/>
        </w:trPr>
        <w:tc>
          <w:tcPr>
            <w:tcW w:w="2645" w:type="dxa"/>
            <w:shd w:val="clear" w:color="auto" w:fill="auto"/>
            <w:vAlign w:val="bottom"/>
          </w:tcPr>
          <w:p w14:paraId="2007DED2" w14:textId="77777777" w:rsidR="00676882" w:rsidRDefault="00676882" w:rsidP="00DF45FA">
            <w:pPr>
              <w:pStyle w:val="Tableunitsrow"/>
            </w:pPr>
            <w:r>
              <w:t>g) Performance 2-stars - 2 year</w:t>
            </w:r>
          </w:p>
        </w:tc>
        <w:tc>
          <w:tcPr>
            <w:tcW w:w="2646" w:type="dxa"/>
            <w:shd w:val="clear" w:color="auto" w:fill="auto"/>
            <w:vAlign w:val="bottom"/>
          </w:tcPr>
          <w:p w14:paraId="68FBDCA1" w14:textId="77777777" w:rsidR="00676882" w:rsidRDefault="00676882" w:rsidP="00DF45FA">
            <w:pPr>
              <w:pStyle w:val="Tabletext"/>
              <w:jc w:val="right"/>
            </w:pPr>
            <w:r>
              <w:t>760</w:t>
            </w:r>
          </w:p>
        </w:tc>
        <w:tc>
          <w:tcPr>
            <w:tcW w:w="2646" w:type="dxa"/>
            <w:shd w:val="clear" w:color="auto" w:fill="auto"/>
          </w:tcPr>
          <w:p w14:paraId="214BEB20" w14:textId="77777777" w:rsidR="00676882" w:rsidRPr="00125F96" w:rsidRDefault="00676882" w:rsidP="00DF45FA">
            <w:pPr>
              <w:pStyle w:val="Tabletext"/>
              <w:jc w:val="right"/>
              <w:rPr>
                <w:color w:val="C00000"/>
              </w:rPr>
            </w:pPr>
            <w:r w:rsidRPr="00B545AA">
              <w:t>39,668</w:t>
            </w:r>
          </w:p>
        </w:tc>
      </w:tr>
      <w:tr w:rsidR="00676882" w14:paraId="56B504AC" w14:textId="77777777" w:rsidTr="00DF45FA">
        <w:trPr>
          <w:gridBefore w:val="1"/>
          <w:wBefore w:w="454" w:type="dxa"/>
        </w:trPr>
        <w:tc>
          <w:tcPr>
            <w:tcW w:w="2645" w:type="dxa"/>
            <w:shd w:val="clear" w:color="auto" w:fill="auto"/>
            <w:vAlign w:val="bottom"/>
          </w:tcPr>
          <w:p w14:paraId="11BEE1D5" w14:textId="77777777" w:rsidR="00676882" w:rsidRDefault="00676882" w:rsidP="00DF45FA">
            <w:pPr>
              <w:pStyle w:val="Tableunitsrow"/>
            </w:pPr>
            <w:r>
              <w:t>h) Performance 2-stars - 4 year</w:t>
            </w:r>
          </w:p>
        </w:tc>
        <w:tc>
          <w:tcPr>
            <w:tcW w:w="2646" w:type="dxa"/>
            <w:shd w:val="clear" w:color="auto" w:fill="auto"/>
            <w:vAlign w:val="bottom"/>
          </w:tcPr>
          <w:p w14:paraId="62EA684A" w14:textId="77777777" w:rsidR="00676882" w:rsidRDefault="00676882" w:rsidP="00DF45FA">
            <w:pPr>
              <w:pStyle w:val="Tabletext"/>
              <w:jc w:val="right"/>
            </w:pPr>
            <w:r>
              <w:t>771</w:t>
            </w:r>
          </w:p>
        </w:tc>
        <w:tc>
          <w:tcPr>
            <w:tcW w:w="2646" w:type="dxa"/>
            <w:shd w:val="clear" w:color="auto" w:fill="auto"/>
          </w:tcPr>
          <w:p w14:paraId="55AFDCC3" w14:textId="77777777" w:rsidR="00676882" w:rsidRPr="00125F96" w:rsidRDefault="00676882" w:rsidP="00DF45FA">
            <w:pPr>
              <w:pStyle w:val="Tabletext"/>
              <w:jc w:val="right"/>
              <w:rPr>
                <w:color w:val="C00000"/>
              </w:rPr>
            </w:pPr>
            <w:r w:rsidRPr="00B545AA">
              <w:t>40,733</w:t>
            </w:r>
          </w:p>
        </w:tc>
      </w:tr>
      <w:tr w:rsidR="00676882" w14:paraId="4B966A24" w14:textId="77777777" w:rsidTr="00DF45FA">
        <w:trPr>
          <w:gridBefore w:val="1"/>
          <w:wBefore w:w="454" w:type="dxa"/>
        </w:trPr>
        <w:tc>
          <w:tcPr>
            <w:tcW w:w="2645" w:type="dxa"/>
            <w:shd w:val="clear" w:color="auto" w:fill="auto"/>
            <w:vAlign w:val="bottom"/>
          </w:tcPr>
          <w:p w14:paraId="79812089" w14:textId="77777777" w:rsidR="00676882" w:rsidRDefault="00676882" w:rsidP="00DF45FA">
            <w:pPr>
              <w:pStyle w:val="Tableunitsrow"/>
            </w:pPr>
            <w:r>
              <w:t>i) Performance 3-stars - 2 year</w:t>
            </w:r>
          </w:p>
        </w:tc>
        <w:tc>
          <w:tcPr>
            <w:tcW w:w="2646" w:type="dxa"/>
            <w:shd w:val="clear" w:color="auto" w:fill="auto"/>
            <w:vAlign w:val="bottom"/>
          </w:tcPr>
          <w:p w14:paraId="69CA10BE" w14:textId="77777777" w:rsidR="00676882" w:rsidRDefault="00676882" w:rsidP="00DF45FA">
            <w:pPr>
              <w:pStyle w:val="Tabletext"/>
              <w:jc w:val="right"/>
            </w:pPr>
            <w:r>
              <w:t>7,021</w:t>
            </w:r>
          </w:p>
        </w:tc>
        <w:tc>
          <w:tcPr>
            <w:tcW w:w="2646" w:type="dxa"/>
            <w:shd w:val="clear" w:color="auto" w:fill="auto"/>
          </w:tcPr>
          <w:p w14:paraId="07F1354C" w14:textId="77777777" w:rsidR="00676882" w:rsidRPr="00125F96" w:rsidRDefault="00676882" w:rsidP="00DF45FA">
            <w:pPr>
              <w:pStyle w:val="Tabletext"/>
              <w:jc w:val="right"/>
              <w:rPr>
                <w:color w:val="C00000"/>
              </w:rPr>
            </w:pPr>
            <w:r w:rsidRPr="00B545AA">
              <w:t>396,647</w:t>
            </w:r>
          </w:p>
        </w:tc>
      </w:tr>
      <w:tr w:rsidR="00676882" w14:paraId="2EADD297" w14:textId="77777777" w:rsidTr="00DF45FA">
        <w:trPr>
          <w:gridBefore w:val="1"/>
          <w:wBefore w:w="454" w:type="dxa"/>
        </w:trPr>
        <w:tc>
          <w:tcPr>
            <w:tcW w:w="2645" w:type="dxa"/>
            <w:shd w:val="clear" w:color="auto" w:fill="auto"/>
            <w:vAlign w:val="bottom"/>
          </w:tcPr>
          <w:p w14:paraId="6472D67F" w14:textId="77777777" w:rsidR="00676882" w:rsidRDefault="00676882" w:rsidP="00DF45FA">
            <w:pPr>
              <w:pStyle w:val="Tableunitsrow"/>
            </w:pPr>
            <w:r>
              <w:t>j) Performance 3-stars - 4 year</w:t>
            </w:r>
          </w:p>
        </w:tc>
        <w:tc>
          <w:tcPr>
            <w:tcW w:w="2646" w:type="dxa"/>
            <w:shd w:val="clear" w:color="auto" w:fill="auto"/>
            <w:vAlign w:val="bottom"/>
          </w:tcPr>
          <w:p w14:paraId="249BA3CD" w14:textId="77777777" w:rsidR="00676882" w:rsidRDefault="00676882" w:rsidP="00DF45FA">
            <w:pPr>
              <w:pStyle w:val="Tabletext"/>
              <w:jc w:val="right"/>
            </w:pPr>
            <w:r>
              <w:t>7,136</w:t>
            </w:r>
          </w:p>
        </w:tc>
        <w:tc>
          <w:tcPr>
            <w:tcW w:w="2646" w:type="dxa"/>
            <w:shd w:val="clear" w:color="auto" w:fill="auto"/>
          </w:tcPr>
          <w:p w14:paraId="01E7A4E7" w14:textId="77777777" w:rsidR="00676882" w:rsidRPr="00125F96" w:rsidRDefault="00676882" w:rsidP="00DF45FA">
            <w:pPr>
              <w:pStyle w:val="Tabletext"/>
              <w:jc w:val="right"/>
              <w:rPr>
                <w:color w:val="C00000"/>
              </w:rPr>
            </w:pPr>
            <w:r w:rsidRPr="00B545AA">
              <w:t>406,187</w:t>
            </w:r>
          </w:p>
        </w:tc>
      </w:tr>
      <w:tr w:rsidR="00676882" w14:paraId="49760BF8" w14:textId="77777777" w:rsidTr="00DF45FA">
        <w:trPr>
          <w:gridBefore w:val="1"/>
          <w:wBefore w:w="454" w:type="dxa"/>
        </w:trPr>
        <w:tc>
          <w:tcPr>
            <w:tcW w:w="7937" w:type="dxa"/>
            <w:gridSpan w:val="3"/>
            <w:tcBorders>
              <w:bottom w:val="single" w:sz="4" w:space="0" w:color="646464"/>
            </w:tcBorders>
            <w:shd w:val="clear" w:color="auto" w:fill="auto"/>
          </w:tcPr>
          <w:p w14:paraId="5D74A5D3" w14:textId="77777777" w:rsidR="00676882" w:rsidRDefault="00676882" w:rsidP="00DF45FA">
            <w:pPr>
              <w:pStyle w:val="Source"/>
              <w:rPr>
                <w:i w:val="0"/>
                <w:iCs/>
              </w:rPr>
            </w:pPr>
            <w:r>
              <w:rPr>
                <w:i w:val="0"/>
                <w:iCs/>
              </w:rPr>
              <w:t>Note: The energy savings are in total, over the entire life of the upgrades, which vary in each scenario.</w:t>
            </w:r>
          </w:p>
          <w:p w14:paraId="5F0A7E9F" w14:textId="77777777" w:rsidR="00676882" w:rsidRPr="006B0263" w:rsidRDefault="00676882" w:rsidP="00DF45FA">
            <w:pPr>
              <w:pStyle w:val="Source"/>
              <w:rPr>
                <w:i w:val="0"/>
                <w:iCs/>
              </w:rPr>
            </w:pPr>
            <w:r>
              <w:rPr>
                <w:i w:val="0"/>
                <w:iCs/>
              </w:rPr>
              <w:t>Note 2: Greenhouse gas emissions saved only relate to domestic burning of gas and firewood. The ACT has moved to 100 per cent renewables (</w:t>
            </w:r>
            <w:proofErr w:type="gramStart"/>
            <w:r>
              <w:rPr>
                <w:i w:val="0"/>
                <w:iCs/>
              </w:rPr>
              <w:t>through the use of</w:t>
            </w:r>
            <w:proofErr w:type="gramEnd"/>
            <w:r>
              <w:rPr>
                <w:i w:val="0"/>
                <w:iCs/>
              </w:rPr>
              <w:t xml:space="preserve"> offsets) for its electricity grid.</w:t>
            </w:r>
          </w:p>
          <w:p w14:paraId="30A873FA" w14:textId="77777777" w:rsidR="00676882" w:rsidRPr="001526CB" w:rsidRDefault="00676882" w:rsidP="00DF45FA">
            <w:pPr>
              <w:pStyle w:val="Source"/>
            </w:pPr>
            <w:r>
              <w:t>Source: ACIL Allen</w:t>
            </w:r>
          </w:p>
        </w:tc>
      </w:tr>
      <w:tr w:rsidR="00676882" w14:paraId="74335E9E" w14:textId="77777777" w:rsidTr="00DF45FA">
        <w:trPr>
          <w:gridBefore w:val="1"/>
          <w:wBefore w:w="454" w:type="dxa"/>
          <w:trHeight w:hRule="exact" w:val="160"/>
        </w:trPr>
        <w:tc>
          <w:tcPr>
            <w:tcW w:w="7937" w:type="dxa"/>
            <w:gridSpan w:val="3"/>
            <w:tcBorders>
              <w:top w:val="single" w:sz="4" w:space="0" w:color="646464"/>
              <w:bottom w:val="nil"/>
            </w:tcBorders>
            <w:shd w:val="clear" w:color="auto" w:fill="auto"/>
          </w:tcPr>
          <w:p w14:paraId="50B6143E" w14:textId="77777777" w:rsidR="00676882" w:rsidRDefault="00676882" w:rsidP="00DF45FA">
            <w:pPr>
              <w:pStyle w:val="spacer"/>
            </w:pPr>
          </w:p>
        </w:tc>
      </w:tr>
    </w:tbl>
    <w:p w14:paraId="71C1DA44" w14:textId="77777777" w:rsidR="00676882" w:rsidRDefault="00676882" w:rsidP="00676882">
      <w:pPr>
        <w:pStyle w:val="BodyText"/>
      </w:pPr>
      <w:bookmarkStart w:id="5" w:name="_Ref80480492"/>
      <w:proofErr w:type="gramStart"/>
      <w:r w:rsidRPr="000D3632">
        <w:t>All of</w:t>
      </w:r>
      <w:proofErr w:type="gramEnd"/>
      <w:r w:rsidRPr="000D3632">
        <w:t xml:space="preserve"> the options entail</w:t>
      </w:r>
      <w:r>
        <w:t xml:space="preserve"> some</w:t>
      </w:r>
      <w:r w:rsidRPr="000D3632">
        <w:t xml:space="preserve"> rental providers of residential properties </w:t>
      </w:r>
      <w:r>
        <w:t xml:space="preserve">that </w:t>
      </w:r>
      <w:r w:rsidRPr="000D3632">
        <w:t>requir</w:t>
      </w:r>
      <w:r>
        <w:t>e</w:t>
      </w:r>
      <w:r w:rsidRPr="000D3632">
        <w:t xml:space="preserve"> </w:t>
      </w:r>
      <w:r>
        <w:t xml:space="preserve">an </w:t>
      </w:r>
      <w:r w:rsidRPr="000D3632">
        <w:t>upgrade to make up-front investments in energy efficiency improvements.</w:t>
      </w:r>
    </w:p>
    <w:p w14:paraId="34DF611C" w14:textId="77777777" w:rsidR="00676882" w:rsidRDefault="00676882" w:rsidP="00676882">
      <w:pPr>
        <w:pStyle w:val="BodyText"/>
      </w:pPr>
      <w:r>
        <w:t>For those able to pass on the costs of the upgrade as increased rent, t</w:t>
      </w:r>
      <w:r w:rsidRPr="000D3632">
        <w:t>he minimum standard options are unlikely to have sizable impacts on the rental returns of an average rental provider</w:t>
      </w:r>
      <w:r>
        <w:t>: likely in the order of a fraction of a percentage point over the life of the asset</w:t>
      </w:r>
      <w:r w:rsidRPr="000D3632">
        <w:t xml:space="preserve">. </w:t>
      </w:r>
      <w:r>
        <w:t xml:space="preserve">However, it is important to note that some will find it difficult to </w:t>
      </w:r>
      <w:r w:rsidRPr="000D3632">
        <w:t>pass</w:t>
      </w:r>
      <w:r>
        <w:t xml:space="preserve"> on</w:t>
      </w:r>
      <w:r w:rsidRPr="000D3632">
        <w:t xml:space="preserve"> this cost on in the short-term</w:t>
      </w:r>
      <w:r>
        <w:t>.</w:t>
      </w:r>
    </w:p>
    <w:p w14:paraId="789D3321" w14:textId="77777777" w:rsidR="00676882" w:rsidRDefault="00676882" w:rsidP="00676882">
      <w:pPr>
        <w:pStyle w:val="BodyText"/>
      </w:pPr>
      <w:r>
        <w:t>Impacts on tenants are likely to be positive for tenants for all options, mainly through reduced energy costs. Even w</w:t>
      </w:r>
      <w:r w:rsidRPr="000D3632">
        <w:t xml:space="preserve">ith full cost pass through </w:t>
      </w:r>
      <w:r>
        <w:t>as increased</w:t>
      </w:r>
      <w:r w:rsidRPr="000D3632">
        <w:t xml:space="preserve"> rents, the R5 insulation options provide the highest net benefit to tenants (See Table ES 3).</w:t>
      </w:r>
    </w:p>
    <w:p w14:paraId="41BF6F86" w14:textId="77777777" w:rsidR="00676882" w:rsidRDefault="00676882" w:rsidP="00676882">
      <w:pPr>
        <w:pStyle w:val="Caption"/>
        <w:spacing w:before="240"/>
      </w:pPr>
      <w:bookmarkStart w:id="6" w:name="_Toc80719324"/>
      <w:r w:rsidRPr="001526CB">
        <w:rPr>
          <w:rStyle w:val="CaptionLabel"/>
        </w:rPr>
        <w:lastRenderedPageBreak/>
        <w:t>Table ES </w:t>
      </w:r>
      <w:r w:rsidRPr="001526CB">
        <w:rPr>
          <w:rStyle w:val="CaptionLabel"/>
        </w:rPr>
        <w:fldChar w:fldCharType="begin"/>
      </w:r>
      <w:r w:rsidRPr="001526CB">
        <w:rPr>
          <w:rStyle w:val="CaptionLabel"/>
        </w:rPr>
        <w:instrText xml:space="preserve"> SEQ Table_ES \* ARABIC  \* MERGEFORMAT </w:instrText>
      </w:r>
      <w:r w:rsidRPr="001526CB">
        <w:rPr>
          <w:rStyle w:val="CaptionLabel"/>
        </w:rPr>
        <w:fldChar w:fldCharType="separate"/>
      </w:r>
      <w:r>
        <w:rPr>
          <w:rStyle w:val="CaptionLabel"/>
          <w:noProof/>
        </w:rPr>
        <w:t>3</w:t>
      </w:r>
      <w:r w:rsidRPr="001526CB">
        <w:rPr>
          <w:rStyle w:val="CaptionLabel"/>
        </w:rPr>
        <w:fldChar w:fldCharType="end"/>
      </w:r>
      <w:bookmarkEnd w:id="5"/>
      <w:r>
        <w:tab/>
        <w:t>Household level impacts for upgraded tenancies (in present value)</w:t>
      </w:r>
      <w:bookmarkEnd w:id="6"/>
    </w:p>
    <w:tbl>
      <w:tblPr>
        <w:tblW w:w="8391"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ES 3"/>
        <w:tblDescription w:val="Household level impacts for upgraded tenancies (in present value)"/>
      </w:tblPr>
      <w:tblGrid>
        <w:gridCol w:w="454"/>
        <w:gridCol w:w="1984"/>
        <w:gridCol w:w="2411"/>
        <w:gridCol w:w="1984"/>
        <w:gridCol w:w="1558"/>
      </w:tblGrid>
      <w:tr w:rsidR="00676882" w14:paraId="5D951081" w14:textId="77777777" w:rsidTr="00DF45FA">
        <w:trPr>
          <w:tblHeader/>
        </w:trPr>
        <w:tc>
          <w:tcPr>
            <w:tcW w:w="2438" w:type="dxa"/>
            <w:gridSpan w:val="2"/>
            <w:tcBorders>
              <w:top w:val="nil"/>
              <w:bottom w:val="nil"/>
            </w:tcBorders>
            <w:shd w:val="clear" w:color="auto" w:fill="140034"/>
            <w:tcMar>
              <w:left w:w="454" w:type="dxa"/>
            </w:tcMar>
          </w:tcPr>
          <w:p w14:paraId="68264F4E" w14:textId="77777777" w:rsidR="00676882" w:rsidRDefault="00676882" w:rsidP="00DF45FA">
            <w:pPr>
              <w:pStyle w:val="Tablecolumnheadings"/>
            </w:pPr>
          </w:p>
        </w:tc>
        <w:tc>
          <w:tcPr>
            <w:tcW w:w="2411" w:type="dxa"/>
            <w:tcBorders>
              <w:top w:val="nil"/>
              <w:bottom w:val="nil"/>
            </w:tcBorders>
            <w:shd w:val="clear" w:color="auto" w:fill="140034"/>
            <w:vAlign w:val="center"/>
          </w:tcPr>
          <w:p w14:paraId="20BD4532" w14:textId="77777777" w:rsidR="00676882" w:rsidRDefault="00676882" w:rsidP="00DF45FA">
            <w:pPr>
              <w:pStyle w:val="Tablecolumnheadings"/>
              <w:jc w:val="right"/>
            </w:pPr>
            <w:r>
              <w:t>With no cost pass through</w:t>
            </w:r>
          </w:p>
        </w:tc>
        <w:tc>
          <w:tcPr>
            <w:tcW w:w="3542" w:type="dxa"/>
            <w:gridSpan w:val="2"/>
            <w:tcBorders>
              <w:top w:val="nil"/>
              <w:bottom w:val="nil"/>
              <w:right w:val="single" w:sz="6" w:space="0" w:color="140034"/>
            </w:tcBorders>
            <w:shd w:val="clear" w:color="auto" w:fill="140034"/>
            <w:vAlign w:val="center"/>
          </w:tcPr>
          <w:p w14:paraId="18144B2F" w14:textId="77777777" w:rsidR="00676882" w:rsidRDefault="00676882" w:rsidP="00DF45FA">
            <w:pPr>
              <w:pStyle w:val="Tablecolumnheadings"/>
              <w:jc w:val="center"/>
            </w:pPr>
            <w:r>
              <w:t>With full cost pass through</w:t>
            </w:r>
          </w:p>
        </w:tc>
      </w:tr>
      <w:tr w:rsidR="00676882" w14:paraId="1A645BDF" w14:textId="77777777" w:rsidTr="00DF45FA">
        <w:trPr>
          <w:gridBefore w:val="1"/>
          <w:wBefore w:w="454" w:type="dxa"/>
        </w:trPr>
        <w:tc>
          <w:tcPr>
            <w:tcW w:w="1984" w:type="dxa"/>
            <w:tcBorders>
              <w:top w:val="nil"/>
            </w:tcBorders>
            <w:shd w:val="clear" w:color="auto" w:fill="140034"/>
            <w:vAlign w:val="bottom"/>
          </w:tcPr>
          <w:p w14:paraId="3AA71B2D" w14:textId="77777777" w:rsidR="00676882" w:rsidRDefault="00676882" w:rsidP="00DF45FA">
            <w:pPr>
              <w:pStyle w:val="Tablecolumnheadings"/>
            </w:pPr>
            <w:r>
              <w:t>Option modelled</w:t>
            </w:r>
          </w:p>
        </w:tc>
        <w:tc>
          <w:tcPr>
            <w:tcW w:w="2411" w:type="dxa"/>
            <w:tcBorders>
              <w:top w:val="nil"/>
            </w:tcBorders>
            <w:shd w:val="clear" w:color="auto" w:fill="140034"/>
            <w:vAlign w:val="center"/>
          </w:tcPr>
          <w:p w14:paraId="37CA5FEB" w14:textId="77777777" w:rsidR="00676882" w:rsidRPr="00F12460" w:rsidRDefault="00676882" w:rsidP="00DF45FA">
            <w:pPr>
              <w:pStyle w:val="Tablecolumnheadings"/>
              <w:jc w:val="right"/>
            </w:pPr>
            <w:r>
              <w:t>Household benefit</w:t>
            </w:r>
          </w:p>
        </w:tc>
        <w:tc>
          <w:tcPr>
            <w:tcW w:w="1984" w:type="dxa"/>
            <w:tcBorders>
              <w:top w:val="nil"/>
              <w:bottom w:val="single" w:sz="4" w:space="0" w:color="646464"/>
            </w:tcBorders>
            <w:shd w:val="clear" w:color="auto" w:fill="140034"/>
            <w:vAlign w:val="center"/>
          </w:tcPr>
          <w:p w14:paraId="69CE9AA7" w14:textId="77777777" w:rsidR="00676882" w:rsidRPr="00286E83" w:rsidRDefault="00676882" w:rsidP="00DF45FA">
            <w:pPr>
              <w:pStyle w:val="Tablecolumnheadings"/>
              <w:jc w:val="right"/>
            </w:pPr>
            <w:r>
              <w:t>Rent passed through</w:t>
            </w:r>
          </w:p>
        </w:tc>
        <w:tc>
          <w:tcPr>
            <w:tcW w:w="1558" w:type="dxa"/>
            <w:tcBorders>
              <w:top w:val="nil"/>
            </w:tcBorders>
            <w:shd w:val="clear" w:color="auto" w:fill="140034"/>
            <w:vAlign w:val="center"/>
          </w:tcPr>
          <w:p w14:paraId="360FE22B" w14:textId="77777777" w:rsidR="00676882" w:rsidRPr="00F12460" w:rsidRDefault="00676882" w:rsidP="00DF45FA">
            <w:pPr>
              <w:pStyle w:val="Tablecolumnheadings"/>
              <w:jc w:val="right"/>
            </w:pPr>
            <w:r>
              <w:t>Net benefit</w:t>
            </w:r>
          </w:p>
        </w:tc>
      </w:tr>
      <w:tr w:rsidR="00676882" w14:paraId="3FE31739" w14:textId="77777777" w:rsidTr="00DF45FA">
        <w:trPr>
          <w:gridBefore w:val="1"/>
          <w:wBefore w:w="454" w:type="dxa"/>
        </w:trPr>
        <w:tc>
          <w:tcPr>
            <w:tcW w:w="1984" w:type="dxa"/>
            <w:tcBorders>
              <w:top w:val="nil"/>
            </w:tcBorders>
            <w:shd w:val="clear" w:color="auto" w:fill="auto"/>
            <w:vAlign w:val="bottom"/>
          </w:tcPr>
          <w:p w14:paraId="17254218" w14:textId="77777777" w:rsidR="00676882" w:rsidRDefault="00676882" w:rsidP="00DF45FA">
            <w:pPr>
              <w:pStyle w:val="Tableunitsrow"/>
            </w:pPr>
            <w:r>
              <w:t>a) Insulation R3 - 2 year</w:t>
            </w:r>
          </w:p>
        </w:tc>
        <w:tc>
          <w:tcPr>
            <w:tcW w:w="2411" w:type="dxa"/>
            <w:tcBorders>
              <w:top w:val="nil"/>
              <w:right w:val="single" w:sz="4" w:space="0" w:color="auto"/>
            </w:tcBorders>
            <w:shd w:val="clear" w:color="auto" w:fill="auto"/>
            <w:vAlign w:val="center"/>
          </w:tcPr>
          <w:p w14:paraId="0B656285" w14:textId="77777777" w:rsidR="00676882" w:rsidRDefault="00676882" w:rsidP="00DF45FA">
            <w:pPr>
              <w:pStyle w:val="Tableunitsrow"/>
              <w:jc w:val="right"/>
            </w:pPr>
            <w:r w:rsidRPr="00F12460">
              <w:t xml:space="preserve">$8,914 </w:t>
            </w:r>
          </w:p>
        </w:tc>
        <w:tc>
          <w:tcPr>
            <w:tcW w:w="1984" w:type="dxa"/>
            <w:tcBorders>
              <w:top w:val="single" w:sz="4" w:space="0" w:color="646464"/>
              <w:left w:val="single" w:sz="4" w:space="0" w:color="auto"/>
              <w:bottom w:val="single" w:sz="4" w:space="0" w:color="646464"/>
            </w:tcBorders>
            <w:shd w:val="clear" w:color="auto" w:fill="E5E5E5"/>
            <w:vAlign w:val="center"/>
          </w:tcPr>
          <w:p w14:paraId="4B814CF3" w14:textId="77777777" w:rsidR="00676882" w:rsidRPr="006B0263" w:rsidRDefault="00676882" w:rsidP="00DF45FA">
            <w:pPr>
              <w:pStyle w:val="Tableunitsrow"/>
              <w:jc w:val="right"/>
              <w:rPr>
                <w:color w:val="C00000"/>
              </w:rPr>
            </w:pPr>
            <w:r w:rsidRPr="006B0263">
              <w:rPr>
                <w:color w:val="C00000"/>
              </w:rPr>
              <w:t>-$2,070</w:t>
            </w:r>
          </w:p>
        </w:tc>
        <w:tc>
          <w:tcPr>
            <w:tcW w:w="1558" w:type="dxa"/>
            <w:tcBorders>
              <w:top w:val="nil"/>
            </w:tcBorders>
            <w:shd w:val="clear" w:color="auto" w:fill="auto"/>
            <w:vAlign w:val="center"/>
          </w:tcPr>
          <w:p w14:paraId="3A71EECE" w14:textId="77777777" w:rsidR="00676882" w:rsidRPr="00780D95" w:rsidRDefault="00676882" w:rsidP="00DF45FA">
            <w:pPr>
              <w:pStyle w:val="Tableunitsrow"/>
              <w:jc w:val="right"/>
            </w:pPr>
            <w:r w:rsidRPr="00780D95">
              <w:t xml:space="preserve">$6,844 </w:t>
            </w:r>
          </w:p>
        </w:tc>
      </w:tr>
      <w:tr w:rsidR="00676882" w14:paraId="7A836972" w14:textId="77777777" w:rsidTr="00DF45FA">
        <w:trPr>
          <w:gridBefore w:val="1"/>
          <w:wBefore w:w="454" w:type="dxa"/>
        </w:trPr>
        <w:tc>
          <w:tcPr>
            <w:tcW w:w="1984" w:type="dxa"/>
            <w:shd w:val="clear" w:color="auto" w:fill="auto"/>
            <w:vAlign w:val="bottom"/>
          </w:tcPr>
          <w:p w14:paraId="05FEBD01" w14:textId="77777777" w:rsidR="00676882" w:rsidRDefault="00676882" w:rsidP="00DF45FA">
            <w:pPr>
              <w:pStyle w:val="Tableunitsrow"/>
            </w:pPr>
            <w:r>
              <w:t>b) Insulation R3 - 4 year</w:t>
            </w:r>
          </w:p>
        </w:tc>
        <w:tc>
          <w:tcPr>
            <w:tcW w:w="2411" w:type="dxa"/>
            <w:tcBorders>
              <w:right w:val="single" w:sz="4" w:space="0" w:color="auto"/>
            </w:tcBorders>
            <w:shd w:val="clear" w:color="auto" w:fill="auto"/>
            <w:vAlign w:val="center"/>
          </w:tcPr>
          <w:p w14:paraId="18A573EE" w14:textId="77777777" w:rsidR="00676882" w:rsidRDefault="00676882" w:rsidP="00DF45FA">
            <w:pPr>
              <w:pStyle w:val="Tableunitsrow"/>
              <w:jc w:val="right"/>
            </w:pPr>
            <w:r w:rsidRPr="00F12460">
              <w:t xml:space="preserve">$8,825 </w:t>
            </w:r>
          </w:p>
        </w:tc>
        <w:tc>
          <w:tcPr>
            <w:tcW w:w="1984" w:type="dxa"/>
            <w:tcBorders>
              <w:top w:val="single" w:sz="4" w:space="0" w:color="646464"/>
              <w:left w:val="single" w:sz="4" w:space="0" w:color="auto"/>
              <w:bottom w:val="single" w:sz="4" w:space="0" w:color="646464"/>
            </w:tcBorders>
            <w:shd w:val="clear" w:color="auto" w:fill="E5E5E5"/>
            <w:vAlign w:val="center"/>
          </w:tcPr>
          <w:p w14:paraId="1E5D3D84" w14:textId="77777777" w:rsidR="00676882" w:rsidRPr="006B0263" w:rsidRDefault="00676882" w:rsidP="00DF45FA">
            <w:pPr>
              <w:pStyle w:val="Tableunitsrow"/>
              <w:jc w:val="right"/>
              <w:rPr>
                <w:color w:val="C00000"/>
              </w:rPr>
            </w:pPr>
            <w:r w:rsidRPr="006B0263">
              <w:rPr>
                <w:color w:val="C00000"/>
              </w:rPr>
              <w:t>-$2,032</w:t>
            </w:r>
          </w:p>
        </w:tc>
        <w:tc>
          <w:tcPr>
            <w:tcW w:w="1558" w:type="dxa"/>
            <w:shd w:val="clear" w:color="auto" w:fill="auto"/>
            <w:vAlign w:val="center"/>
          </w:tcPr>
          <w:p w14:paraId="7A0DB270" w14:textId="77777777" w:rsidR="00676882" w:rsidRPr="00780D95" w:rsidRDefault="00676882" w:rsidP="00DF45FA">
            <w:pPr>
              <w:pStyle w:val="Tableunitsrow"/>
              <w:jc w:val="right"/>
            </w:pPr>
            <w:r w:rsidRPr="00780D95">
              <w:t xml:space="preserve">$6,794 </w:t>
            </w:r>
          </w:p>
        </w:tc>
      </w:tr>
      <w:tr w:rsidR="00676882" w14:paraId="33FCFB72" w14:textId="77777777" w:rsidTr="00DF45FA">
        <w:trPr>
          <w:gridBefore w:val="1"/>
          <w:wBefore w:w="454" w:type="dxa"/>
        </w:trPr>
        <w:tc>
          <w:tcPr>
            <w:tcW w:w="1984" w:type="dxa"/>
            <w:shd w:val="clear" w:color="auto" w:fill="auto"/>
            <w:vAlign w:val="bottom"/>
          </w:tcPr>
          <w:p w14:paraId="1E7136DF" w14:textId="77777777" w:rsidR="00676882" w:rsidRDefault="00676882" w:rsidP="00DF45FA">
            <w:pPr>
              <w:pStyle w:val="Tableunitsrow"/>
            </w:pPr>
            <w:r>
              <w:t>c) Insulation R5 - 2 year</w:t>
            </w:r>
          </w:p>
        </w:tc>
        <w:tc>
          <w:tcPr>
            <w:tcW w:w="2411" w:type="dxa"/>
            <w:tcBorders>
              <w:right w:val="single" w:sz="4" w:space="0" w:color="auto"/>
            </w:tcBorders>
            <w:shd w:val="clear" w:color="auto" w:fill="auto"/>
            <w:vAlign w:val="center"/>
          </w:tcPr>
          <w:p w14:paraId="7852D79C" w14:textId="77777777" w:rsidR="00676882" w:rsidRDefault="00676882" w:rsidP="00DF45FA">
            <w:pPr>
              <w:pStyle w:val="Tableunitsrow"/>
              <w:jc w:val="right"/>
            </w:pPr>
            <w:r w:rsidRPr="00F12460">
              <w:t xml:space="preserve">$10,819 </w:t>
            </w:r>
          </w:p>
        </w:tc>
        <w:tc>
          <w:tcPr>
            <w:tcW w:w="1984" w:type="dxa"/>
            <w:tcBorders>
              <w:top w:val="single" w:sz="4" w:space="0" w:color="646464"/>
              <w:left w:val="single" w:sz="4" w:space="0" w:color="auto"/>
              <w:bottom w:val="single" w:sz="4" w:space="0" w:color="646464"/>
            </w:tcBorders>
            <w:shd w:val="clear" w:color="auto" w:fill="E5E5E5"/>
            <w:vAlign w:val="center"/>
          </w:tcPr>
          <w:p w14:paraId="1D266A45" w14:textId="77777777" w:rsidR="00676882" w:rsidRPr="006B0263" w:rsidRDefault="00676882" w:rsidP="00DF45FA">
            <w:pPr>
              <w:pStyle w:val="Tableunitsrow"/>
              <w:jc w:val="right"/>
              <w:rPr>
                <w:color w:val="C00000"/>
              </w:rPr>
            </w:pPr>
            <w:r w:rsidRPr="006B0263">
              <w:rPr>
                <w:color w:val="C00000"/>
              </w:rPr>
              <w:t>-$2,388</w:t>
            </w:r>
          </w:p>
        </w:tc>
        <w:tc>
          <w:tcPr>
            <w:tcW w:w="1558" w:type="dxa"/>
            <w:shd w:val="clear" w:color="auto" w:fill="auto"/>
            <w:vAlign w:val="center"/>
          </w:tcPr>
          <w:p w14:paraId="65C79070" w14:textId="77777777" w:rsidR="00676882" w:rsidRPr="00780D95" w:rsidRDefault="00676882" w:rsidP="00DF45FA">
            <w:pPr>
              <w:pStyle w:val="Tableunitsrow"/>
              <w:jc w:val="right"/>
            </w:pPr>
            <w:r w:rsidRPr="00780D95">
              <w:t xml:space="preserve">$8,431 </w:t>
            </w:r>
          </w:p>
        </w:tc>
      </w:tr>
      <w:tr w:rsidR="00676882" w14:paraId="06EEB9DB" w14:textId="77777777" w:rsidTr="00DF45FA">
        <w:trPr>
          <w:gridBefore w:val="1"/>
          <w:wBefore w:w="454" w:type="dxa"/>
        </w:trPr>
        <w:tc>
          <w:tcPr>
            <w:tcW w:w="1984" w:type="dxa"/>
            <w:shd w:val="clear" w:color="auto" w:fill="auto"/>
            <w:vAlign w:val="bottom"/>
          </w:tcPr>
          <w:p w14:paraId="0B470754" w14:textId="77777777" w:rsidR="00676882" w:rsidRDefault="00676882" w:rsidP="00DF45FA">
            <w:pPr>
              <w:pStyle w:val="Tableunitsrow"/>
            </w:pPr>
            <w:r>
              <w:t>d) Insulation R5 - 4 year</w:t>
            </w:r>
          </w:p>
        </w:tc>
        <w:tc>
          <w:tcPr>
            <w:tcW w:w="2411" w:type="dxa"/>
            <w:tcBorders>
              <w:right w:val="single" w:sz="4" w:space="0" w:color="auto"/>
            </w:tcBorders>
            <w:shd w:val="clear" w:color="auto" w:fill="auto"/>
            <w:vAlign w:val="center"/>
          </w:tcPr>
          <w:p w14:paraId="3EF0DCDC" w14:textId="77777777" w:rsidR="00676882" w:rsidRDefault="00676882" w:rsidP="00DF45FA">
            <w:pPr>
              <w:pStyle w:val="Tableunitsrow"/>
              <w:jc w:val="right"/>
            </w:pPr>
            <w:r w:rsidRPr="00F12460">
              <w:t xml:space="preserve">$10,712 </w:t>
            </w:r>
          </w:p>
        </w:tc>
        <w:tc>
          <w:tcPr>
            <w:tcW w:w="1984" w:type="dxa"/>
            <w:tcBorders>
              <w:top w:val="single" w:sz="4" w:space="0" w:color="646464"/>
              <w:left w:val="single" w:sz="4" w:space="0" w:color="auto"/>
              <w:bottom w:val="single" w:sz="4" w:space="0" w:color="646464"/>
            </w:tcBorders>
            <w:shd w:val="clear" w:color="auto" w:fill="E5E5E5"/>
            <w:vAlign w:val="center"/>
          </w:tcPr>
          <w:p w14:paraId="3955B85E" w14:textId="77777777" w:rsidR="00676882" w:rsidRPr="006B0263" w:rsidRDefault="00676882" w:rsidP="00DF45FA">
            <w:pPr>
              <w:pStyle w:val="Tableunitsrow"/>
              <w:jc w:val="right"/>
              <w:rPr>
                <w:color w:val="C00000"/>
              </w:rPr>
            </w:pPr>
            <w:r w:rsidRPr="006B0263">
              <w:rPr>
                <w:color w:val="C00000"/>
              </w:rPr>
              <w:t>-$2,349</w:t>
            </w:r>
          </w:p>
        </w:tc>
        <w:tc>
          <w:tcPr>
            <w:tcW w:w="1558" w:type="dxa"/>
            <w:shd w:val="clear" w:color="auto" w:fill="auto"/>
            <w:vAlign w:val="center"/>
          </w:tcPr>
          <w:p w14:paraId="288EBCD3" w14:textId="77777777" w:rsidR="00676882" w:rsidRPr="00780D95" w:rsidRDefault="00676882" w:rsidP="00DF45FA">
            <w:pPr>
              <w:pStyle w:val="Tableunitsrow"/>
              <w:jc w:val="right"/>
            </w:pPr>
            <w:r w:rsidRPr="00780D95">
              <w:t xml:space="preserve">$8,362 </w:t>
            </w:r>
          </w:p>
        </w:tc>
      </w:tr>
      <w:tr w:rsidR="00676882" w14:paraId="03A508AF" w14:textId="77777777" w:rsidTr="00DF45FA">
        <w:trPr>
          <w:gridBefore w:val="1"/>
          <w:wBefore w:w="454" w:type="dxa"/>
        </w:trPr>
        <w:tc>
          <w:tcPr>
            <w:tcW w:w="1984" w:type="dxa"/>
            <w:shd w:val="clear" w:color="auto" w:fill="auto"/>
            <w:vAlign w:val="bottom"/>
          </w:tcPr>
          <w:p w14:paraId="0F5CB9D0" w14:textId="77777777" w:rsidR="00676882" w:rsidRDefault="00676882" w:rsidP="00DF45FA">
            <w:pPr>
              <w:pStyle w:val="Tableunitsrow"/>
            </w:pPr>
            <w:r>
              <w:t>e) Heater - 2 year</w:t>
            </w:r>
          </w:p>
        </w:tc>
        <w:tc>
          <w:tcPr>
            <w:tcW w:w="2411" w:type="dxa"/>
            <w:tcBorders>
              <w:right w:val="single" w:sz="4" w:space="0" w:color="auto"/>
            </w:tcBorders>
            <w:shd w:val="clear" w:color="auto" w:fill="auto"/>
            <w:vAlign w:val="center"/>
          </w:tcPr>
          <w:p w14:paraId="73511D54" w14:textId="77777777" w:rsidR="00676882" w:rsidRDefault="00676882" w:rsidP="00DF45FA">
            <w:pPr>
              <w:pStyle w:val="Tableunitsrow"/>
              <w:jc w:val="right"/>
            </w:pPr>
            <w:r w:rsidRPr="00F12460">
              <w:t xml:space="preserve">$8,162 </w:t>
            </w:r>
          </w:p>
        </w:tc>
        <w:tc>
          <w:tcPr>
            <w:tcW w:w="1984" w:type="dxa"/>
            <w:tcBorders>
              <w:top w:val="single" w:sz="4" w:space="0" w:color="646464"/>
              <w:left w:val="single" w:sz="4" w:space="0" w:color="auto"/>
              <w:bottom w:val="single" w:sz="4" w:space="0" w:color="646464"/>
            </w:tcBorders>
            <w:shd w:val="clear" w:color="auto" w:fill="E5E5E5"/>
            <w:vAlign w:val="center"/>
          </w:tcPr>
          <w:p w14:paraId="09DF0546" w14:textId="77777777" w:rsidR="00676882" w:rsidRPr="006B0263" w:rsidRDefault="00676882" w:rsidP="00DF45FA">
            <w:pPr>
              <w:pStyle w:val="Tableunitsrow"/>
              <w:jc w:val="right"/>
              <w:rPr>
                <w:color w:val="C00000"/>
              </w:rPr>
            </w:pPr>
            <w:r w:rsidRPr="006B0263">
              <w:rPr>
                <w:color w:val="C00000"/>
              </w:rPr>
              <w:t>-$3,189</w:t>
            </w:r>
          </w:p>
        </w:tc>
        <w:tc>
          <w:tcPr>
            <w:tcW w:w="1558" w:type="dxa"/>
            <w:shd w:val="clear" w:color="auto" w:fill="auto"/>
            <w:vAlign w:val="center"/>
          </w:tcPr>
          <w:p w14:paraId="4BD9F551" w14:textId="77777777" w:rsidR="00676882" w:rsidRPr="00780D95" w:rsidRDefault="00676882" w:rsidP="00DF45FA">
            <w:pPr>
              <w:pStyle w:val="Tableunitsrow"/>
              <w:jc w:val="right"/>
            </w:pPr>
            <w:r w:rsidRPr="00780D95">
              <w:t xml:space="preserve">$4,973 </w:t>
            </w:r>
          </w:p>
        </w:tc>
      </w:tr>
      <w:tr w:rsidR="00676882" w14:paraId="4D967DD3" w14:textId="77777777" w:rsidTr="00DF45FA">
        <w:trPr>
          <w:gridBefore w:val="1"/>
          <w:wBefore w:w="454" w:type="dxa"/>
        </w:trPr>
        <w:tc>
          <w:tcPr>
            <w:tcW w:w="1984" w:type="dxa"/>
            <w:shd w:val="clear" w:color="auto" w:fill="auto"/>
            <w:vAlign w:val="bottom"/>
          </w:tcPr>
          <w:p w14:paraId="6D4AD665" w14:textId="77777777" w:rsidR="00676882" w:rsidRDefault="00676882" w:rsidP="00DF45FA">
            <w:pPr>
              <w:pStyle w:val="Tableunitsrow"/>
            </w:pPr>
            <w:r>
              <w:t>f) Heater - 4 year</w:t>
            </w:r>
          </w:p>
        </w:tc>
        <w:tc>
          <w:tcPr>
            <w:tcW w:w="2411" w:type="dxa"/>
            <w:tcBorders>
              <w:right w:val="single" w:sz="4" w:space="0" w:color="auto"/>
            </w:tcBorders>
            <w:shd w:val="clear" w:color="auto" w:fill="auto"/>
            <w:vAlign w:val="center"/>
          </w:tcPr>
          <w:p w14:paraId="6B0FE310" w14:textId="77777777" w:rsidR="00676882" w:rsidRDefault="00676882" w:rsidP="00DF45FA">
            <w:pPr>
              <w:pStyle w:val="Tableunitsrow"/>
              <w:jc w:val="right"/>
            </w:pPr>
            <w:r w:rsidRPr="00F12460">
              <w:t xml:space="preserve">$8,042 </w:t>
            </w:r>
          </w:p>
        </w:tc>
        <w:tc>
          <w:tcPr>
            <w:tcW w:w="1984" w:type="dxa"/>
            <w:tcBorders>
              <w:top w:val="single" w:sz="4" w:space="0" w:color="646464"/>
              <w:left w:val="single" w:sz="4" w:space="0" w:color="auto"/>
              <w:bottom w:val="single" w:sz="4" w:space="0" w:color="646464"/>
            </w:tcBorders>
            <w:shd w:val="clear" w:color="auto" w:fill="E5E5E5"/>
            <w:vAlign w:val="center"/>
          </w:tcPr>
          <w:p w14:paraId="5B86DF1D" w14:textId="77777777" w:rsidR="00676882" w:rsidRPr="006B0263" w:rsidRDefault="00676882" w:rsidP="00DF45FA">
            <w:pPr>
              <w:pStyle w:val="Tableunitsrow"/>
              <w:jc w:val="right"/>
              <w:rPr>
                <w:color w:val="C00000"/>
              </w:rPr>
            </w:pPr>
            <w:r w:rsidRPr="006B0263">
              <w:rPr>
                <w:color w:val="C00000"/>
              </w:rPr>
              <w:t>-$3,174</w:t>
            </w:r>
          </w:p>
        </w:tc>
        <w:tc>
          <w:tcPr>
            <w:tcW w:w="1558" w:type="dxa"/>
            <w:shd w:val="clear" w:color="auto" w:fill="auto"/>
            <w:vAlign w:val="center"/>
          </w:tcPr>
          <w:p w14:paraId="602A3094" w14:textId="77777777" w:rsidR="00676882" w:rsidRPr="00780D95" w:rsidRDefault="00676882" w:rsidP="00DF45FA">
            <w:pPr>
              <w:pStyle w:val="Tableunitsrow"/>
              <w:jc w:val="right"/>
            </w:pPr>
            <w:r w:rsidRPr="00780D95">
              <w:t xml:space="preserve">$4,868 </w:t>
            </w:r>
          </w:p>
        </w:tc>
      </w:tr>
      <w:tr w:rsidR="00676882" w14:paraId="510034BC" w14:textId="77777777" w:rsidTr="00DF45FA">
        <w:trPr>
          <w:gridBefore w:val="1"/>
          <w:wBefore w:w="454" w:type="dxa"/>
        </w:trPr>
        <w:tc>
          <w:tcPr>
            <w:tcW w:w="1984" w:type="dxa"/>
            <w:shd w:val="clear" w:color="auto" w:fill="auto"/>
            <w:vAlign w:val="bottom"/>
          </w:tcPr>
          <w:p w14:paraId="2165DC40" w14:textId="77777777" w:rsidR="00676882" w:rsidRDefault="00676882" w:rsidP="00DF45FA">
            <w:pPr>
              <w:pStyle w:val="Tableunitsrow"/>
            </w:pPr>
            <w:r>
              <w:t>g) Performance 2-stars - 2 year</w:t>
            </w:r>
          </w:p>
        </w:tc>
        <w:tc>
          <w:tcPr>
            <w:tcW w:w="2411" w:type="dxa"/>
            <w:tcBorders>
              <w:right w:val="single" w:sz="4" w:space="0" w:color="auto"/>
            </w:tcBorders>
            <w:shd w:val="clear" w:color="auto" w:fill="auto"/>
            <w:vAlign w:val="center"/>
          </w:tcPr>
          <w:p w14:paraId="5BBF397F" w14:textId="77777777" w:rsidR="00676882" w:rsidRDefault="00676882" w:rsidP="00DF45FA">
            <w:pPr>
              <w:pStyle w:val="Tableunitsrow"/>
              <w:jc w:val="right"/>
            </w:pPr>
            <w:r w:rsidRPr="00F12460">
              <w:t xml:space="preserve">$10,566 </w:t>
            </w:r>
          </w:p>
        </w:tc>
        <w:tc>
          <w:tcPr>
            <w:tcW w:w="1984" w:type="dxa"/>
            <w:tcBorders>
              <w:top w:val="single" w:sz="4" w:space="0" w:color="646464"/>
              <w:left w:val="single" w:sz="4" w:space="0" w:color="auto"/>
              <w:bottom w:val="single" w:sz="4" w:space="0" w:color="646464"/>
            </w:tcBorders>
            <w:shd w:val="clear" w:color="auto" w:fill="E5E5E5"/>
            <w:vAlign w:val="center"/>
          </w:tcPr>
          <w:p w14:paraId="520DAA75" w14:textId="77777777" w:rsidR="00676882" w:rsidRPr="006B0263" w:rsidRDefault="00676882" w:rsidP="00DF45FA">
            <w:pPr>
              <w:pStyle w:val="Tableunitsrow"/>
              <w:jc w:val="right"/>
              <w:rPr>
                <w:color w:val="C00000"/>
              </w:rPr>
            </w:pPr>
            <w:r w:rsidRPr="006B0263">
              <w:rPr>
                <w:color w:val="C00000"/>
              </w:rPr>
              <w:t>-$4,650</w:t>
            </w:r>
          </w:p>
        </w:tc>
        <w:tc>
          <w:tcPr>
            <w:tcW w:w="1558" w:type="dxa"/>
            <w:shd w:val="clear" w:color="auto" w:fill="auto"/>
            <w:vAlign w:val="center"/>
          </w:tcPr>
          <w:p w14:paraId="715124DD" w14:textId="77777777" w:rsidR="00676882" w:rsidRPr="00780D95" w:rsidRDefault="00676882" w:rsidP="00DF45FA">
            <w:pPr>
              <w:pStyle w:val="Tableunitsrow"/>
              <w:jc w:val="right"/>
            </w:pPr>
            <w:r w:rsidRPr="00780D95">
              <w:t xml:space="preserve">$5,916 </w:t>
            </w:r>
          </w:p>
        </w:tc>
      </w:tr>
      <w:tr w:rsidR="00676882" w14:paraId="10312D4B" w14:textId="77777777" w:rsidTr="00DF45FA">
        <w:trPr>
          <w:gridBefore w:val="1"/>
          <w:wBefore w:w="454" w:type="dxa"/>
        </w:trPr>
        <w:tc>
          <w:tcPr>
            <w:tcW w:w="1984" w:type="dxa"/>
            <w:shd w:val="clear" w:color="auto" w:fill="auto"/>
            <w:vAlign w:val="bottom"/>
          </w:tcPr>
          <w:p w14:paraId="0FF3F348" w14:textId="77777777" w:rsidR="00676882" w:rsidRDefault="00676882" w:rsidP="00DF45FA">
            <w:pPr>
              <w:pStyle w:val="Tableunitsrow"/>
            </w:pPr>
            <w:r>
              <w:t>h) Performance 2-stars - 4 year</w:t>
            </w:r>
          </w:p>
        </w:tc>
        <w:tc>
          <w:tcPr>
            <w:tcW w:w="2411" w:type="dxa"/>
            <w:tcBorders>
              <w:right w:val="single" w:sz="4" w:space="0" w:color="auto"/>
            </w:tcBorders>
            <w:shd w:val="clear" w:color="auto" w:fill="auto"/>
            <w:vAlign w:val="center"/>
          </w:tcPr>
          <w:p w14:paraId="1CC8C29D" w14:textId="77777777" w:rsidR="00676882" w:rsidRDefault="00676882" w:rsidP="00DF45FA">
            <w:pPr>
              <w:pStyle w:val="Tableunitsrow"/>
              <w:jc w:val="right"/>
            </w:pPr>
            <w:r w:rsidRPr="00F12460">
              <w:t xml:space="preserve">$10,612 </w:t>
            </w:r>
          </w:p>
        </w:tc>
        <w:tc>
          <w:tcPr>
            <w:tcW w:w="1984" w:type="dxa"/>
            <w:tcBorders>
              <w:top w:val="single" w:sz="4" w:space="0" w:color="646464"/>
              <w:left w:val="single" w:sz="4" w:space="0" w:color="auto"/>
              <w:bottom w:val="single" w:sz="4" w:space="0" w:color="646464"/>
            </w:tcBorders>
            <w:shd w:val="clear" w:color="auto" w:fill="E5E5E5"/>
            <w:vAlign w:val="center"/>
          </w:tcPr>
          <w:p w14:paraId="5CDEB004" w14:textId="77777777" w:rsidR="00676882" w:rsidRPr="006B0263" w:rsidRDefault="00676882" w:rsidP="00DF45FA">
            <w:pPr>
              <w:pStyle w:val="Tableunitsrow"/>
              <w:jc w:val="right"/>
              <w:rPr>
                <w:color w:val="C00000"/>
              </w:rPr>
            </w:pPr>
            <w:r w:rsidRPr="006B0263">
              <w:rPr>
                <w:color w:val="C00000"/>
              </w:rPr>
              <w:t>-$4,635</w:t>
            </w:r>
          </w:p>
        </w:tc>
        <w:tc>
          <w:tcPr>
            <w:tcW w:w="1558" w:type="dxa"/>
            <w:shd w:val="clear" w:color="auto" w:fill="auto"/>
            <w:vAlign w:val="center"/>
          </w:tcPr>
          <w:p w14:paraId="66135F05" w14:textId="77777777" w:rsidR="00676882" w:rsidRPr="00780D95" w:rsidRDefault="00676882" w:rsidP="00DF45FA">
            <w:pPr>
              <w:pStyle w:val="Tableunitsrow"/>
              <w:jc w:val="right"/>
            </w:pPr>
            <w:r w:rsidRPr="00780D95">
              <w:t xml:space="preserve">$5,976 </w:t>
            </w:r>
          </w:p>
        </w:tc>
      </w:tr>
      <w:tr w:rsidR="00676882" w14:paraId="56BCE1C4" w14:textId="77777777" w:rsidTr="00DF45FA">
        <w:trPr>
          <w:gridBefore w:val="1"/>
          <w:wBefore w:w="454" w:type="dxa"/>
        </w:trPr>
        <w:tc>
          <w:tcPr>
            <w:tcW w:w="1984" w:type="dxa"/>
            <w:shd w:val="clear" w:color="auto" w:fill="auto"/>
            <w:vAlign w:val="bottom"/>
          </w:tcPr>
          <w:p w14:paraId="49A34DFE" w14:textId="77777777" w:rsidR="00676882" w:rsidRDefault="00676882" w:rsidP="00DF45FA">
            <w:pPr>
              <w:pStyle w:val="Tableunitsrow"/>
            </w:pPr>
            <w:r>
              <w:t>i) Performance 3-stars - 2 year</w:t>
            </w:r>
          </w:p>
        </w:tc>
        <w:tc>
          <w:tcPr>
            <w:tcW w:w="2411" w:type="dxa"/>
            <w:tcBorders>
              <w:right w:val="single" w:sz="4" w:space="0" w:color="auto"/>
            </w:tcBorders>
            <w:shd w:val="clear" w:color="auto" w:fill="auto"/>
            <w:vAlign w:val="center"/>
          </w:tcPr>
          <w:p w14:paraId="18F3E883" w14:textId="77777777" w:rsidR="00676882" w:rsidRDefault="00676882" w:rsidP="00DF45FA">
            <w:pPr>
              <w:pStyle w:val="Tableunitsrow"/>
              <w:jc w:val="right"/>
            </w:pPr>
            <w:r w:rsidRPr="00F12460">
              <w:t xml:space="preserve">$13,813 </w:t>
            </w:r>
          </w:p>
        </w:tc>
        <w:tc>
          <w:tcPr>
            <w:tcW w:w="1984" w:type="dxa"/>
            <w:tcBorders>
              <w:top w:val="single" w:sz="4" w:space="0" w:color="646464"/>
              <w:left w:val="single" w:sz="4" w:space="0" w:color="auto"/>
              <w:bottom w:val="single" w:sz="4" w:space="0" w:color="646464"/>
            </w:tcBorders>
            <w:shd w:val="clear" w:color="auto" w:fill="E5E5E5"/>
            <w:vAlign w:val="center"/>
          </w:tcPr>
          <w:p w14:paraId="602B97E5" w14:textId="77777777" w:rsidR="00676882" w:rsidRPr="006B0263" w:rsidRDefault="00676882" w:rsidP="00DF45FA">
            <w:pPr>
              <w:pStyle w:val="Tableunitsrow"/>
              <w:jc w:val="right"/>
              <w:rPr>
                <w:color w:val="C00000"/>
              </w:rPr>
            </w:pPr>
            <w:r w:rsidRPr="006B0263">
              <w:rPr>
                <w:color w:val="C00000"/>
              </w:rPr>
              <w:t>-$7,531</w:t>
            </w:r>
          </w:p>
        </w:tc>
        <w:tc>
          <w:tcPr>
            <w:tcW w:w="1558" w:type="dxa"/>
            <w:shd w:val="clear" w:color="auto" w:fill="auto"/>
            <w:vAlign w:val="center"/>
          </w:tcPr>
          <w:p w14:paraId="036F0FC6" w14:textId="77777777" w:rsidR="00676882" w:rsidRPr="00780D95" w:rsidRDefault="00676882" w:rsidP="00DF45FA">
            <w:pPr>
              <w:pStyle w:val="Tableunitsrow"/>
              <w:jc w:val="right"/>
            </w:pPr>
            <w:r w:rsidRPr="00780D95">
              <w:t xml:space="preserve">$6,282 </w:t>
            </w:r>
          </w:p>
        </w:tc>
      </w:tr>
      <w:tr w:rsidR="00676882" w14:paraId="3942B31B" w14:textId="77777777" w:rsidTr="00DF45FA">
        <w:trPr>
          <w:gridBefore w:val="1"/>
          <w:wBefore w:w="454" w:type="dxa"/>
        </w:trPr>
        <w:tc>
          <w:tcPr>
            <w:tcW w:w="1984" w:type="dxa"/>
            <w:shd w:val="clear" w:color="auto" w:fill="auto"/>
            <w:vAlign w:val="bottom"/>
          </w:tcPr>
          <w:p w14:paraId="272DF6F1" w14:textId="77777777" w:rsidR="00676882" w:rsidRDefault="00676882" w:rsidP="00DF45FA">
            <w:pPr>
              <w:pStyle w:val="Tableunitsrow"/>
            </w:pPr>
            <w:r>
              <w:t>j) Performance 3-stars - 4 year</w:t>
            </w:r>
          </w:p>
        </w:tc>
        <w:tc>
          <w:tcPr>
            <w:tcW w:w="2411" w:type="dxa"/>
            <w:tcBorders>
              <w:right w:val="single" w:sz="4" w:space="0" w:color="auto"/>
            </w:tcBorders>
            <w:shd w:val="clear" w:color="auto" w:fill="auto"/>
            <w:vAlign w:val="center"/>
          </w:tcPr>
          <w:p w14:paraId="2967541E" w14:textId="77777777" w:rsidR="00676882" w:rsidRDefault="00676882" w:rsidP="00DF45FA">
            <w:pPr>
              <w:pStyle w:val="Tableunitsrow"/>
              <w:jc w:val="right"/>
            </w:pPr>
            <w:r w:rsidRPr="00F12460">
              <w:t xml:space="preserve">$13,900 </w:t>
            </w:r>
          </w:p>
        </w:tc>
        <w:tc>
          <w:tcPr>
            <w:tcW w:w="1984" w:type="dxa"/>
            <w:tcBorders>
              <w:top w:val="single" w:sz="4" w:space="0" w:color="646464"/>
              <w:left w:val="single" w:sz="4" w:space="0" w:color="auto"/>
            </w:tcBorders>
            <w:shd w:val="clear" w:color="auto" w:fill="E5E5E5"/>
            <w:vAlign w:val="center"/>
          </w:tcPr>
          <w:p w14:paraId="7C12D132" w14:textId="77777777" w:rsidR="00676882" w:rsidRPr="006B0263" w:rsidRDefault="00676882" w:rsidP="00DF45FA">
            <w:pPr>
              <w:pStyle w:val="Tableunitsrow"/>
              <w:jc w:val="right"/>
              <w:rPr>
                <w:color w:val="C00000"/>
              </w:rPr>
            </w:pPr>
            <w:r w:rsidRPr="006B0263">
              <w:rPr>
                <w:color w:val="C00000"/>
              </w:rPr>
              <w:t>-$7,506</w:t>
            </w:r>
          </w:p>
        </w:tc>
        <w:tc>
          <w:tcPr>
            <w:tcW w:w="1558" w:type="dxa"/>
            <w:shd w:val="clear" w:color="auto" w:fill="auto"/>
            <w:vAlign w:val="center"/>
          </w:tcPr>
          <w:p w14:paraId="78F0643F" w14:textId="77777777" w:rsidR="00676882" w:rsidRPr="00780D95" w:rsidRDefault="00676882" w:rsidP="00DF45FA">
            <w:pPr>
              <w:pStyle w:val="Tableunitsrow"/>
              <w:jc w:val="right"/>
            </w:pPr>
            <w:r w:rsidRPr="00780D95">
              <w:t xml:space="preserve">$6,394 </w:t>
            </w:r>
          </w:p>
        </w:tc>
      </w:tr>
      <w:tr w:rsidR="00676882" w14:paraId="7B254646" w14:textId="77777777" w:rsidTr="00DF45FA">
        <w:trPr>
          <w:gridBefore w:val="1"/>
          <w:wBefore w:w="454" w:type="dxa"/>
        </w:trPr>
        <w:tc>
          <w:tcPr>
            <w:tcW w:w="7937" w:type="dxa"/>
            <w:gridSpan w:val="4"/>
            <w:tcBorders>
              <w:bottom w:val="single" w:sz="4" w:space="0" w:color="646464"/>
            </w:tcBorders>
            <w:shd w:val="clear" w:color="auto" w:fill="auto"/>
          </w:tcPr>
          <w:p w14:paraId="4EDDF424" w14:textId="77777777" w:rsidR="00676882" w:rsidRDefault="00676882" w:rsidP="00DF45FA">
            <w:pPr>
              <w:pStyle w:val="Source"/>
              <w:rPr>
                <w:i w:val="0"/>
                <w:iCs/>
              </w:rPr>
            </w:pPr>
            <w:r>
              <w:rPr>
                <w:i w:val="0"/>
                <w:iCs/>
              </w:rPr>
              <w:t xml:space="preserve">Note: All impacts are calculated in present value (using a three per cent discount rate) over the life of the upgrades. </w:t>
            </w:r>
          </w:p>
          <w:p w14:paraId="33EBE10C" w14:textId="77777777" w:rsidR="00676882" w:rsidRPr="005F529C" w:rsidRDefault="00676882" w:rsidP="00DF45FA">
            <w:pPr>
              <w:pStyle w:val="Source"/>
            </w:pPr>
            <w:r>
              <w:t>Source: ACIL Allen</w:t>
            </w:r>
          </w:p>
        </w:tc>
      </w:tr>
      <w:tr w:rsidR="00676882" w14:paraId="5C4D6D1F" w14:textId="77777777" w:rsidTr="00DF45FA">
        <w:trPr>
          <w:gridBefore w:val="1"/>
          <w:wBefore w:w="454" w:type="dxa"/>
          <w:trHeight w:hRule="exact" w:val="160"/>
        </w:trPr>
        <w:tc>
          <w:tcPr>
            <w:tcW w:w="7937" w:type="dxa"/>
            <w:gridSpan w:val="4"/>
            <w:tcBorders>
              <w:top w:val="single" w:sz="4" w:space="0" w:color="646464"/>
              <w:bottom w:val="nil"/>
            </w:tcBorders>
            <w:shd w:val="clear" w:color="auto" w:fill="auto"/>
          </w:tcPr>
          <w:p w14:paraId="6005DF1E" w14:textId="77777777" w:rsidR="00676882" w:rsidRDefault="00676882" w:rsidP="00DF45FA">
            <w:pPr>
              <w:pStyle w:val="spacer"/>
            </w:pPr>
          </w:p>
        </w:tc>
      </w:tr>
    </w:tbl>
    <w:p w14:paraId="21601555" w14:textId="77777777" w:rsidR="00676882" w:rsidRDefault="00676882" w:rsidP="00676882">
      <w:pPr>
        <w:pStyle w:val="Heading2ES"/>
      </w:pPr>
      <w:r>
        <w:t>The preferred option – roof insulation</w:t>
      </w:r>
    </w:p>
    <w:p w14:paraId="7E1F13E6" w14:textId="77777777" w:rsidR="00676882" w:rsidRDefault="00676882" w:rsidP="00676882">
      <w:pPr>
        <w:pStyle w:val="BodyText"/>
      </w:pPr>
      <w:r>
        <w:t xml:space="preserve">Based on the analysis undertaken for this RIS, the preferred option is a minimum standard for roof insulation (R5) for residential rental properties. The impact analysis shows that this minimum standard, with a four-year phase-in, would provide around $18 million in benefits for the ACT — shared across the community, including rental providers and tenants. The analysis shows that for every one dollar spent on the minimum standard, it returns $1.30 to the community. </w:t>
      </w:r>
    </w:p>
    <w:p w14:paraId="094B5D56" w14:textId="77777777" w:rsidR="00676882" w:rsidRDefault="00676882" w:rsidP="00676882">
      <w:pPr>
        <w:pStyle w:val="BodyText"/>
      </w:pPr>
      <w:r>
        <w:t xml:space="preserve">The R5 roof insulation option also provides the highest net benefit to tenants — in excess of $8,300 on average over the life on the upgrade — while leaving rental providers no worse off where they can pass through the costs in full. </w:t>
      </w:r>
    </w:p>
    <w:p w14:paraId="2B486C9B" w14:textId="77777777" w:rsidR="00676882" w:rsidRDefault="00676882" w:rsidP="00676882">
      <w:pPr>
        <w:pStyle w:val="BodyText"/>
      </w:pPr>
      <w:r>
        <w:t xml:space="preserve">An R5 roof insulation minimum standard is expected to save 5,800 petajoules of energy over the period analysed and 289,000 tonnes of greenhouse gas emissions from domestic burning of gas and firewood. </w:t>
      </w:r>
    </w:p>
    <w:p w14:paraId="147B5146" w14:textId="77777777" w:rsidR="00676882" w:rsidRDefault="00676882" w:rsidP="00676882">
      <w:pPr>
        <w:pStyle w:val="BodyText"/>
      </w:pPr>
      <w:r>
        <w:t xml:space="preserve">The case for the preferred option is outlined in </w:t>
      </w:r>
      <w:r w:rsidRPr="009E4AB1">
        <w:fldChar w:fldCharType="begin"/>
      </w:r>
      <w:r w:rsidRPr="009E4AB1">
        <w:instrText xml:space="preserve"> REF _Ref80715941 \h  \* MERGEFORMAT </w:instrText>
      </w:r>
      <w:r w:rsidRPr="009E4AB1">
        <w:fldChar w:fldCharType="separate"/>
      </w:r>
      <w:r w:rsidRPr="00F32FCC">
        <w:t>Figure ES 1</w:t>
      </w:r>
      <w:r w:rsidRPr="009E4AB1">
        <w:fldChar w:fldCharType="end"/>
      </w:r>
      <w:r>
        <w:t>.</w:t>
      </w:r>
    </w:p>
    <w:p w14:paraId="59E9B189" w14:textId="77777777" w:rsidR="00676882" w:rsidRDefault="00676882" w:rsidP="00676882">
      <w:pPr>
        <w:pStyle w:val="BodyText"/>
      </w:pPr>
      <w:r>
        <w:br w:type="page"/>
      </w:r>
    </w:p>
    <w:p w14:paraId="754CBD11" w14:textId="77777777" w:rsidR="00676882" w:rsidRDefault="00676882" w:rsidP="00676882">
      <w:pPr>
        <w:pStyle w:val="ListBullet"/>
        <w:numPr>
          <w:ilvl w:val="0"/>
          <w:numId w:val="0"/>
        </w:numPr>
        <w:ind w:left="-1985"/>
      </w:pPr>
      <w:bookmarkStart w:id="7" w:name="_Ref80715941"/>
      <w:bookmarkStart w:id="8" w:name="_Toc80719248"/>
      <w:r w:rsidRPr="00B54A4E">
        <w:rPr>
          <w:rStyle w:val="CaptionLabel"/>
        </w:rPr>
        <w:lastRenderedPageBreak/>
        <w:t>Figure ES </w:t>
      </w:r>
      <w:r w:rsidRPr="00B54A4E">
        <w:rPr>
          <w:rStyle w:val="CaptionLabel"/>
        </w:rPr>
        <w:fldChar w:fldCharType="begin"/>
      </w:r>
      <w:r w:rsidRPr="00B54A4E">
        <w:rPr>
          <w:rStyle w:val="CaptionLabel"/>
        </w:rPr>
        <w:instrText xml:space="preserve"> SEQ Figure_ES \* ARABIC  \* MERGEFORMAT </w:instrText>
      </w:r>
      <w:r w:rsidRPr="00B54A4E">
        <w:rPr>
          <w:rStyle w:val="CaptionLabel"/>
        </w:rPr>
        <w:fldChar w:fldCharType="separate"/>
      </w:r>
      <w:r>
        <w:rPr>
          <w:rStyle w:val="CaptionLabel"/>
          <w:noProof/>
        </w:rPr>
        <w:t>1</w:t>
      </w:r>
      <w:r w:rsidRPr="00B54A4E">
        <w:rPr>
          <w:rStyle w:val="CaptionLabel"/>
        </w:rPr>
        <w:fldChar w:fldCharType="end"/>
      </w:r>
      <w:bookmarkEnd w:id="7"/>
      <w:r>
        <w:tab/>
        <w:t>A summary of the preferred option – R5 roof insulation for rental properties</w:t>
      </w:r>
      <w:bookmarkEnd w:id="8"/>
    </w:p>
    <w:p w14:paraId="1BFE2F63" w14:textId="77777777" w:rsidR="00676882" w:rsidRDefault="00676882" w:rsidP="00676882">
      <w:pPr>
        <w:pStyle w:val="ListBullet"/>
        <w:numPr>
          <w:ilvl w:val="0"/>
          <w:numId w:val="0"/>
        </w:numPr>
        <w:ind w:left="-1985"/>
      </w:pPr>
      <w:r>
        <w:rPr>
          <w:noProof/>
        </w:rPr>
        <w:drawing>
          <wp:inline distT="0" distB="0" distL="0" distR="0" wp14:anchorId="4531F2E1" wp14:editId="283F7AFB">
            <wp:extent cx="6455884" cy="8727971"/>
            <wp:effectExtent l="0" t="0" r="2540" b="0"/>
            <wp:docPr id="10" name="Picture 10"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imeline&#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464089" cy="8739063"/>
                    </a:xfrm>
                    <a:prstGeom prst="rect">
                      <a:avLst/>
                    </a:prstGeom>
                  </pic:spPr>
                </pic:pic>
              </a:graphicData>
            </a:graphic>
          </wp:inline>
        </w:drawing>
      </w:r>
    </w:p>
    <w:p w14:paraId="016CA656" w14:textId="77777777" w:rsidR="00676882" w:rsidRPr="00205B1B" w:rsidRDefault="00676882" w:rsidP="00676882">
      <w:pPr>
        <w:pStyle w:val="ListBullet"/>
        <w:numPr>
          <w:ilvl w:val="0"/>
          <w:numId w:val="0"/>
        </w:numPr>
        <w:ind w:left="-1985"/>
        <w:rPr>
          <w:i/>
          <w:iCs/>
          <w:sz w:val="16"/>
          <w:szCs w:val="16"/>
        </w:rPr>
      </w:pPr>
      <w:r w:rsidRPr="00205B1B">
        <w:rPr>
          <w:i/>
          <w:iCs/>
          <w:sz w:val="16"/>
          <w:szCs w:val="16"/>
        </w:rPr>
        <w:t>Source: ACIL Allen</w:t>
      </w:r>
    </w:p>
    <w:tbl>
      <w:tblPr>
        <w:tblW w:w="0" w:type="auto"/>
        <w:tblLayout w:type="fixed"/>
        <w:tblCellMar>
          <w:left w:w="0" w:type="dxa"/>
          <w:right w:w="0" w:type="dxa"/>
        </w:tblCellMar>
        <w:tblLook w:val="0000" w:firstRow="0" w:lastRow="0" w:firstColumn="0" w:lastColumn="0" w:noHBand="0" w:noVBand="0"/>
        <w:tblCaption w:val="Chapter 1"/>
        <w:tblDescription w:val="Introduction"/>
      </w:tblPr>
      <w:tblGrid>
        <w:gridCol w:w="5570"/>
        <w:gridCol w:w="2366"/>
      </w:tblGrid>
      <w:tr w:rsidR="00676882" w14:paraId="2800F80A" w14:textId="77777777" w:rsidTr="00DF45FA">
        <w:trPr>
          <w:trHeight w:hRule="exact" w:val="382"/>
        </w:trPr>
        <w:tc>
          <w:tcPr>
            <w:tcW w:w="5570" w:type="dxa"/>
          </w:tcPr>
          <w:p w14:paraId="4035DBA7" w14:textId="77777777" w:rsidR="00676882" w:rsidRPr="002E4DC0" w:rsidRDefault="00676882" w:rsidP="00DF45FA">
            <w:pPr>
              <w:pStyle w:val="tagchapterBanner"/>
            </w:pPr>
            <w:r w:rsidRPr="002E4DC0">
              <w:rPr>
                <w:noProof/>
              </w:rPr>
              <w:lastRenderedPageBreak/>
              <w:drawing>
                <wp:anchor distT="0" distB="0" distL="114300" distR="114300" simplePos="0" relativeHeight="251664384" behindDoc="1" locked="1" layoutInCell="1" allowOverlap="1" wp14:anchorId="265DAF79" wp14:editId="732188F3">
                  <wp:simplePos x="0" y="0"/>
                  <wp:positionH relativeFrom="page">
                    <wp:posOffset>0</wp:posOffset>
                  </wp:positionH>
                  <wp:positionV relativeFrom="page">
                    <wp:posOffset>0</wp:posOffset>
                  </wp:positionV>
                  <wp:extent cx="5039360" cy="1995170"/>
                  <wp:effectExtent l="0" t="0" r="8890" b="5080"/>
                  <wp:wrapNone/>
                  <wp:docPr id="21"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6D38682A" w14:textId="77777777" w:rsidR="00676882" w:rsidRDefault="00676882" w:rsidP="00DF45FA">
            <w:pPr>
              <w:pStyle w:val="spacer"/>
            </w:pPr>
          </w:p>
        </w:tc>
      </w:tr>
      <w:tr w:rsidR="00676882" w14:paraId="3ED48C95" w14:textId="77777777" w:rsidTr="00DF45FA">
        <w:trPr>
          <w:trHeight w:hRule="exact" w:val="2760"/>
        </w:trPr>
        <w:tc>
          <w:tcPr>
            <w:tcW w:w="5570" w:type="dxa"/>
            <w:vAlign w:val="bottom"/>
          </w:tcPr>
          <w:p w14:paraId="483856F2" w14:textId="77777777" w:rsidR="00676882" w:rsidRPr="002E4DC0" w:rsidRDefault="00676882" w:rsidP="00DF45FA">
            <w:pPr>
              <w:pStyle w:val="Heading1"/>
            </w:pPr>
            <w:bookmarkStart w:id="9" w:name="_Ref76312388"/>
            <w:bookmarkStart w:id="10" w:name="_Toc80712571"/>
            <w:r w:rsidRPr="002E4DC0">
              <w:t>Introduction</w:t>
            </w:r>
            <w:bookmarkEnd w:id="9"/>
            <w:bookmarkEnd w:id="10"/>
          </w:p>
        </w:tc>
        <w:tc>
          <w:tcPr>
            <w:tcW w:w="2366" w:type="dxa"/>
            <w:tcMar>
              <w:right w:w="224" w:type="dxa"/>
            </w:tcMar>
            <w:vAlign w:val="bottom"/>
          </w:tcPr>
          <w:p w14:paraId="346C6E69" w14:textId="77777777" w:rsidR="00676882" w:rsidRDefault="00676882" w:rsidP="00DF45FA">
            <w:pPr>
              <w:pStyle w:val="HeadingChapter"/>
            </w:pPr>
            <w:r>
              <w:fldChar w:fldCharType="begin"/>
            </w:r>
            <w:r>
              <w:instrText xml:space="preserve"> SEQ ChptNum \* ARABIC </w:instrText>
            </w:r>
            <w:r>
              <w:fldChar w:fldCharType="separate"/>
            </w:r>
            <w:r>
              <w:rPr>
                <w:noProof/>
              </w:rPr>
              <w:t>1</w:t>
            </w:r>
            <w:r>
              <w:rPr>
                <w:noProof/>
              </w:rPr>
              <w:fldChar w:fldCharType="end"/>
            </w:r>
          </w:p>
        </w:tc>
      </w:tr>
      <w:tr w:rsidR="00676882" w14:paraId="68C75938" w14:textId="77777777" w:rsidTr="00DF45FA">
        <w:trPr>
          <w:trHeight w:hRule="exact" w:val="228"/>
        </w:trPr>
        <w:tc>
          <w:tcPr>
            <w:tcW w:w="5570" w:type="dxa"/>
          </w:tcPr>
          <w:p w14:paraId="7B22132E" w14:textId="77777777" w:rsidR="00676882" w:rsidRPr="002E4DC0" w:rsidRDefault="00676882" w:rsidP="00DF45FA">
            <w:pPr>
              <w:pStyle w:val="spacer"/>
            </w:pPr>
          </w:p>
        </w:tc>
        <w:tc>
          <w:tcPr>
            <w:tcW w:w="2366" w:type="dxa"/>
          </w:tcPr>
          <w:p w14:paraId="6546D0DB" w14:textId="77777777" w:rsidR="00676882" w:rsidRDefault="00676882" w:rsidP="00DF45FA">
            <w:pPr>
              <w:pStyle w:val="spacer"/>
            </w:pPr>
          </w:p>
        </w:tc>
      </w:tr>
    </w:tbl>
    <w:p w14:paraId="42B69641" w14:textId="77777777" w:rsidR="00676882" w:rsidRDefault="00676882" w:rsidP="00676882">
      <w:pPr>
        <w:pStyle w:val="BodyText"/>
      </w:pPr>
      <w:r>
        <w:t xml:space="preserve">The ACT Government remains a leader in the management of carbon emissions and energy usage. Since 1 January 2020, the ACT has decarbonised its electricity source, having met its target for 100 per cent of electricity consumed to be generated from renewable sources. The remaining major sources of carbon emissions include household energy use (gas and wood) and transport. </w:t>
      </w:r>
    </w:p>
    <w:p w14:paraId="71AF1E71" w14:textId="77777777" w:rsidR="00676882" w:rsidRPr="00D3032F" w:rsidRDefault="00676882" w:rsidP="00676882">
      <w:pPr>
        <w:pStyle w:val="BodyText"/>
      </w:pPr>
      <w:r>
        <w:t xml:space="preserve">Energy use by households, whether sourced from electricity or other energy sources, is also a </w:t>
      </w:r>
      <w:r w:rsidRPr="00D3032F">
        <w:t>substantial</w:t>
      </w:r>
      <w:r>
        <w:t xml:space="preserve"> </w:t>
      </w:r>
      <w:r w:rsidRPr="00D3032F">
        <w:t>source</w:t>
      </w:r>
      <w:r>
        <w:t xml:space="preserve"> </w:t>
      </w:r>
      <w:r w:rsidRPr="00D3032F">
        <w:t>of</w:t>
      </w:r>
      <w:r>
        <w:t xml:space="preserve"> </w:t>
      </w:r>
      <w:r w:rsidRPr="00D3032F">
        <w:t>stress</w:t>
      </w:r>
      <w:r>
        <w:t xml:space="preserve"> </w:t>
      </w:r>
      <w:r w:rsidRPr="00D3032F">
        <w:t>on</w:t>
      </w:r>
      <w:r>
        <w:t xml:space="preserve"> </w:t>
      </w:r>
      <w:r w:rsidRPr="00D3032F">
        <w:t>many</w:t>
      </w:r>
      <w:r>
        <w:t xml:space="preserve"> </w:t>
      </w:r>
      <w:r w:rsidRPr="00D3032F">
        <w:t>household</w:t>
      </w:r>
      <w:r>
        <w:t xml:space="preserve"> </w:t>
      </w:r>
      <w:r w:rsidRPr="00D3032F">
        <w:t>budgets.</w:t>
      </w:r>
    </w:p>
    <w:p w14:paraId="662FC54B" w14:textId="77777777" w:rsidR="00676882" w:rsidRDefault="00676882" w:rsidP="00676882">
      <w:pPr>
        <w:pStyle w:val="BodyText"/>
      </w:pPr>
      <w:r>
        <w:t xml:space="preserve">The 2019 ACT Climate Change Strategy outlines the ACT Government’s direction for further reducing emissions and delivering benefits across the ACT community. The Strategy includes </w:t>
      </w:r>
      <w:bookmarkStart w:id="11" w:name="_Hlk67996783"/>
      <w:r>
        <w:t xml:space="preserve">the goal of a ‘staged minimum energy performance for rental properties to come into force in 2022-23’. This goal can lower energy use (and costs) for renters, further reduce carbon emissions, and provide health and wellbeing benefits. As with all regulation, introducing minimum energy efficiency standards for rental properties has the potential to impose high costs on the community — especially on rental providers who may not be able to recoup those costs fully. </w:t>
      </w:r>
    </w:p>
    <w:bookmarkEnd w:id="11"/>
    <w:p w14:paraId="51B0ABFB" w14:textId="77777777" w:rsidR="00676882" w:rsidRDefault="00676882" w:rsidP="00676882">
      <w:r>
        <w:t xml:space="preserve">The </w:t>
      </w:r>
      <w:r>
        <w:rPr>
          <w:i/>
          <w:iCs/>
        </w:rPr>
        <w:t xml:space="preserve">ACT Legislation Act 2001 </w:t>
      </w:r>
      <w:r>
        <w:t xml:space="preserve">requires the preparation of a Regulation Impact Statement (RIS) whenever a proposed regulation is likely to impose an appreciable cost on the community, or a part of the community. </w:t>
      </w:r>
      <w:proofErr w:type="gramStart"/>
      <w:r>
        <w:t>In light of</w:t>
      </w:r>
      <w:proofErr w:type="gramEnd"/>
      <w:r>
        <w:t xml:space="preserve"> this, the Environment, Planning and Sustainable Development Directorate (the Directorate) engaged ACIL Allen to prepare the RIS for the proposed regulations. The RIS will consider three broad policy options for the implementation of the regulation.</w:t>
      </w:r>
    </w:p>
    <w:p w14:paraId="01C29EF1" w14:textId="77777777" w:rsidR="00676882" w:rsidRDefault="00676882" w:rsidP="00676882">
      <w:pPr>
        <w:pStyle w:val="BodyText"/>
      </w:pPr>
      <w:r>
        <w:t>In developing this RIS, a range of inputs have been used to identify the policy options and to consider the potential impacts of the policy options. These include:</w:t>
      </w:r>
    </w:p>
    <w:p w14:paraId="22584677" w14:textId="77777777" w:rsidR="00676882" w:rsidRPr="00012A59" w:rsidRDefault="00676882" w:rsidP="00676882">
      <w:pPr>
        <w:pStyle w:val="ListBullet"/>
      </w:pPr>
      <w:r w:rsidRPr="00012A59">
        <w:t>a workshop with the Directorate on 25 March 2021 to develop the potential policy options</w:t>
      </w:r>
    </w:p>
    <w:p w14:paraId="2F93FE94" w14:textId="77777777" w:rsidR="00676882" w:rsidRPr="00012A59" w:rsidRDefault="00676882" w:rsidP="00676882">
      <w:pPr>
        <w:pStyle w:val="ListBullet"/>
      </w:pPr>
      <w:r w:rsidRPr="00012A59">
        <w:t xml:space="preserve">stakeholder consultations, including interviews and workshops from 12 April to 29 April (see Appendix </w:t>
      </w:r>
      <w:r w:rsidRPr="00012A59">
        <w:fldChar w:fldCharType="begin"/>
      </w:r>
      <w:r w:rsidRPr="00012A59">
        <w:instrText xml:space="preserve"> REF _Ref75434457 \r \h  \* MERGEFORMAT </w:instrText>
      </w:r>
      <w:r w:rsidRPr="00012A59">
        <w:fldChar w:fldCharType="separate"/>
      </w:r>
      <w:r>
        <w:t>E</w:t>
      </w:r>
      <w:r w:rsidRPr="00012A59">
        <w:fldChar w:fldCharType="end"/>
      </w:r>
      <w:r w:rsidRPr="00012A59">
        <w:t>)</w:t>
      </w:r>
    </w:p>
    <w:p w14:paraId="5B9A38D9" w14:textId="77777777" w:rsidR="00676882" w:rsidRPr="00012A59" w:rsidRDefault="00676882" w:rsidP="00676882">
      <w:pPr>
        <w:pStyle w:val="ListBullet"/>
      </w:pPr>
      <w:r w:rsidRPr="00012A59">
        <w:t xml:space="preserve">a survey of tenants, rental providers and owner-occupiers (see Appendix </w:t>
      </w:r>
      <w:r w:rsidRPr="00012A59">
        <w:fldChar w:fldCharType="begin"/>
      </w:r>
      <w:r w:rsidRPr="00012A59">
        <w:instrText xml:space="preserve"> REF _Ref75434467 \r \h  \* MERGEFORMAT </w:instrText>
      </w:r>
      <w:r w:rsidRPr="00012A59">
        <w:fldChar w:fldCharType="separate"/>
      </w:r>
      <w:r>
        <w:t>F</w:t>
      </w:r>
      <w:r w:rsidRPr="00012A59">
        <w:fldChar w:fldCharType="end"/>
      </w:r>
      <w:r w:rsidRPr="00012A59">
        <w:t>).</w:t>
      </w:r>
    </w:p>
    <w:p w14:paraId="4683C8CE" w14:textId="77777777" w:rsidR="00676882" w:rsidRDefault="00676882" w:rsidP="00676882">
      <w:pPr>
        <w:pStyle w:val="BodyText"/>
      </w:pPr>
      <w:r>
        <w:t>The RIS is structured as follows:</w:t>
      </w:r>
    </w:p>
    <w:p w14:paraId="48BB56DC" w14:textId="77777777" w:rsidR="00676882" w:rsidRPr="00012A59" w:rsidRDefault="00676882" w:rsidP="00676882">
      <w:pPr>
        <w:pStyle w:val="ListBullet"/>
      </w:pPr>
      <w:r w:rsidRPr="00012A59">
        <w:t xml:space="preserve">the nature and extent of the problem is described in Chapter </w:t>
      </w:r>
      <w:r w:rsidRPr="00012A59">
        <w:fldChar w:fldCharType="begin"/>
      </w:r>
      <w:r w:rsidRPr="00012A59">
        <w:instrText xml:space="preserve"> REF _Ref80698894 \r \h  \* MERGEFORMAT </w:instrText>
      </w:r>
      <w:r w:rsidRPr="00012A59">
        <w:fldChar w:fldCharType="separate"/>
      </w:r>
      <w:r>
        <w:t>2</w:t>
      </w:r>
      <w:r w:rsidRPr="00012A59">
        <w:fldChar w:fldCharType="end"/>
      </w:r>
    </w:p>
    <w:p w14:paraId="56000F76" w14:textId="77777777" w:rsidR="00676882" w:rsidRPr="00012A59" w:rsidRDefault="00676882" w:rsidP="00676882">
      <w:pPr>
        <w:pStyle w:val="ListBullet"/>
      </w:pPr>
      <w:r w:rsidRPr="00012A59">
        <w:t xml:space="preserve">the policy rationale and the case for government action are outlined in Chapter </w:t>
      </w:r>
      <w:r w:rsidRPr="00012A59">
        <w:fldChar w:fldCharType="begin"/>
      </w:r>
      <w:r w:rsidRPr="00012A59">
        <w:instrText xml:space="preserve"> REF _Ref80715964 \r \h  \* MERGEFORMAT </w:instrText>
      </w:r>
      <w:r w:rsidRPr="00012A59">
        <w:fldChar w:fldCharType="separate"/>
      </w:r>
      <w:r>
        <w:t>3</w:t>
      </w:r>
      <w:r w:rsidRPr="00012A59">
        <w:fldChar w:fldCharType="end"/>
      </w:r>
    </w:p>
    <w:p w14:paraId="5B5DFE07" w14:textId="77777777" w:rsidR="00676882" w:rsidRPr="00012A59" w:rsidRDefault="00676882" w:rsidP="00676882">
      <w:pPr>
        <w:pStyle w:val="ListBullet"/>
      </w:pPr>
      <w:r w:rsidRPr="00012A59">
        <w:t xml:space="preserve">the range of policy options identified to address the problem, and those which are investigated in detail, are given in Chapter </w:t>
      </w:r>
      <w:r w:rsidRPr="00012A59">
        <w:fldChar w:fldCharType="begin"/>
      </w:r>
      <w:r w:rsidRPr="00012A59">
        <w:instrText xml:space="preserve"> REF _Ref75434504 \r \h  \* MERGEFORMAT </w:instrText>
      </w:r>
      <w:r w:rsidRPr="00012A59">
        <w:fldChar w:fldCharType="separate"/>
      </w:r>
      <w:r>
        <w:t>4</w:t>
      </w:r>
      <w:r w:rsidRPr="00012A59">
        <w:fldChar w:fldCharType="end"/>
      </w:r>
    </w:p>
    <w:p w14:paraId="3FE73C6B" w14:textId="77777777" w:rsidR="00676882" w:rsidRPr="00012A59" w:rsidRDefault="00676882" w:rsidP="00676882">
      <w:pPr>
        <w:pStyle w:val="ListBullet"/>
      </w:pPr>
      <w:r w:rsidRPr="00012A59">
        <w:t xml:space="preserve">the impacts of the policy options are considered using a cost-benefit analysis in Chapter </w:t>
      </w:r>
      <w:r w:rsidRPr="00012A59">
        <w:fldChar w:fldCharType="begin"/>
      </w:r>
      <w:r w:rsidRPr="00012A59">
        <w:instrText xml:space="preserve"> REF _Ref75434567 \r \h  \* MERGEFORMAT </w:instrText>
      </w:r>
      <w:r w:rsidRPr="00012A59">
        <w:fldChar w:fldCharType="separate"/>
      </w:r>
      <w:r>
        <w:t>5</w:t>
      </w:r>
      <w:r w:rsidRPr="00012A59">
        <w:fldChar w:fldCharType="end"/>
      </w:r>
      <w:r w:rsidRPr="00012A59">
        <w:t xml:space="preserve"> </w:t>
      </w:r>
    </w:p>
    <w:p w14:paraId="2505A19A" w14:textId="77777777" w:rsidR="00676882" w:rsidRPr="00012A59" w:rsidRDefault="00676882" w:rsidP="00676882">
      <w:pPr>
        <w:pStyle w:val="ListBullet"/>
      </w:pPr>
      <w:r w:rsidRPr="00012A59">
        <w:t xml:space="preserve">implementation and review considerations are given in Chapter </w:t>
      </w:r>
      <w:r w:rsidRPr="00012A59">
        <w:fldChar w:fldCharType="begin"/>
      </w:r>
      <w:r w:rsidRPr="00012A59">
        <w:instrText xml:space="preserve"> REF _Ref75434576 \r \h  \* MERGEFORMAT </w:instrText>
      </w:r>
      <w:r w:rsidRPr="00012A59">
        <w:fldChar w:fldCharType="separate"/>
      </w:r>
      <w:r>
        <w:t>6</w:t>
      </w:r>
      <w:r w:rsidRPr="00012A59">
        <w:fldChar w:fldCharType="end"/>
      </w:r>
    </w:p>
    <w:p w14:paraId="6415446B" w14:textId="77777777" w:rsidR="00676882" w:rsidRPr="00012A59" w:rsidRDefault="00676882" w:rsidP="00676882">
      <w:pPr>
        <w:pStyle w:val="ListBullet"/>
      </w:pPr>
      <w:r w:rsidRPr="00012A59">
        <w:t xml:space="preserve">a recommendation statement and conclusion of findings is given in Chapter </w:t>
      </w:r>
      <w:r w:rsidRPr="00012A59">
        <w:fldChar w:fldCharType="begin"/>
      </w:r>
      <w:r w:rsidRPr="00012A59">
        <w:instrText xml:space="preserve"> REF _Ref75434585 \r \h  \* MERGEFORMAT </w:instrText>
      </w:r>
      <w:r w:rsidRPr="00012A59">
        <w:fldChar w:fldCharType="separate"/>
      </w:r>
      <w:r>
        <w:t>7</w:t>
      </w:r>
      <w:r w:rsidRPr="00012A59">
        <w:fldChar w:fldCharType="end"/>
      </w:r>
      <w:r w:rsidRPr="00012A59">
        <w:t xml:space="preserve">. </w:t>
      </w:r>
    </w:p>
    <w:p w14:paraId="1EEEB4E9" w14:textId="77777777" w:rsidR="00676882" w:rsidRDefault="00676882" w:rsidP="00676882">
      <w:pPr>
        <w:pStyle w:val="ListBullet"/>
        <w:numPr>
          <w:ilvl w:val="0"/>
          <w:numId w:val="0"/>
        </w:numPr>
        <w:ind w:left="420"/>
      </w:pPr>
    </w:p>
    <w:p w14:paraId="469F01AC" w14:textId="77777777" w:rsidR="00676882" w:rsidRDefault="00676882" w:rsidP="00676882">
      <w:pPr>
        <w:pStyle w:val="ListBullet"/>
        <w:numPr>
          <w:ilvl w:val="0"/>
          <w:numId w:val="0"/>
        </w:numPr>
        <w:sectPr w:rsidR="00676882" w:rsidSect="00F32FCC">
          <w:headerReference w:type="even" r:id="rId24"/>
          <w:footerReference w:type="even" r:id="rId25"/>
          <w:footerReference w:type="default" r:id="rId26"/>
          <w:headerReference w:type="first" r:id="rId27"/>
          <w:footerReference w:type="first" r:id="rId28"/>
          <w:pgSz w:w="11906" w:h="16838" w:code="9"/>
          <w:pgMar w:top="1134" w:right="851" w:bottom="1134" w:left="3119" w:header="454" w:footer="377" w:gutter="0"/>
          <w:pgNumType w:start="1"/>
          <w:cols w:space="708"/>
          <w:docGrid w:linePitch="360"/>
        </w:sectPr>
      </w:pPr>
    </w:p>
    <w:tbl>
      <w:tblPr>
        <w:tblW w:w="0" w:type="auto"/>
        <w:tblLayout w:type="fixed"/>
        <w:tblCellMar>
          <w:left w:w="0" w:type="dxa"/>
          <w:right w:w="0" w:type="dxa"/>
        </w:tblCellMar>
        <w:tblLook w:val="0000" w:firstRow="0" w:lastRow="0" w:firstColumn="0" w:lastColumn="0" w:noHBand="0" w:noVBand="0"/>
        <w:tblCaption w:val="Chapter 2"/>
        <w:tblDescription w:val="The problem"/>
      </w:tblPr>
      <w:tblGrid>
        <w:gridCol w:w="5570"/>
        <w:gridCol w:w="2366"/>
      </w:tblGrid>
      <w:tr w:rsidR="00676882" w14:paraId="10B39CFE" w14:textId="77777777" w:rsidTr="00DF45FA">
        <w:trPr>
          <w:trHeight w:hRule="exact" w:val="382"/>
        </w:trPr>
        <w:tc>
          <w:tcPr>
            <w:tcW w:w="5570" w:type="dxa"/>
          </w:tcPr>
          <w:p w14:paraId="5D0FF1B5" w14:textId="77777777" w:rsidR="00676882" w:rsidRDefault="00676882" w:rsidP="00DF45FA">
            <w:pPr>
              <w:pStyle w:val="tagchapterBanner"/>
            </w:pPr>
            <w:r>
              <w:rPr>
                <w:noProof/>
              </w:rPr>
              <w:lastRenderedPageBreak/>
              <w:drawing>
                <wp:anchor distT="0" distB="0" distL="114300" distR="114300" simplePos="0" relativeHeight="251673600" behindDoc="1" locked="1" layoutInCell="1" allowOverlap="1" wp14:anchorId="688FC3DE" wp14:editId="6E5A0392">
                  <wp:simplePos x="0" y="0"/>
                  <wp:positionH relativeFrom="page">
                    <wp:posOffset>-635</wp:posOffset>
                  </wp:positionH>
                  <wp:positionV relativeFrom="page">
                    <wp:posOffset>0</wp:posOffset>
                  </wp:positionV>
                  <wp:extent cx="5039360" cy="1995170"/>
                  <wp:effectExtent l="0" t="0" r="8890" b="5080"/>
                  <wp:wrapNone/>
                  <wp:docPr id="25"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47B89EDF" w14:textId="77777777" w:rsidR="00676882" w:rsidRDefault="00676882" w:rsidP="00DF45FA">
            <w:pPr>
              <w:pStyle w:val="spacer"/>
            </w:pPr>
          </w:p>
        </w:tc>
      </w:tr>
      <w:tr w:rsidR="00676882" w14:paraId="2EB1EC59" w14:textId="77777777" w:rsidTr="00DF45FA">
        <w:trPr>
          <w:trHeight w:hRule="exact" w:val="2760"/>
        </w:trPr>
        <w:tc>
          <w:tcPr>
            <w:tcW w:w="5570" w:type="dxa"/>
            <w:vAlign w:val="bottom"/>
          </w:tcPr>
          <w:p w14:paraId="559A76CB" w14:textId="77777777" w:rsidR="00676882" w:rsidRDefault="00676882" w:rsidP="00DF45FA">
            <w:pPr>
              <w:pStyle w:val="Heading1"/>
            </w:pPr>
            <w:bookmarkStart w:id="12" w:name="_Ref80698894"/>
            <w:bookmarkStart w:id="13" w:name="_Toc80712573"/>
            <w:r>
              <w:t>The problem</w:t>
            </w:r>
            <w:bookmarkEnd w:id="12"/>
            <w:bookmarkEnd w:id="13"/>
          </w:p>
        </w:tc>
        <w:tc>
          <w:tcPr>
            <w:tcW w:w="2366" w:type="dxa"/>
            <w:tcMar>
              <w:right w:w="224" w:type="dxa"/>
            </w:tcMar>
            <w:vAlign w:val="bottom"/>
          </w:tcPr>
          <w:p w14:paraId="21CC1E44" w14:textId="77777777" w:rsidR="00676882" w:rsidRDefault="00676882" w:rsidP="00DF45FA">
            <w:pPr>
              <w:pStyle w:val="HeadingChapter"/>
            </w:pPr>
            <w:r>
              <w:fldChar w:fldCharType="begin"/>
            </w:r>
            <w:r>
              <w:instrText xml:space="preserve"> SEQ ChptNum \* ARABIC </w:instrText>
            </w:r>
            <w:r>
              <w:fldChar w:fldCharType="separate"/>
            </w:r>
            <w:r>
              <w:rPr>
                <w:noProof/>
              </w:rPr>
              <w:t>2</w:t>
            </w:r>
            <w:r>
              <w:rPr>
                <w:noProof/>
              </w:rPr>
              <w:fldChar w:fldCharType="end"/>
            </w:r>
          </w:p>
        </w:tc>
      </w:tr>
      <w:tr w:rsidR="00676882" w14:paraId="5172FB09" w14:textId="77777777" w:rsidTr="00DF45FA">
        <w:trPr>
          <w:trHeight w:hRule="exact" w:val="228"/>
        </w:trPr>
        <w:tc>
          <w:tcPr>
            <w:tcW w:w="5570" w:type="dxa"/>
          </w:tcPr>
          <w:p w14:paraId="7AC4DD68" w14:textId="77777777" w:rsidR="00676882" w:rsidRDefault="00676882" w:rsidP="00DF45FA">
            <w:pPr>
              <w:pStyle w:val="spacer"/>
            </w:pPr>
          </w:p>
        </w:tc>
        <w:tc>
          <w:tcPr>
            <w:tcW w:w="2366" w:type="dxa"/>
          </w:tcPr>
          <w:p w14:paraId="6D6EDF22" w14:textId="77777777" w:rsidR="00676882" w:rsidRDefault="00676882" w:rsidP="00DF45FA">
            <w:pPr>
              <w:pStyle w:val="spacer"/>
            </w:pPr>
          </w:p>
        </w:tc>
      </w:tr>
    </w:tbl>
    <w:p w14:paraId="43156076" w14:textId="77777777" w:rsidR="00676882" w:rsidRDefault="00676882" w:rsidP="00676882">
      <w:pPr>
        <w:pStyle w:val="BodyText"/>
      </w:pPr>
      <w:r>
        <w:t>Residential rental properties are relatively less energy efficient and insulated than non-rental properties. The result of this difference is that tenants have relatively more costly and less safe living conditions. Tenants and renters</w:t>
      </w:r>
      <w:r>
        <w:rPr>
          <w:rStyle w:val="FootnoteReference"/>
        </w:rPr>
        <w:footnoteReference w:id="1"/>
      </w:r>
      <w:r>
        <w:t>:</w:t>
      </w:r>
    </w:p>
    <w:p w14:paraId="262260B1" w14:textId="77777777" w:rsidR="00676882" w:rsidRDefault="00676882" w:rsidP="00676882">
      <w:pPr>
        <w:pStyle w:val="ListBullet"/>
      </w:pPr>
      <w:r>
        <w:t>have greater impacts on their health in hot and cold weather</w:t>
      </w:r>
    </w:p>
    <w:p w14:paraId="0FE42744" w14:textId="77777777" w:rsidR="00676882" w:rsidRDefault="00676882" w:rsidP="00676882">
      <w:pPr>
        <w:pStyle w:val="ListBullet"/>
      </w:pPr>
      <w:r>
        <w:t>have higher energy costs</w:t>
      </w:r>
    </w:p>
    <w:p w14:paraId="3EC321B0" w14:textId="77777777" w:rsidR="00676882" w:rsidRDefault="00676882" w:rsidP="00676882">
      <w:pPr>
        <w:pStyle w:val="ListBullet"/>
      </w:pPr>
      <w:r>
        <w:t>produce increased carbon emissions through higher energy use</w:t>
      </w:r>
    </w:p>
    <w:p w14:paraId="5EF02970" w14:textId="77777777" w:rsidR="00676882" w:rsidRDefault="00676882" w:rsidP="00676882">
      <w:pPr>
        <w:pStyle w:val="ListBullet"/>
      </w:pPr>
      <w:r>
        <w:t>have lower amenity and comfort.</w:t>
      </w:r>
    </w:p>
    <w:p w14:paraId="3E7298FC" w14:textId="77777777" w:rsidR="00676882" w:rsidRDefault="00676882" w:rsidP="00676882">
      <w:pPr>
        <w:pStyle w:val="BodyText"/>
      </w:pPr>
      <w:r>
        <w:t xml:space="preserve">These impacts are further felt throughout the community in environmental and health costs. Very often, poor energy-efficiency and thermal control mean that tenants </w:t>
      </w:r>
      <w:proofErr w:type="gramStart"/>
      <w:r>
        <w:t>have to</w:t>
      </w:r>
      <w:proofErr w:type="gramEnd"/>
      <w:r>
        <w:t xml:space="preserve"> decide between energy savings and the health and comfort of their household.</w:t>
      </w:r>
    </w:p>
    <w:p w14:paraId="4D63D995" w14:textId="77777777" w:rsidR="00676882" w:rsidRDefault="00676882" w:rsidP="00676882">
      <w:pPr>
        <w:pStyle w:val="ListBullet"/>
        <w:numPr>
          <w:ilvl w:val="0"/>
          <w:numId w:val="0"/>
        </w:numPr>
      </w:pPr>
      <w:r>
        <w:t>This chapter outlines the evidence on the nature and extent of the problems associated with poor thermal comfort in rental properties. It explores:</w:t>
      </w:r>
    </w:p>
    <w:p w14:paraId="0A9F0166" w14:textId="77777777" w:rsidR="00676882" w:rsidRDefault="00676882" w:rsidP="00676882">
      <w:pPr>
        <w:pStyle w:val="ListBullet"/>
      </w:pPr>
      <w:r>
        <w:t>the Canberra housing stock, and the rental stock in particular</w:t>
      </w:r>
    </w:p>
    <w:p w14:paraId="1105587C" w14:textId="77777777" w:rsidR="00676882" w:rsidRDefault="00676882" w:rsidP="00676882">
      <w:pPr>
        <w:pStyle w:val="ListBullet"/>
      </w:pPr>
      <w:r>
        <w:t>the evidence for the importance and prevalence of thermal comfort features in the rental stock</w:t>
      </w:r>
    </w:p>
    <w:p w14:paraId="152049E4" w14:textId="77777777" w:rsidR="00676882" w:rsidRDefault="00676882" w:rsidP="00676882">
      <w:pPr>
        <w:pStyle w:val="ListBullet"/>
      </w:pPr>
      <w:r>
        <w:t>the costs of poor thermal comfort in the rental stock, including the energy costs, environmental costs, amenity costs and health costs.</w:t>
      </w:r>
    </w:p>
    <w:p w14:paraId="12BF7630" w14:textId="77777777" w:rsidR="00676882" w:rsidRDefault="00676882" w:rsidP="00676882">
      <w:pPr>
        <w:pStyle w:val="Heading2"/>
      </w:pPr>
      <w:bookmarkStart w:id="14" w:name="_Toc74515412"/>
      <w:bookmarkStart w:id="15" w:name="_Toc75339638"/>
      <w:bookmarkStart w:id="16" w:name="_Toc75339729"/>
      <w:bookmarkStart w:id="17" w:name="_Toc75339742"/>
      <w:bookmarkStart w:id="18" w:name="_Toc75339755"/>
      <w:bookmarkStart w:id="19" w:name="_Toc80712574"/>
      <w:r>
        <w:t xml:space="preserve">The rental housing </w:t>
      </w:r>
      <w:proofErr w:type="gramStart"/>
      <w:r>
        <w:t>stock</w:t>
      </w:r>
      <w:bookmarkEnd w:id="14"/>
      <w:bookmarkEnd w:id="15"/>
      <w:bookmarkEnd w:id="16"/>
      <w:bookmarkEnd w:id="17"/>
      <w:bookmarkEnd w:id="18"/>
      <w:bookmarkEnd w:id="19"/>
      <w:proofErr w:type="gramEnd"/>
    </w:p>
    <w:p w14:paraId="5625D86B" w14:textId="77777777" w:rsidR="00676882" w:rsidRDefault="00676882" w:rsidP="00676882">
      <w:pPr>
        <w:pStyle w:val="BodyText"/>
      </w:pPr>
      <w:r>
        <w:t>More Canberran households are in rental properties than ever before. In the twenty years to 2017</w:t>
      </w:r>
      <w:r>
        <w:noBreakHyphen/>
        <w:t xml:space="preserve">18, the number of households in private rental properties almost doubled to 40,559. In 2017-18, more than one in four — 26.1 per cent — households were renting in the private market, an increase of 5 percentage points from 1994-95. Including public housing, one third — 34.1 per cent — of households were not living in properties they own in 2017-18, which is a similar proportion to 1994-95 (see </w:t>
      </w:r>
      <w:r w:rsidRPr="009E4AB1">
        <w:fldChar w:fldCharType="begin"/>
      </w:r>
      <w:r w:rsidRPr="009E4AB1">
        <w:instrText xml:space="preserve"> REF _Ref80479356 \h  \* MERGEFORMAT </w:instrText>
      </w:r>
      <w:r w:rsidRPr="009E4AB1">
        <w:fldChar w:fldCharType="separate"/>
      </w:r>
      <w:r w:rsidRPr="00F32FCC">
        <w:t>Figure 2.1</w:t>
      </w:r>
      <w:r w:rsidRPr="009E4AB1">
        <w:fldChar w:fldCharType="end"/>
      </w:r>
      <w:r>
        <w:t>).</w:t>
      </w:r>
    </w:p>
    <w:p w14:paraId="04EC5791" w14:textId="77777777" w:rsidR="00676882" w:rsidRDefault="00676882" w:rsidP="00676882">
      <w:pPr>
        <w:pStyle w:val="BodyText"/>
      </w:pPr>
    </w:p>
    <w:p w14:paraId="79E80F38" w14:textId="77777777" w:rsidR="00676882" w:rsidRDefault="00676882" w:rsidP="00676882">
      <w:pPr>
        <w:pStyle w:val="BodyText"/>
      </w:pPr>
    </w:p>
    <w:p w14:paraId="569CC45D" w14:textId="77777777" w:rsidR="00676882" w:rsidRDefault="00676882" w:rsidP="00676882">
      <w:pPr>
        <w:pStyle w:val="BodyText"/>
        <w:keepNext/>
        <w:keepLines/>
      </w:pPr>
      <w:bookmarkStart w:id="20" w:name="_Ref80479356"/>
      <w:bookmarkStart w:id="21" w:name="_Toc80719249"/>
      <w:r w:rsidRPr="00D172B3">
        <w:rPr>
          <w:rStyle w:val="CaptionLabel"/>
        </w:rPr>
        <w:lastRenderedPageBreak/>
        <w:t>Figure </w:t>
      </w:r>
      <w:r w:rsidRPr="00D172B3">
        <w:rPr>
          <w:rStyle w:val="CaptionLabel"/>
        </w:rPr>
        <w:fldChar w:fldCharType="begin"/>
      </w:r>
      <w:r w:rsidRPr="00D172B3">
        <w:rPr>
          <w:rStyle w:val="CaptionLabel"/>
        </w:rPr>
        <w:instrText xml:space="preserve"> STYLEREF 1 \S \* MERGEFORMAT </w:instrText>
      </w:r>
      <w:r w:rsidRPr="00D172B3">
        <w:rPr>
          <w:rStyle w:val="CaptionLabel"/>
        </w:rPr>
        <w:fldChar w:fldCharType="separate"/>
      </w:r>
      <w:r>
        <w:rPr>
          <w:rStyle w:val="CaptionLabel"/>
          <w:noProof/>
        </w:rPr>
        <w:t>2</w:t>
      </w:r>
      <w:r w:rsidRPr="00D172B3">
        <w:rPr>
          <w:rStyle w:val="CaptionLabel"/>
        </w:rPr>
        <w:fldChar w:fldCharType="end"/>
      </w:r>
      <w:r w:rsidRPr="00D172B3">
        <w:rPr>
          <w:rStyle w:val="CaptionLabel"/>
        </w:rPr>
        <w:t>.</w:t>
      </w:r>
      <w:r w:rsidRPr="00D172B3">
        <w:rPr>
          <w:rStyle w:val="CaptionLabel"/>
        </w:rPr>
        <w:fldChar w:fldCharType="begin"/>
      </w:r>
      <w:r w:rsidRPr="00D172B3">
        <w:rPr>
          <w:rStyle w:val="CaptionLabel"/>
        </w:rPr>
        <w:instrText xml:space="preserve"> SEQ Figure \* ARABIC \S 1 \* MERGEFORMAT </w:instrText>
      </w:r>
      <w:r w:rsidRPr="00D172B3">
        <w:rPr>
          <w:rStyle w:val="CaptionLabel"/>
        </w:rPr>
        <w:fldChar w:fldCharType="separate"/>
      </w:r>
      <w:r>
        <w:rPr>
          <w:rStyle w:val="CaptionLabel"/>
          <w:noProof/>
        </w:rPr>
        <w:t>1</w:t>
      </w:r>
      <w:r w:rsidRPr="00D172B3">
        <w:rPr>
          <w:rStyle w:val="CaptionLabel"/>
        </w:rPr>
        <w:fldChar w:fldCharType="end"/>
      </w:r>
      <w:bookmarkEnd w:id="20"/>
      <w:r>
        <w:tab/>
        <w:t xml:space="preserve">Breakdown of tenure and residential rental provider type, Canberra, 1994-95 to </w:t>
      </w:r>
      <w:r>
        <w:br/>
        <w:t>2017-18</w:t>
      </w:r>
      <w:bookmarkEnd w:id="21"/>
    </w:p>
    <w:p w14:paraId="572608B6" w14:textId="77777777" w:rsidR="00676882" w:rsidRDefault="00676882" w:rsidP="00676882">
      <w:pPr>
        <w:pStyle w:val="BodyText"/>
        <w:keepNext/>
        <w:keepLines/>
        <w:spacing w:after="0"/>
      </w:pPr>
      <w:r>
        <w:rPr>
          <w:noProof/>
        </w:rPr>
        <w:drawing>
          <wp:inline distT="0" distB="0" distL="0" distR="0" wp14:anchorId="0E47F5C6" wp14:editId="79AC589C">
            <wp:extent cx="4962525" cy="2590800"/>
            <wp:effectExtent l="0" t="0" r="9525" b="0"/>
            <wp:docPr id="547" name="Picture 547" descr="The figure shows the proportion of households in owner-occupier, private rental and public rental. It shows the portion in rental has slightly varied, but remained constant at around one-third of households. However, the portion in public housing has decreased, while the portion in private rental has increased to fill the g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Picture 626" descr="The figure shows the proportion of households in owner-occupier, private rental and public rental. It shows the portion in rental has slightly varied, but remained constant at around one-third of households. However, the portion in public housing has decreased, while the portion in private rental has increased to fill the gap."/>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962525" cy="2590800"/>
                    </a:xfrm>
                    <a:prstGeom prst="rect">
                      <a:avLst/>
                    </a:prstGeom>
                    <a:noFill/>
                  </pic:spPr>
                </pic:pic>
              </a:graphicData>
            </a:graphic>
          </wp:inline>
        </w:drawing>
      </w:r>
    </w:p>
    <w:p w14:paraId="692921A8" w14:textId="77777777" w:rsidR="00676882" w:rsidRPr="006B0263" w:rsidRDefault="00676882" w:rsidP="00676882">
      <w:pPr>
        <w:pStyle w:val="BodyText"/>
        <w:keepNext/>
        <w:keepLines/>
        <w:spacing w:before="0" w:line="20" w:lineRule="atLeast"/>
        <w:rPr>
          <w:i/>
          <w:color w:val="000100"/>
          <w:sz w:val="16"/>
        </w:rPr>
      </w:pPr>
      <w:r w:rsidRPr="006B0263">
        <w:rPr>
          <w:i/>
          <w:color w:val="000100"/>
          <w:sz w:val="16"/>
        </w:rPr>
        <w:t>Source: ABS, 4130.0 – Housing Occupancy and Costs, Australian Capital Territory, 1994-95 to 2017-18</w:t>
      </w:r>
    </w:p>
    <w:p w14:paraId="69FD0751" w14:textId="77777777" w:rsidR="00676882" w:rsidRDefault="00676882" w:rsidP="00676882">
      <w:pPr>
        <w:pStyle w:val="Heading3"/>
      </w:pPr>
      <w:bookmarkStart w:id="22" w:name="_Toc75339756"/>
      <w:r>
        <w:t>Thermal control in rental properties</w:t>
      </w:r>
      <w:bookmarkEnd w:id="22"/>
    </w:p>
    <w:p w14:paraId="2B0E8DBC" w14:textId="77777777" w:rsidR="00676882" w:rsidRDefault="00676882" w:rsidP="00676882">
      <w:pPr>
        <w:pStyle w:val="BodyText"/>
      </w:pPr>
      <w:r>
        <w:t>The ability to control the temperature of a residency is crucial for comfort and amenity, limiting energy costs, and subsequent health impacts on residents. To provide healthy and comfortable housing, tenants need the ability to control heating, cooling and ventilation. This control stems from thermal control features available at a residential property, including:</w:t>
      </w:r>
    </w:p>
    <w:p w14:paraId="686040EF" w14:textId="77777777" w:rsidR="00676882" w:rsidRDefault="00676882" w:rsidP="00676882">
      <w:pPr>
        <w:pStyle w:val="ListBullet"/>
      </w:pPr>
      <w:r>
        <w:t>insulation</w:t>
      </w:r>
    </w:p>
    <w:p w14:paraId="4FA7F048" w14:textId="77777777" w:rsidR="00676882" w:rsidRDefault="00676882" w:rsidP="00676882">
      <w:pPr>
        <w:pStyle w:val="ListBullet"/>
      </w:pPr>
      <w:r>
        <w:t>heating</w:t>
      </w:r>
    </w:p>
    <w:p w14:paraId="78B9E3BA" w14:textId="77777777" w:rsidR="00676882" w:rsidRDefault="00676882" w:rsidP="00676882">
      <w:pPr>
        <w:pStyle w:val="ListBullet"/>
      </w:pPr>
      <w:r>
        <w:t>cooling</w:t>
      </w:r>
    </w:p>
    <w:p w14:paraId="0E625427" w14:textId="77777777" w:rsidR="00676882" w:rsidRDefault="00676882" w:rsidP="00676882">
      <w:pPr>
        <w:pStyle w:val="ListBullet"/>
      </w:pPr>
      <w:r>
        <w:t>shading, for example external window shades or thick curtains</w:t>
      </w:r>
    </w:p>
    <w:p w14:paraId="6D432020" w14:textId="77777777" w:rsidR="00676882" w:rsidRDefault="00676882" w:rsidP="00676882">
      <w:pPr>
        <w:pStyle w:val="ListBullet"/>
      </w:pPr>
      <w:r>
        <w:t>controlled airflow through draught proofing and ventilation control.</w:t>
      </w:r>
    </w:p>
    <w:p w14:paraId="43346229" w14:textId="77777777" w:rsidR="00676882" w:rsidRDefault="00676882" w:rsidP="00676882">
      <w:pPr>
        <w:pStyle w:val="BodyText"/>
      </w:pPr>
      <w:r>
        <w:t xml:space="preserve">These thermal control features contribute to the energy efficiency of the property as well as the comfort and amenity to the tenants. In summer, these features work to cool houses. In winter, these work to keep houses warm. </w:t>
      </w:r>
    </w:p>
    <w:p w14:paraId="4BA6A685" w14:textId="77777777" w:rsidR="00676882" w:rsidRPr="00200A69" w:rsidRDefault="00676882" w:rsidP="00676882">
      <w:pPr>
        <w:pStyle w:val="BodyText"/>
      </w:pPr>
      <w:r>
        <w:t xml:space="preserve">These features work in concert, with a combination necessary to keep houses comfortable. For example, in an average sized uninsulated home, approximately 25-35 per cent of heat loss is through the ceiling </w:t>
      </w:r>
      <w:r>
        <w:rPr>
          <w:noProof/>
        </w:rPr>
        <w:t>(Energy Efficiency Council and Australian Sustainable Built Environment Council, 2021; Insulation Australasia, 2019)</w:t>
      </w:r>
      <w:r>
        <w:t xml:space="preserve">; while up to 25 per cent of heat loss in winter months comes through uncontrolled draughts </w:t>
      </w:r>
      <w:sdt>
        <w:sdtPr>
          <w:id w:val="-110517475"/>
          <w:citation/>
        </w:sdtPr>
        <w:sdtContent>
          <w:r>
            <w:fldChar w:fldCharType="begin"/>
          </w:r>
          <w:r>
            <w:instrText xml:space="preserve"> CITATION Sus16 \l 3081 </w:instrText>
          </w:r>
          <w:r>
            <w:fldChar w:fldCharType="separate"/>
          </w:r>
          <w:r>
            <w:rPr>
              <w:noProof/>
            </w:rPr>
            <w:t>(Sustainability Victoria, 2016)</w:t>
          </w:r>
          <w:r>
            <w:fldChar w:fldCharType="end"/>
          </w:r>
        </w:sdtContent>
      </w:sdt>
      <w:r>
        <w:t xml:space="preserve">. Accordingly, </w:t>
      </w:r>
      <w:proofErr w:type="gramStart"/>
      <w:r>
        <w:t>all of</w:t>
      </w:r>
      <w:proofErr w:type="gramEnd"/>
      <w:r>
        <w:t xml:space="preserve"> these features are necessary. For example, adding energy efficient heaters to a draughty house is much less effective compared with adding energy efficient heaters to a well-sealed house.</w:t>
      </w:r>
    </w:p>
    <w:p w14:paraId="534F1E2C" w14:textId="77777777" w:rsidR="00676882" w:rsidRDefault="00676882" w:rsidP="00676882">
      <w:pPr>
        <w:pStyle w:val="Heading4"/>
      </w:pPr>
      <w:r>
        <w:t>Thermal control features in rental properties</w:t>
      </w:r>
    </w:p>
    <w:p w14:paraId="1D45605E" w14:textId="77777777" w:rsidR="00676882" w:rsidRDefault="00676882" w:rsidP="00676882">
      <w:pPr>
        <w:pStyle w:val="BodyText"/>
      </w:pPr>
      <w:r>
        <w:t xml:space="preserve">There are no recent widespread studies into the prevalence of ceiling insulation, draught sealing, and energy efficient heaters and coolers in the Canberra housing stock. Surveys suggest that experiences of thermal control features are mixed — though, is likely worse in rental properties, and much worse in low-income rental properties. </w:t>
      </w:r>
    </w:p>
    <w:p w14:paraId="098EBC96" w14:textId="77777777" w:rsidR="00676882" w:rsidRDefault="00676882" w:rsidP="00676882">
      <w:pPr>
        <w:pStyle w:val="BodyText"/>
      </w:pPr>
      <w:r>
        <w:t xml:space="preserve">ACIL Allen asked Canberran residents about the perceived energy-efficiency of their property (see Appendix </w:t>
      </w:r>
      <w:r w:rsidRPr="009E4AB1">
        <w:fldChar w:fldCharType="begin"/>
      </w:r>
      <w:r w:rsidRPr="009E4AB1">
        <w:instrText xml:space="preserve"> REF _Ref75434654 \r \h  \* MERGEFORMAT </w:instrText>
      </w:r>
      <w:r w:rsidRPr="009E4AB1">
        <w:fldChar w:fldCharType="separate"/>
      </w:r>
      <w:r>
        <w:t>F</w:t>
      </w:r>
      <w:r w:rsidRPr="009E4AB1">
        <w:fldChar w:fldCharType="end"/>
      </w:r>
      <w:r>
        <w:t xml:space="preserve">). On a scale from 0 to 10, tenants rated the energy efficiency of their property as 3.63 </w:t>
      </w:r>
      <w:r>
        <w:lastRenderedPageBreak/>
        <w:t>on average — almost half rated their property between 0 and 3. Only eight per cent rated their property 8 or above. In comparison, owner-occupiers rated their property as 5.12 on average.</w:t>
      </w:r>
    </w:p>
    <w:p w14:paraId="43E57014" w14:textId="77777777" w:rsidR="00676882" w:rsidRDefault="00676882" w:rsidP="00676882">
      <w:pPr>
        <w:pStyle w:val="BodyText"/>
      </w:pPr>
      <w:r>
        <w:t xml:space="preserve">In 2016, the Victorian Government commissioned research into the experience of tenants. While </w:t>
      </w:r>
      <w:proofErr w:type="gramStart"/>
      <w:r>
        <w:t>the majority of</w:t>
      </w:r>
      <w:proofErr w:type="gramEnd"/>
      <w:r>
        <w:t xml:space="preserve"> tenants have positive experiences (as much as 73 per cent of tenants), results were worse, however, among concession card holders and those with a disability or health condition (64 per cent and 54 per cent, respectively) </w:t>
      </w:r>
      <w:sdt>
        <w:sdtPr>
          <w:id w:val="2074076514"/>
          <w:citation/>
        </w:sdtPr>
        <w:sdtContent>
          <w:r>
            <w:fldChar w:fldCharType="begin"/>
          </w:r>
          <w:r>
            <w:instrText xml:space="preserve"> CITATION EYS16 \l 3081 </w:instrText>
          </w:r>
          <w:r>
            <w:fldChar w:fldCharType="separate"/>
          </w:r>
          <w:r>
            <w:rPr>
              <w:noProof/>
            </w:rPr>
            <w:t>(EY Sweeney, 2016)</w:t>
          </w:r>
          <w:r>
            <w:fldChar w:fldCharType="end"/>
          </w:r>
        </w:sdtContent>
      </w:sdt>
      <w:r>
        <w:t xml:space="preserve">. According to a 2018 CHOICE survey, as much as 36 per cent of tenants had trouble keeping their home cool or warm </w:t>
      </w:r>
      <w:sdt>
        <w:sdtPr>
          <w:id w:val="-346031003"/>
          <w:citation/>
        </w:sdtPr>
        <w:sdtContent>
          <w:r>
            <w:fldChar w:fldCharType="begin"/>
          </w:r>
          <w:r>
            <w:instrText xml:space="preserve"> CITATION CHO18 \l 3081 </w:instrText>
          </w:r>
          <w:r>
            <w:fldChar w:fldCharType="separate"/>
          </w:r>
          <w:r>
            <w:rPr>
              <w:noProof/>
            </w:rPr>
            <w:t>(CHOICE, 2018)</w:t>
          </w:r>
          <w:r>
            <w:fldChar w:fldCharType="end"/>
          </w:r>
        </w:sdtContent>
      </w:sdt>
      <w:r>
        <w:t xml:space="preserve">. </w:t>
      </w:r>
    </w:p>
    <w:p w14:paraId="540981D6" w14:textId="77777777" w:rsidR="00676882" w:rsidRDefault="00676882" w:rsidP="00676882">
      <w:pPr>
        <w:pStyle w:val="BodyText"/>
      </w:pPr>
      <w:r>
        <w:t>The housing stock in Australia is relatively poor, in terms of thermal control. The Residential Efficiency Scorecard provides verified information on the energy efficiency of residential properties in Victoria, which has similar climate conditions to the ACT, though a generally older housing stock. In the 2019 report of results from 1,870 scorecard assessments, the data show</w:t>
      </w:r>
      <w:sdt>
        <w:sdtPr>
          <w:id w:val="-1591086481"/>
          <w:citation/>
        </w:sdtPr>
        <w:sdtContent>
          <w:r>
            <w:fldChar w:fldCharType="begin"/>
          </w:r>
          <w:r>
            <w:instrText xml:space="preserve"> CITATION Vic19 \l 3081 </w:instrText>
          </w:r>
          <w:r>
            <w:fldChar w:fldCharType="separate"/>
          </w:r>
          <w:r>
            <w:rPr>
              <w:noProof/>
            </w:rPr>
            <w:t xml:space="preserve"> (Victorian Residential Efficiency Scorecard Team, 2019)</w:t>
          </w:r>
          <w:r>
            <w:fldChar w:fldCharType="end"/>
          </w:r>
        </w:sdtContent>
      </w:sdt>
      <w:r>
        <w:t>:</w:t>
      </w:r>
    </w:p>
    <w:p w14:paraId="0BC6CF07" w14:textId="77777777" w:rsidR="00676882" w:rsidRDefault="00676882" w:rsidP="00676882">
      <w:pPr>
        <w:pStyle w:val="ListBullet"/>
      </w:pPr>
      <w:r w:rsidRPr="000D570C">
        <w:rPr>
          <w:b/>
          <w:bCs/>
        </w:rPr>
        <w:t>85</w:t>
      </w:r>
      <w:r>
        <w:rPr>
          <w:b/>
          <w:bCs/>
        </w:rPr>
        <w:t xml:space="preserve"> </w:t>
      </w:r>
      <w:r w:rsidRPr="000D570C">
        <w:rPr>
          <w:b/>
          <w:bCs/>
        </w:rPr>
        <w:t>per</w:t>
      </w:r>
      <w:r>
        <w:rPr>
          <w:b/>
          <w:bCs/>
        </w:rPr>
        <w:t xml:space="preserve"> </w:t>
      </w:r>
      <w:r w:rsidRPr="000D570C">
        <w:rPr>
          <w:b/>
          <w:bCs/>
        </w:rPr>
        <w:t>cent</w:t>
      </w:r>
      <w:r>
        <w:rPr>
          <w:b/>
          <w:bCs/>
        </w:rPr>
        <w:t xml:space="preserve"> </w:t>
      </w:r>
      <w:r w:rsidRPr="000D570C">
        <w:rPr>
          <w:b/>
          <w:bCs/>
        </w:rPr>
        <w:t>of</w:t>
      </w:r>
      <w:r>
        <w:rPr>
          <w:b/>
          <w:bCs/>
        </w:rPr>
        <w:t xml:space="preserve"> </w:t>
      </w:r>
      <w:r w:rsidRPr="000D570C">
        <w:rPr>
          <w:b/>
          <w:bCs/>
        </w:rPr>
        <w:t>properties</w:t>
      </w:r>
      <w:r>
        <w:rPr>
          <w:b/>
          <w:bCs/>
        </w:rPr>
        <w:t xml:space="preserve"> </w:t>
      </w:r>
      <w:r w:rsidRPr="000D570C">
        <w:rPr>
          <w:b/>
          <w:bCs/>
        </w:rPr>
        <w:t>had</w:t>
      </w:r>
      <w:r>
        <w:rPr>
          <w:b/>
          <w:bCs/>
        </w:rPr>
        <w:t xml:space="preserve"> </w:t>
      </w:r>
      <w:r w:rsidRPr="000D570C">
        <w:rPr>
          <w:b/>
          <w:bCs/>
        </w:rPr>
        <w:t>the</w:t>
      </w:r>
      <w:r>
        <w:rPr>
          <w:b/>
          <w:bCs/>
        </w:rPr>
        <w:t xml:space="preserve"> </w:t>
      </w:r>
      <w:r w:rsidRPr="000D570C">
        <w:rPr>
          <w:b/>
          <w:bCs/>
        </w:rPr>
        <w:t>worst</w:t>
      </w:r>
      <w:r>
        <w:rPr>
          <w:b/>
          <w:bCs/>
        </w:rPr>
        <w:t xml:space="preserve"> </w:t>
      </w:r>
      <w:r w:rsidRPr="000D570C">
        <w:rPr>
          <w:b/>
          <w:bCs/>
        </w:rPr>
        <w:t>possible</w:t>
      </w:r>
      <w:r>
        <w:rPr>
          <w:b/>
          <w:bCs/>
        </w:rPr>
        <w:t xml:space="preserve"> </w:t>
      </w:r>
      <w:r w:rsidRPr="000D570C">
        <w:rPr>
          <w:b/>
          <w:bCs/>
        </w:rPr>
        <w:t>rating</w:t>
      </w:r>
      <w:r>
        <w:rPr>
          <w:b/>
          <w:bCs/>
        </w:rPr>
        <w:t xml:space="preserve"> </w:t>
      </w:r>
      <w:r w:rsidRPr="000D570C">
        <w:rPr>
          <w:b/>
          <w:bCs/>
        </w:rPr>
        <w:t>for</w:t>
      </w:r>
      <w:r>
        <w:rPr>
          <w:b/>
          <w:bCs/>
        </w:rPr>
        <w:t xml:space="preserve"> </w:t>
      </w:r>
      <w:r w:rsidRPr="000D570C">
        <w:rPr>
          <w:b/>
          <w:bCs/>
        </w:rPr>
        <w:t>cooling</w:t>
      </w:r>
      <w:r>
        <w:rPr>
          <w:b/>
          <w:bCs/>
        </w:rPr>
        <w:t xml:space="preserve"> </w:t>
      </w:r>
      <w:r w:rsidRPr="000D570C">
        <w:t>during</w:t>
      </w:r>
      <w:r>
        <w:t xml:space="preserve"> </w:t>
      </w:r>
      <w:r w:rsidRPr="000D570C">
        <w:t>hot</w:t>
      </w:r>
      <w:r>
        <w:t xml:space="preserve"> </w:t>
      </w:r>
      <w:r w:rsidRPr="000D570C">
        <w:t>weather,</w:t>
      </w:r>
      <w:r>
        <w:t xml:space="preserve"> suggesting it is expensive or impossible to cool these properties. The most common issues identified were poor insulation, draughtiness and no external window shading.</w:t>
      </w:r>
    </w:p>
    <w:p w14:paraId="650102AD" w14:textId="77777777" w:rsidR="00676882" w:rsidRPr="00434EC2" w:rsidRDefault="00676882" w:rsidP="00676882">
      <w:pPr>
        <w:pStyle w:val="ListBullet2"/>
      </w:pPr>
      <w:r w:rsidRPr="00F61285">
        <w:t>20</w:t>
      </w:r>
      <w:r>
        <w:t xml:space="preserve"> </w:t>
      </w:r>
      <w:r w:rsidRPr="00F61285">
        <w:t>per</w:t>
      </w:r>
      <w:r>
        <w:t xml:space="preserve"> </w:t>
      </w:r>
      <w:r w:rsidRPr="00F61285">
        <w:t>cent</w:t>
      </w:r>
      <w:r>
        <w:t xml:space="preserve"> </w:t>
      </w:r>
      <w:r w:rsidRPr="00F61285">
        <w:t>of</w:t>
      </w:r>
      <w:r>
        <w:t xml:space="preserve"> </w:t>
      </w:r>
      <w:r w:rsidRPr="00F61285">
        <w:t>properties</w:t>
      </w:r>
      <w:r>
        <w:t xml:space="preserve"> </w:t>
      </w:r>
      <w:r w:rsidRPr="00F61285">
        <w:t>ha</w:t>
      </w:r>
      <w:r>
        <w:t xml:space="preserve">d </w:t>
      </w:r>
      <w:r w:rsidRPr="00F61285">
        <w:t>no</w:t>
      </w:r>
      <w:r>
        <w:t xml:space="preserve"> </w:t>
      </w:r>
      <w:r w:rsidRPr="00F61285">
        <w:t>fixed</w:t>
      </w:r>
      <w:r>
        <w:t xml:space="preserve"> </w:t>
      </w:r>
      <w:r w:rsidRPr="00F61285">
        <w:t>cooling</w:t>
      </w:r>
      <w:r w:rsidRPr="00434EC2">
        <w:t>.</w:t>
      </w:r>
    </w:p>
    <w:p w14:paraId="72D09D75" w14:textId="77777777" w:rsidR="00676882" w:rsidRDefault="00676882" w:rsidP="00676882">
      <w:pPr>
        <w:pStyle w:val="ListBullet"/>
      </w:pPr>
      <w:r w:rsidRPr="000D570C">
        <w:rPr>
          <w:b/>
          <w:bCs/>
        </w:rPr>
        <w:t>75</w:t>
      </w:r>
      <w:r>
        <w:rPr>
          <w:b/>
          <w:bCs/>
        </w:rPr>
        <w:t xml:space="preserve"> </w:t>
      </w:r>
      <w:r w:rsidRPr="000D570C">
        <w:rPr>
          <w:b/>
          <w:bCs/>
        </w:rPr>
        <w:t>per</w:t>
      </w:r>
      <w:r>
        <w:rPr>
          <w:b/>
          <w:bCs/>
        </w:rPr>
        <w:t xml:space="preserve"> </w:t>
      </w:r>
      <w:r w:rsidRPr="000D570C">
        <w:rPr>
          <w:b/>
          <w:bCs/>
        </w:rPr>
        <w:t>cent</w:t>
      </w:r>
      <w:r>
        <w:rPr>
          <w:b/>
          <w:bCs/>
        </w:rPr>
        <w:t xml:space="preserve"> </w:t>
      </w:r>
      <w:r w:rsidRPr="000D570C">
        <w:rPr>
          <w:b/>
          <w:bCs/>
        </w:rPr>
        <w:t>of</w:t>
      </w:r>
      <w:r>
        <w:rPr>
          <w:b/>
          <w:bCs/>
        </w:rPr>
        <w:t xml:space="preserve"> </w:t>
      </w:r>
      <w:r w:rsidRPr="000D570C">
        <w:rPr>
          <w:b/>
          <w:bCs/>
        </w:rPr>
        <w:t>properties</w:t>
      </w:r>
      <w:r>
        <w:rPr>
          <w:b/>
          <w:bCs/>
        </w:rPr>
        <w:t xml:space="preserve"> </w:t>
      </w:r>
      <w:r w:rsidRPr="000D570C">
        <w:rPr>
          <w:b/>
          <w:bCs/>
        </w:rPr>
        <w:t>had</w:t>
      </w:r>
      <w:r>
        <w:rPr>
          <w:b/>
          <w:bCs/>
        </w:rPr>
        <w:t xml:space="preserve"> </w:t>
      </w:r>
      <w:r w:rsidRPr="000D570C">
        <w:rPr>
          <w:b/>
          <w:bCs/>
        </w:rPr>
        <w:t>low</w:t>
      </w:r>
      <w:r>
        <w:rPr>
          <w:b/>
          <w:bCs/>
        </w:rPr>
        <w:t xml:space="preserve"> </w:t>
      </w:r>
      <w:r w:rsidRPr="000D570C">
        <w:rPr>
          <w:b/>
          <w:bCs/>
        </w:rPr>
        <w:t>or</w:t>
      </w:r>
      <w:r>
        <w:rPr>
          <w:b/>
          <w:bCs/>
        </w:rPr>
        <w:t xml:space="preserve"> </w:t>
      </w:r>
      <w:r w:rsidRPr="000D570C">
        <w:rPr>
          <w:b/>
          <w:bCs/>
        </w:rPr>
        <w:t>very</w:t>
      </w:r>
      <w:r>
        <w:rPr>
          <w:b/>
          <w:bCs/>
        </w:rPr>
        <w:t xml:space="preserve"> </w:t>
      </w:r>
      <w:r w:rsidRPr="000D570C">
        <w:rPr>
          <w:b/>
          <w:bCs/>
        </w:rPr>
        <w:t>low</w:t>
      </w:r>
      <w:r>
        <w:rPr>
          <w:b/>
          <w:bCs/>
        </w:rPr>
        <w:t xml:space="preserve"> </w:t>
      </w:r>
      <w:r w:rsidRPr="000D570C">
        <w:rPr>
          <w:b/>
          <w:bCs/>
        </w:rPr>
        <w:t>ratings</w:t>
      </w:r>
      <w:r>
        <w:rPr>
          <w:b/>
          <w:bCs/>
        </w:rPr>
        <w:t xml:space="preserve"> </w:t>
      </w:r>
      <w:r w:rsidRPr="000D570C">
        <w:rPr>
          <w:b/>
          <w:bCs/>
        </w:rPr>
        <w:t>for</w:t>
      </w:r>
      <w:r>
        <w:rPr>
          <w:b/>
          <w:bCs/>
        </w:rPr>
        <w:t xml:space="preserve"> </w:t>
      </w:r>
      <w:r w:rsidRPr="000D570C">
        <w:rPr>
          <w:b/>
          <w:bCs/>
        </w:rPr>
        <w:t>keeping</w:t>
      </w:r>
      <w:r>
        <w:rPr>
          <w:b/>
          <w:bCs/>
        </w:rPr>
        <w:t xml:space="preserve"> </w:t>
      </w:r>
      <w:r w:rsidRPr="000D570C">
        <w:rPr>
          <w:b/>
          <w:bCs/>
        </w:rPr>
        <w:t>warm</w:t>
      </w:r>
      <w:r>
        <w:rPr>
          <w:b/>
          <w:bCs/>
        </w:rPr>
        <w:t xml:space="preserve"> </w:t>
      </w:r>
      <w:r>
        <w:t>during cold weather, where poor insulation and low air tightness (draughts) were the major cause.</w:t>
      </w:r>
    </w:p>
    <w:p w14:paraId="48357FF3" w14:textId="77777777" w:rsidR="00676882" w:rsidRDefault="00676882" w:rsidP="00676882">
      <w:pPr>
        <w:pStyle w:val="ListBullet2"/>
      </w:pPr>
      <w:r>
        <w:t>29 per cent of properties used a very low or low efficiency heater.</w:t>
      </w:r>
    </w:p>
    <w:p w14:paraId="477A5D3A" w14:textId="77777777" w:rsidR="00676882" w:rsidRDefault="00676882" w:rsidP="00676882">
      <w:pPr>
        <w:pStyle w:val="ListBullet"/>
      </w:pPr>
      <w:r>
        <w:rPr>
          <w:b/>
          <w:bCs/>
        </w:rPr>
        <w:t>41 per cent of properties had ceiling insulation of R1.5 or less</w:t>
      </w:r>
      <w:r>
        <w:t>, with 8 per cent of properties with no ceiling insulation installed whatsoever.</w:t>
      </w:r>
    </w:p>
    <w:p w14:paraId="3C574CA4" w14:textId="77777777" w:rsidR="00676882" w:rsidRDefault="00676882" w:rsidP="00676882">
      <w:pPr>
        <w:pStyle w:val="BodyText"/>
      </w:pPr>
      <w:r>
        <w:t xml:space="preserve">The Scorecard analysis is consistent with our survey of ACT tenants. According to the responses, energy efficient features and appliances are available in some rental properties though not in all. Around half of rental properties had common features like energy-efficient lighting, heat-pumps, or thick curtains. However, less than 10 per cent had double-glazed windows, now a very common energy efficient fitting in newer buildings (see </w:t>
      </w:r>
      <w:r w:rsidRPr="009E4AB1">
        <w:fldChar w:fldCharType="begin"/>
      </w:r>
      <w:r w:rsidRPr="009E4AB1">
        <w:instrText xml:space="preserve"> REF _Ref80694298 \h  \* MERGEFORMAT </w:instrText>
      </w:r>
      <w:r w:rsidRPr="009E4AB1">
        <w:fldChar w:fldCharType="separate"/>
      </w:r>
      <w:r w:rsidRPr="00F32FCC">
        <w:t>Figure 2.2</w:t>
      </w:r>
      <w:r w:rsidRPr="009E4AB1">
        <w:fldChar w:fldCharType="end"/>
      </w:r>
      <w:r>
        <w:t>).</w:t>
      </w:r>
    </w:p>
    <w:p w14:paraId="7C240FDC" w14:textId="77777777" w:rsidR="00676882" w:rsidRDefault="00676882" w:rsidP="00676882">
      <w:pPr>
        <w:pStyle w:val="BodyText"/>
      </w:pPr>
      <w:bookmarkStart w:id="23" w:name="_Ref80694298"/>
      <w:bookmarkStart w:id="24" w:name="_Toc80719250"/>
      <w:r w:rsidRPr="00317FC0">
        <w:rPr>
          <w:rStyle w:val="CaptionLabel"/>
        </w:rPr>
        <w:t>Figure </w:t>
      </w:r>
      <w:r w:rsidRPr="00317FC0">
        <w:rPr>
          <w:rStyle w:val="CaptionLabel"/>
        </w:rPr>
        <w:fldChar w:fldCharType="begin"/>
      </w:r>
      <w:r w:rsidRPr="00317FC0">
        <w:rPr>
          <w:rStyle w:val="CaptionLabel"/>
        </w:rPr>
        <w:instrText xml:space="preserve"> STYLEREF 1 \S \* MERGEFORMAT </w:instrText>
      </w:r>
      <w:r w:rsidRPr="00317FC0">
        <w:rPr>
          <w:rStyle w:val="CaptionLabel"/>
        </w:rPr>
        <w:fldChar w:fldCharType="separate"/>
      </w:r>
      <w:r>
        <w:rPr>
          <w:rStyle w:val="CaptionLabel"/>
          <w:noProof/>
        </w:rPr>
        <w:t>2</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 \* ARABIC \S 1 \* MERGEFORMAT </w:instrText>
      </w:r>
      <w:r w:rsidRPr="00317FC0">
        <w:rPr>
          <w:rStyle w:val="CaptionLabel"/>
        </w:rPr>
        <w:fldChar w:fldCharType="separate"/>
      </w:r>
      <w:r>
        <w:rPr>
          <w:rStyle w:val="CaptionLabel"/>
          <w:noProof/>
        </w:rPr>
        <w:t>2</w:t>
      </w:r>
      <w:r w:rsidRPr="00317FC0">
        <w:rPr>
          <w:rStyle w:val="CaptionLabel"/>
        </w:rPr>
        <w:fldChar w:fldCharType="end"/>
      </w:r>
      <w:bookmarkEnd w:id="23"/>
      <w:r>
        <w:tab/>
        <w:t>Energy efficient features and appliances in rental properties</w:t>
      </w:r>
      <w:bookmarkEnd w:id="24"/>
    </w:p>
    <w:p w14:paraId="0E81546D" w14:textId="77777777" w:rsidR="00676882" w:rsidRDefault="00676882" w:rsidP="00676882">
      <w:pPr>
        <w:pStyle w:val="BodyText"/>
        <w:spacing w:after="0"/>
      </w:pPr>
      <w:r>
        <w:rPr>
          <w:noProof/>
        </w:rPr>
        <w:drawing>
          <wp:inline distT="0" distB="0" distL="0" distR="0" wp14:anchorId="63D054E7" wp14:editId="4A56020D">
            <wp:extent cx="5019675" cy="2283123"/>
            <wp:effectExtent l="0" t="0" r="0" b="0"/>
            <wp:docPr id="549" name="Picture 549" descr="The figure shows a series of energy efficiency features in rental properties: ceiling insulation, double-glazed windows, efficient gas heaters, energy efficient lighting, external window shadings, fitted draught proofing, floor insulation, heat pumps, heat pump water heaters, rooftop photo-voltaic, solar water heater, thick curtains, block out blinds, wall insulation, wood heaters.&#10;&#10;It shows that most are not present in the rental properties surveyed. &#10;&#10;The most common which are present are energy efficient lighting, heat pumps, and thick cur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Picture 549" descr="The figure shows a series of energy efficiency features in rental properties: ceiling insulation, double-glazed windows, efficient gas heaters, energy efficient lighting, external window shadings, fitted draught proofing, floor insulation, heat pumps, heat pump water heaters, rooftop photo-voltaic, solar water heater, thick curtains, block out blinds, wall insulation, wood heaters.&#10;&#10;It shows that most are not present in the rental properties surveyed. &#10;&#10;The most common which are present are energy efficient lighting, heat pumps, and thick curtains."/>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023787" cy="2284993"/>
                    </a:xfrm>
                    <a:prstGeom prst="rect">
                      <a:avLst/>
                    </a:prstGeom>
                    <a:noFill/>
                  </pic:spPr>
                </pic:pic>
              </a:graphicData>
            </a:graphic>
          </wp:inline>
        </w:drawing>
      </w:r>
    </w:p>
    <w:p w14:paraId="1290837C" w14:textId="77777777" w:rsidR="00676882" w:rsidRPr="006B0263" w:rsidRDefault="00676882" w:rsidP="00676882">
      <w:pPr>
        <w:pStyle w:val="BodyText"/>
        <w:keepNext/>
        <w:keepLines/>
        <w:spacing w:before="0" w:line="20" w:lineRule="atLeast"/>
        <w:rPr>
          <w:i/>
          <w:color w:val="000100"/>
          <w:sz w:val="16"/>
        </w:rPr>
      </w:pPr>
      <w:r w:rsidRPr="006B0263">
        <w:rPr>
          <w:i/>
          <w:color w:val="000100"/>
          <w:sz w:val="16"/>
        </w:rPr>
        <w:t>Source: ACIL Allen</w:t>
      </w:r>
    </w:p>
    <w:p w14:paraId="4D10F421" w14:textId="77777777" w:rsidR="00676882" w:rsidRDefault="00676882" w:rsidP="00676882">
      <w:pPr>
        <w:pStyle w:val="BodyText"/>
      </w:pPr>
      <w:r>
        <w:t xml:space="preserve">Heating and cooling in rental properties is commonly </w:t>
      </w:r>
      <w:proofErr w:type="gramStart"/>
      <w:r>
        <w:t>energy-inefficient</w:t>
      </w:r>
      <w:proofErr w:type="gramEnd"/>
      <w:r>
        <w:t xml:space="preserve">. A relatively large portion (73 per cent) of tenants heat their homes using less efficient resistance heating. The second most common form of heating is reverse-cycle split system air conditioners. Only 27 per cent of tenants used gas heating appliances (see </w:t>
      </w:r>
      <w:r w:rsidRPr="009E4AB1">
        <w:fldChar w:fldCharType="begin"/>
      </w:r>
      <w:r w:rsidRPr="009E4AB1">
        <w:instrText xml:space="preserve"> REF _Ref80694307 \h  \* MERGEFORMAT </w:instrText>
      </w:r>
      <w:r w:rsidRPr="009E4AB1">
        <w:fldChar w:fldCharType="separate"/>
      </w:r>
      <w:r w:rsidRPr="00F32FCC">
        <w:t>Figure 2.3</w:t>
      </w:r>
      <w:r w:rsidRPr="009E4AB1">
        <w:fldChar w:fldCharType="end"/>
      </w:r>
      <w:r>
        <w:t>). Approximately 60 per cent of tenants use portable electric fans to cool their homes. Approximately the same proportion of tenants use air conditioner units to cool their homes as do heat them (44 per cent).</w:t>
      </w:r>
    </w:p>
    <w:p w14:paraId="1E7265CA" w14:textId="77777777" w:rsidR="00676882" w:rsidRDefault="00676882" w:rsidP="00676882">
      <w:pPr>
        <w:pStyle w:val="BodyText"/>
      </w:pPr>
      <w:bookmarkStart w:id="25" w:name="_Ref80694307"/>
      <w:bookmarkStart w:id="26" w:name="_Toc80719251"/>
      <w:r w:rsidRPr="00FF10AF">
        <w:rPr>
          <w:rStyle w:val="CaptionLabel"/>
        </w:rPr>
        <w:lastRenderedPageBreak/>
        <w:t>Figure </w:t>
      </w:r>
      <w:r w:rsidRPr="00FF10AF">
        <w:rPr>
          <w:rStyle w:val="CaptionLabel"/>
        </w:rPr>
        <w:fldChar w:fldCharType="begin"/>
      </w:r>
      <w:r w:rsidRPr="00FF10AF">
        <w:rPr>
          <w:rStyle w:val="CaptionLabel"/>
        </w:rPr>
        <w:instrText xml:space="preserve"> STYLEREF 1 \S \* MERGEFORMAT </w:instrText>
      </w:r>
      <w:r w:rsidRPr="00FF10AF">
        <w:rPr>
          <w:rStyle w:val="CaptionLabel"/>
        </w:rPr>
        <w:fldChar w:fldCharType="separate"/>
      </w:r>
      <w:r>
        <w:rPr>
          <w:rStyle w:val="CaptionLabel"/>
          <w:noProof/>
        </w:rPr>
        <w:t>2</w:t>
      </w:r>
      <w:r w:rsidRPr="00FF10AF">
        <w:rPr>
          <w:rStyle w:val="CaptionLabel"/>
        </w:rPr>
        <w:fldChar w:fldCharType="end"/>
      </w:r>
      <w:r w:rsidRPr="00FF10AF">
        <w:rPr>
          <w:rStyle w:val="CaptionLabel"/>
        </w:rPr>
        <w:t>.</w:t>
      </w:r>
      <w:r w:rsidRPr="00FF10AF">
        <w:rPr>
          <w:rStyle w:val="CaptionLabel"/>
        </w:rPr>
        <w:fldChar w:fldCharType="begin"/>
      </w:r>
      <w:r w:rsidRPr="00FF10AF">
        <w:rPr>
          <w:rStyle w:val="CaptionLabel"/>
        </w:rPr>
        <w:instrText xml:space="preserve"> SEQ Figure \* ARABIC \S 1 \* MERGEFORMAT </w:instrText>
      </w:r>
      <w:r w:rsidRPr="00FF10AF">
        <w:rPr>
          <w:rStyle w:val="CaptionLabel"/>
        </w:rPr>
        <w:fldChar w:fldCharType="separate"/>
      </w:r>
      <w:r>
        <w:rPr>
          <w:rStyle w:val="CaptionLabel"/>
          <w:noProof/>
        </w:rPr>
        <w:t>3</w:t>
      </w:r>
      <w:r w:rsidRPr="00FF10AF">
        <w:rPr>
          <w:rStyle w:val="CaptionLabel"/>
        </w:rPr>
        <w:fldChar w:fldCharType="end"/>
      </w:r>
      <w:bookmarkEnd w:id="25"/>
      <w:r>
        <w:tab/>
        <w:t>Method for heating rental properties</w:t>
      </w:r>
      <w:bookmarkEnd w:id="26"/>
    </w:p>
    <w:p w14:paraId="25B7BB05" w14:textId="77777777" w:rsidR="00676882" w:rsidRDefault="00676882" w:rsidP="00676882">
      <w:pPr>
        <w:pStyle w:val="BodyText"/>
        <w:spacing w:after="0"/>
      </w:pPr>
      <w:r>
        <w:rPr>
          <w:noProof/>
        </w:rPr>
        <w:drawing>
          <wp:inline distT="0" distB="0" distL="0" distR="0" wp14:anchorId="60998849" wp14:editId="7D0E3102">
            <wp:extent cx="5039360" cy="2144041"/>
            <wp:effectExtent l="0" t="0" r="0" b="8890"/>
            <wp:docPr id="551" name="Picture 551" descr="The figure shows portable resistance electric heaters are used in more than half of all rental properties. The second most common is heat pumps, which are used in about 40 per cent of properties. About 20 per cent use gas ducted heating. All other types of heaters are used between 5 and ten per cent of rental proper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 name="Picture 551" descr="The figure shows portable resistance electric heaters are used in more than half of all rental properties. The second most common is heat pumps, which are used in about 40 per cent of properties. About 20 per cent use gas ducted heating. All other types of heaters are used between 5 and ten per cent of rental propertie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039360" cy="2144041"/>
                    </a:xfrm>
                    <a:prstGeom prst="rect">
                      <a:avLst/>
                    </a:prstGeom>
                    <a:noFill/>
                  </pic:spPr>
                </pic:pic>
              </a:graphicData>
            </a:graphic>
          </wp:inline>
        </w:drawing>
      </w:r>
    </w:p>
    <w:p w14:paraId="148E70FB" w14:textId="77777777" w:rsidR="00676882" w:rsidRPr="006B0263" w:rsidRDefault="00676882" w:rsidP="00676882">
      <w:pPr>
        <w:pStyle w:val="BodyText"/>
        <w:keepNext/>
        <w:keepLines/>
        <w:spacing w:before="0" w:line="20" w:lineRule="atLeast"/>
        <w:rPr>
          <w:i/>
          <w:color w:val="000100"/>
          <w:sz w:val="16"/>
        </w:rPr>
      </w:pPr>
      <w:r w:rsidRPr="006B0263">
        <w:rPr>
          <w:i/>
          <w:color w:val="000100"/>
          <w:sz w:val="16"/>
        </w:rPr>
        <w:t>Source: ACIL Allen</w:t>
      </w:r>
    </w:p>
    <w:p w14:paraId="37910F92" w14:textId="77777777" w:rsidR="00676882" w:rsidRDefault="00676882" w:rsidP="00676882">
      <w:pPr>
        <w:pStyle w:val="BodyText"/>
      </w:pPr>
      <w:r>
        <w:t xml:space="preserve">A lack of investment in energy-efficient fittings and appliances has a direct impact on comfort, health and energy bills. A 2018 survey </w:t>
      </w:r>
      <w:sdt>
        <w:sdtPr>
          <w:id w:val="1509560791"/>
          <w:citation/>
        </w:sdtPr>
        <w:sdtContent>
          <w:r>
            <w:fldChar w:fldCharType="begin"/>
          </w:r>
          <w:r>
            <w:instrText xml:space="preserve">CITATION New18 \y  \t  \l 3081 </w:instrText>
          </w:r>
          <w:r>
            <w:fldChar w:fldCharType="separate"/>
          </w:r>
          <w:r>
            <w:rPr>
              <w:noProof/>
            </w:rPr>
            <w:t>(Newgate Research)</w:t>
          </w:r>
          <w:r>
            <w:fldChar w:fldCharType="end"/>
          </w:r>
        </w:sdtContent>
      </w:sdt>
      <w:r>
        <w:t xml:space="preserve"> also found that almost two-thirds (63 per cent) of Victorian tenants had some barrier to maintaining a comfortable temperature, 58 per cent had difficulties heating or cooling their home, and 31 per cent reported that they were unable to cool or heat their homes because of cost in the last couple of years. Results were worse for tenants with children, with 74 per cent having difficulty heating or cooling, and 40 per cent having avoided heating or cooling due to costs.</w:t>
      </w:r>
    </w:p>
    <w:p w14:paraId="530F2B54" w14:textId="77777777" w:rsidR="00676882" w:rsidRDefault="00676882" w:rsidP="00676882">
      <w:pPr>
        <w:pStyle w:val="Heading2"/>
      </w:pPr>
      <w:bookmarkStart w:id="27" w:name="_Toc74515413"/>
      <w:bookmarkStart w:id="28" w:name="_Toc75339639"/>
      <w:bookmarkStart w:id="29" w:name="_Toc75339730"/>
      <w:bookmarkStart w:id="30" w:name="_Toc75339743"/>
      <w:bookmarkStart w:id="31" w:name="_Toc75339757"/>
      <w:bookmarkStart w:id="32" w:name="_Ref75810154"/>
      <w:bookmarkStart w:id="33" w:name="_Ref76320479"/>
      <w:bookmarkStart w:id="34" w:name="_Toc80712575"/>
      <w:r>
        <w:t>Energy costs to tenants</w:t>
      </w:r>
      <w:bookmarkEnd w:id="27"/>
      <w:bookmarkEnd w:id="28"/>
      <w:bookmarkEnd w:id="29"/>
      <w:bookmarkEnd w:id="30"/>
      <w:bookmarkEnd w:id="31"/>
      <w:bookmarkEnd w:id="32"/>
      <w:bookmarkEnd w:id="33"/>
      <w:bookmarkEnd w:id="34"/>
    </w:p>
    <w:p w14:paraId="07FE26D0" w14:textId="77777777" w:rsidR="00676882" w:rsidRDefault="00676882" w:rsidP="00676882">
      <w:pPr>
        <w:pStyle w:val="BodyText"/>
      </w:pPr>
      <w:r>
        <w:t>The less a tenant can passively control the temperature — through insulation, controlled ventilation and shading — the more that heaters and coolers need to operate to reach a desired temperature. Likewise, the more energy efficient a heater or cooler the less energy is needed to reach the same temperature. Houses without good thermal control features necessarily use more energy to be safe and comfortable. This increased energy use comes with increased energy costs, which has important impacts on household budgets.</w:t>
      </w:r>
    </w:p>
    <w:p w14:paraId="3C239F41" w14:textId="77777777" w:rsidR="00676882" w:rsidRDefault="00676882" w:rsidP="00676882">
      <w:pPr>
        <w:pStyle w:val="BodyText"/>
      </w:pPr>
      <w:r>
        <w:t xml:space="preserve">Paying for accommodation is a major household expense, including for tenants. In the December 2020 quarter, households paid a median rent of around $560 per week for a three-bedroom house in Canberra — more than any other capital city </w:t>
      </w:r>
      <w:sdt>
        <w:sdtPr>
          <w:id w:val="-149760166"/>
          <w:citation/>
        </w:sdtPr>
        <w:sdtContent>
          <w:r>
            <w:fldChar w:fldCharType="begin"/>
          </w:r>
          <w:r>
            <w:instrText xml:space="preserve"> CITATION CMT20 \l 3081 </w:instrText>
          </w:r>
          <w:r>
            <w:fldChar w:fldCharType="separate"/>
          </w:r>
          <w:r>
            <w:rPr>
              <w:noProof/>
            </w:rPr>
            <w:t>(CMTEDD, 2020)</w:t>
          </w:r>
          <w:r>
            <w:fldChar w:fldCharType="end"/>
          </w:r>
        </w:sdtContent>
      </w:sdt>
      <w:r>
        <w:t xml:space="preserve">. Canberra’s lowest income households are more likely to be private tenants than owner occupiers. Likewise, private tenants are more likely to have lower weekly incomes — about 82 per cent of the weekly incomes of owner-occupiers in 2017-18. In 2017-18, 66 per cent of low-income private rental households spent over 60 per cent of their income on rent while a quarter spent more than half of their incomes on rent </w:t>
      </w:r>
      <w:sdt>
        <w:sdtPr>
          <w:id w:val="-1267689150"/>
          <w:citation/>
        </w:sdtPr>
        <w:sdtContent>
          <w:r>
            <w:fldChar w:fldCharType="begin"/>
          </w:r>
          <w:r>
            <w:instrText xml:space="preserve"> CITATION ABS19 \l 3081 </w:instrText>
          </w:r>
          <w:r>
            <w:fldChar w:fldCharType="separate"/>
          </w:r>
          <w:r>
            <w:rPr>
              <w:noProof/>
            </w:rPr>
            <w:t>(ABS, 2019)</w:t>
          </w:r>
          <w:r>
            <w:fldChar w:fldCharType="end"/>
          </w:r>
        </w:sdtContent>
      </w:sdt>
      <w:r>
        <w:t xml:space="preserve"> (see </w:t>
      </w:r>
      <w:r w:rsidRPr="009E4AB1">
        <w:fldChar w:fldCharType="begin"/>
      </w:r>
      <w:r w:rsidRPr="009E4AB1">
        <w:instrText xml:space="preserve"> REF _Ref80694314 \h  \* MERGEFORMAT </w:instrText>
      </w:r>
      <w:r w:rsidRPr="009E4AB1">
        <w:fldChar w:fldCharType="separate"/>
      </w:r>
      <w:r w:rsidRPr="00F32FCC">
        <w:t>Figure 2.4</w:t>
      </w:r>
      <w:r w:rsidRPr="009E4AB1">
        <w:fldChar w:fldCharType="end"/>
      </w:r>
      <w:r>
        <w:t>).</w:t>
      </w:r>
    </w:p>
    <w:p w14:paraId="3DA1421A" w14:textId="77777777" w:rsidR="00676882" w:rsidRDefault="00676882" w:rsidP="00676882">
      <w:pPr>
        <w:pStyle w:val="BodyText"/>
        <w:keepNext/>
        <w:keepLines/>
        <w:ind w:left="-1985"/>
      </w:pPr>
      <w:bookmarkStart w:id="35" w:name="_Ref80694314"/>
      <w:bookmarkStart w:id="36" w:name="_Toc80719252"/>
      <w:r w:rsidRPr="00E55B33">
        <w:rPr>
          <w:rStyle w:val="CaptionLabel"/>
        </w:rPr>
        <w:lastRenderedPageBreak/>
        <w:t>Figure </w:t>
      </w:r>
      <w:r w:rsidRPr="00E55B33">
        <w:rPr>
          <w:rStyle w:val="CaptionLabel"/>
        </w:rPr>
        <w:fldChar w:fldCharType="begin"/>
      </w:r>
      <w:r w:rsidRPr="00E55B33">
        <w:rPr>
          <w:rStyle w:val="CaptionLabel"/>
        </w:rPr>
        <w:instrText xml:space="preserve"> STYLEREF 1 \S \* MERGEFORMAT </w:instrText>
      </w:r>
      <w:r w:rsidRPr="00E55B33">
        <w:rPr>
          <w:rStyle w:val="CaptionLabel"/>
        </w:rPr>
        <w:fldChar w:fldCharType="separate"/>
      </w:r>
      <w:r>
        <w:rPr>
          <w:rStyle w:val="CaptionLabel"/>
          <w:noProof/>
        </w:rPr>
        <w:t>2</w:t>
      </w:r>
      <w:r w:rsidRPr="00E55B33">
        <w:rPr>
          <w:rStyle w:val="CaptionLabel"/>
        </w:rPr>
        <w:fldChar w:fldCharType="end"/>
      </w:r>
      <w:r w:rsidRPr="00E55B33">
        <w:rPr>
          <w:rStyle w:val="CaptionLabel"/>
        </w:rPr>
        <w:t>.</w:t>
      </w:r>
      <w:r w:rsidRPr="00E55B33">
        <w:rPr>
          <w:rStyle w:val="CaptionLabel"/>
        </w:rPr>
        <w:fldChar w:fldCharType="begin"/>
      </w:r>
      <w:r w:rsidRPr="00E55B33">
        <w:rPr>
          <w:rStyle w:val="CaptionLabel"/>
        </w:rPr>
        <w:instrText xml:space="preserve"> SEQ Figure \* ARABIC \S 1 \* MERGEFORMAT </w:instrText>
      </w:r>
      <w:r w:rsidRPr="00E55B33">
        <w:rPr>
          <w:rStyle w:val="CaptionLabel"/>
        </w:rPr>
        <w:fldChar w:fldCharType="separate"/>
      </w:r>
      <w:r>
        <w:rPr>
          <w:rStyle w:val="CaptionLabel"/>
          <w:noProof/>
        </w:rPr>
        <w:t>4</w:t>
      </w:r>
      <w:r w:rsidRPr="00E55B33">
        <w:rPr>
          <w:rStyle w:val="CaptionLabel"/>
        </w:rPr>
        <w:fldChar w:fldCharType="end"/>
      </w:r>
      <w:bookmarkEnd w:id="35"/>
      <w:r>
        <w:tab/>
        <w:t>Distribution of rent-to-income ratios, 2017-18</w:t>
      </w:r>
      <w:bookmarkEnd w:id="36"/>
    </w:p>
    <w:p w14:paraId="6E71AFD7" w14:textId="77777777" w:rsidR="00676882" w:rsidRDefault="00676882" w:rsidP="00676882">
      <w:pPr>
        <w:pStyle w:val="BodyText"/>
        <w:keepNext/>
        <w:keepLines/>
        <w:ind w:left="-1985"/>
      </w:pPr>
      <w:r>
        <w:rPr>
          <w:noProof/>
        </w:rPr>
        <w:drawing>
          <wp:inline distT="0" distB="0" distL="0" distR="0" wp14:anchorId="247B076C" wp14:editId="1ED89114">
            <wp:extent cx="6276975" cy="3699611"/>
            <wp:effectExtent l="0" t="0" r="0" b="0"/>
            <wp:docPr id="553" name="Picture 553" descr="The figure shows:&#10;66% of low-income households and 19% of other households spent over 30% of their income on rent&#10;&#10;24% of low-income households and 2% of other households spent over half of their income on rent&#10;&#10;7% of low-income households spent over 75% of their income on 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 name="Picture 553" descr="The figure shows:&#10;66% of low-income households and 19% of other households spent over 30% of their income on rent&#10;&#10;24% of low-income households and 2% of other households spent over half of their income on rent&#10;&#10;7% of low-income households spent over 75% of their income on rent."/>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281101" cy="3702043"/>
                    </a:xfrm>
                    <a:prstGeom prst="rect">
                      <a:avLst/>
                    </a:prstGeom>
                    <a:noFill/>
                    <a:ln>
                      <a:noFill/>
                    </a:ln>
                  </pic:spPr>
                </pic:pic>
              </a:graphicData>
            </a:graphic>
          </wp:inline>
        </w:drawing>
      </w:r>
    </w:p>
    <w:p w14:paraId="1A73C77D" w14:textId="77777777" w:rsidR="00676882" w:rsidRPr="00E656BE" w:rsidRDefault="00676882" w:rsidP="00676882">
      <w:pPr>
        <w:pStyle w:val="Source"/>
        <w:keepLines/>
        <w:ind w:left="-1985"/>
        <w:rPr>
          <w:i w:val="0"/>
          <w:iCs/>
        </w:rPr>
      </w:pPr>
      <w:r>
        <w:rPr>
          <w:i w:val="0"/>
          <w:iCs/>
        </w:rPr>
        <w:t>Note: The figure shows how the distribution of rent-to-income ratios varies across low-income and other households. The area under the line for each group sums to one.</w:t>
      </w:r>
    </w:p>
    <w:p w14:paraId="66B8CDF7" w14:textId="77777777" w:rsidR="00676882" w:rsidRPr="006B0263" w:rsidRDefault="00676882" w:rsidP="00676882">
      <w:pPr>
        <w:pStyle w:val="BodyText"/>
        <w:keepNext/>
        <w:keepLines/>
        <w:spacing w:before="0" w:line="20" w:lineRule="atLeast"/>
        <w:ind w:left="-1985"/>
        <w:rPr>
          <w:i/>
          <w:color w:val="000100"/>
          <w:sz w:val="16"/>
        </w:rPr>
      </w:pPr>
      <w:r w:rsidRPr="006B0263">
        <w:rPr>
          <w:i/>
          <w:color w:val="000100"/>
          <w:sz w:val="16"/>
        </w:rPr>
        <w:t xml:space="preserve">Source: </w:t>
      </w:r>
      <w:sdt>
        <w:sdtPr>
          <w:rPr>
            <w:i/>
            <w:color w:val="000100"/>
            <w:sz w:val="16"/>
          </w:rPr>
          <w:id w:val="775671877"/>
          <w:citation/>
        </w:sdtPr>
        <w:sdtContent>
          <w:r w:rsidRPr="006B0263">
            <w:rPr>
              <w:i/>
              <w:color w:val="000100"/>
              <w:sz w:val="16"/>
            </w:rPr>
            <w:fldChar w:fldCharType="begin"/>
          </w:r>
          <w:r w:rsidRPr="006B0263">
            <w:rPr>
              <w:i/>
              <w:color w:val="000100"/>
              <w:sz w:val="16"/>
            </w:rPr>
            <w:instrText xml:space="preserve"> CITATION Pro19 \l 3081 </w:instrText>
          </w:r>
          <w:r w:rsidRPr="006B0263">
            <w:rPr>
              <w:i/>
              <w:color w:val="000100"/>
              <w:sz w:val="16"/>
            </w:rPr>
            <w:fldChar w:fldCharType="separate"/>
          </w:r>
          <w:r w:rsidRPr="006B0263">
            <w:rPr>
              <w:i/>
              <w:color w:val="000100"/>
              <w:sz w:val="16"/>
            </w:rPr>
            <w:t>(Productivity Commission, 2019)</w:t>
          </w:r>
          <w:r w:rsidRPr="006B0263">
            <w:rPr>
              <w:i/>
              <w:color w:val="000100"/>
              <w:sz w:val="16"/>
            </w:rPr>
            <w:fldChar w:fldCharType="end"/>
          </w:r>
        </w:sdtContent>
      </w:sdt>
    </w:p>
    <w:p w14:paraId="5AC2687A" w14:textId="77777777" w:rsidR="00676882" w:rsidRDefault="00676882" w:rsidP="00676882">
      <w:pPr>
        <w:pStyle w:val="BodyText"/>
      </w:pPr>
      <w:r>
        <w:t>At the household-level, energy use is a major expense, costing each Australian household approximately $43 per week on average, of largely unavoidable costs</w:t>
      </w:r>
      <w:sdt>
        <w:sdtPr>
          <w:id w:val="-1127311731"/>
          <w:citation/>
        </w:sdtPr>
        <w:sdtContent>
          <w:r>
            <w:fldChar w:fldCharType="begin"/>
          </w:r>
          <w:r>
            <w:instrText xml:space="preserve"> CITATION ABS21 \l 3081 </w:instrText>
          </w:r>
          <w:r>
            <w:fldChar w:fldCharType="separate"/>
          </w:r>
          <w:r>
            <w:rPr>
              <w:noProof/>
            </w:rPr>
            <w:t xml:space="preserve"> (ABS, 2021)</w:t>
          </w:r>
          <w:r>
            <w:fldChar w:fldCharType="end"/>
          </w:r>
        </w:sdtContent>
      </w:sdt>
      <w:r>
        <w:t xml:space="preserve">. According to the Australian Household Expenditure Survey, the cost of domestic fuel and power increased by 28.5 per cent in nominal terms between 2009-10 and 2015-16. This category includes both electricity, and heating fuels like gas and wood. </w:t>
      </w:r>
    </w:p>
    <w:p w14:paraId="6F2EF1CD" w14:textId="77777777" w:rsidR="00676882" w:rsidRDefault="00676882" w:rsidP="00676882">
      <w:pPr>
        <w:pStyle w:val="BodyText"/>
      </w:pPr>
      <w:r>
        <w:t>In Canberra, household expenditure on energy in 2015-16 ranged from $42.22 per week for the lowest quintile to as high as $56.21 per week, with an average of $46.80 per week. This compares to other jurisdictions in which the costs range from $35.20 per week (in Brisbane) to $49.54 per week (in Darwin). Across Australia, this varies between 2.3 and 3.7 per cent of total weekly household spending.</w:t>
      </w:r>
    </w:p>
    <w:p w14:paraId="76FF2B5F" w14:textId="77777777" w:rsidR="00676882" w:rsidRDefault="00676882" w:rsidP="00676882">
      <w:pPr>
        <w:pStyle w:val="BodyText"/>
      </w:pPr>
      <w:r>
        <w:t xml:space="preserve">The energy bill burden is even more pronounced for low-income households — which are disproportionately tenants — where energy costs can make up a larger portion of the household’s income. Of those households in the lowest income quintile, a quarter were spending more than 8.8 per cent of their income on energy. And of those on Newstart, and similar allowances, a quarter were spending more than 9.7 per cent of their income on energy use </w:t>
      </w:r>
      <w:sdt>
        <w:sdtPr>
          <w:id w:val="171854199"/>
          <w:citation/>
        </w:sdtPr>
        <w:sdtContent>
          <w:r>
            <w:fldChar w:fldCharType="begin"/>
          </w:r>
          <w:r>
            <w:instrText xml:space="preserve"> CITATION Ben18 \l 3081 </w:instrText>
          </w:r>
          <w:r>
            <w:fldChar w:fldCharType="separate"/>
          </w:r>
          <w:r>
            <w:rPr>
              <w:noProof/>
            </w:rPr>
            <w:t>(Phillips, 2018)</w:t>
          </w:r>
          <w:r>
            <w:fldChar w:fldCharType="end"/>
          </w:r>
        </w:sdtContent>
      </w:sdt>
      <w:r>
        <w:t xml:space="preserve">. Rising energy costs have exacerbated this trend, with cost increases proportionally affecting lowest-income households by a larger degree (see </w:t>
      </w:r>
      <w:r w:rsidRPr="009E4AB1">
        <w:fldChar w:fldCharType="begin"/>
      </w:r>
      <w:r w:rsidRPr="009E4AB1">
        <w:instrText xml:space="preserve"> REF _Ref80694327 \h  \* MERGEFORMAT </w:instrText>
      </w:r>
      <w:r w:rsidRPr="009E4AB1">
        <w:fldChar w:fldCharType="separate"/>
      </w:r>
      <w:r w:rsidRPr="00F32FCC">
        <w:t>Figure 2.5</w:t>
      </w:r>
      <w:r w:rsidRPr="009E4AB1">
        <w:fldChar w:fldCharType="end"/>
      </w:r>
      <w:r>
        <w:t xml:space="preserve">). </w:t>
      </w:r>
    </w:p>
    <w:p w14:paraId="362FDCEA" w14:textId="77777777" w:rsidR="00676882" w:rsidRDefault="00676882" w:rsidP="00676882">
      <w:pPr>
        <w:pStyle w:val="BodyText"/>
        <w:keepNext/>
        <w:keepLines/>
        <w:ind w:left="-1985"/>
      </w:pPr>
      <w:bookmarkStart w:id="37" w:name="_Ref80694327"/>
      <w:bookmarkStart w:id="38" w:name="_Toc80719253"/>
      <w:r w:rsidRPr="00132B86">
        <w:rPr>
          <w:rStyle w:val="CaptionLabel"/>
        </w:rPr>
        <w:lastRenderedPageBreak/>
        <w:t>Figure </w:t>
      </w:r>
      <w:r w:rsidRPr="00132B86">
        <w:rPr>
          <w:rStyle w:val="CaptionLabel"/>
        </w:rPr>
        <w:fldChar w:fldCharType="begin"/>
      </w:r>
      <w:r w:rsidRPr="00132B86">
        <w:rPr>
          <w:rStyle w:val="CaptionLabel"/>
        </w:rPr>
        <w:instrText xml:space="preserve"> STYLEREF 1 \S \* MERGEFORMAT </w:instrText>
      </w:r>
      <w:r w:rsidRPr="00132B86">
        <w:rPr>
          <w:rStyle w:val="CaptionLabel"/>
        </w:rPr>
        <w:fldChar w:fldCharType="separate"/>
      </w:r>
      <w:r>
        <w:rPr>
          <w:rStyle w:val="CaptionLabel"/>
          <w:noProof/>
        </w:rPr>
        <w:t>2</w:t>
      </w:r>
      <w:r w:rsidRPr="00132B86">
        <w:rPr>
          <w:rStyle w:val="CaptionLabel"/>
        </w:rPr>
        <w:fldChar w:fldCharType="end"/>
      </w:r>
      <w:r w:rsidRPr="00132B86">
        <w:rPr>
          <w:rStyle w:val="CaptionLabel"/>
        </w:rPr>
        <w:t>.</w:t>
      </w:r>
      <w:r w:rsidRPr="00132B86">
        <w:rPr>
          <w:rStyle w:val="CaptionLabel"/>
        </w:rPr>
        <w:fldChar w:fldCharType="begin"/>
      </w:r>
      <w:r w:rsidRPr="00132B86">
        <w:rPr>
          <w:rStyle w:val="CaptionLabel"/>
        </w:rPr>
        <w:instrText xml:space="preserve"> SEQ Figure \* ARABIC \S 1 \* MERGEFORMAT </w:instrText>
      </w:r>
      <w:r w:rsidRPr="00132B86">
        <w:rPr>
          <w:rStyle w:val="CaptionLabel"/>
        </w:rPr>
        <w:fldChar w:fldCharType="separate"/>
      </w:r>
      <w:r>
        <w:rPr>
          <w:rStyle w:val="CaptionLabel"/>
          <w:noProof/>
        </w:rPr>
        <w:t>5</w:t>
      </w:r>
      <w:r w:rsidRPr="00132B86">
        <w:rPr>
          <w:rStyle w:val="CaptionLabel"/>
        </w:rPr>
        <w:fldChar w:fldCharType="end"/>
      </w:r>
      <w:bookmarkEnd w:id="37"/>
      <w:r>
        <w:tab/>
        <w:t>Percentile distribution for electricity and gas expenditure as a percentage of income by disposable income quintiles</w:t>
      </w:r>
      <w:bookmarkEnd w:id="38"/>
    </w:p>
    <w:p w14:paraId="653ACB28" w14:textId="77777777" w:rsidR="00676882" w:rsidRDefault="00676882" w:rsidP="00676882">
      <w:pPr>
        <w:pStyle w:val="BodyText"/>
        <w:keepNext/>
        <w:keepLines/>
        <w:spacing w:after="0"/>
        <w:ind w:left="-1985"/>
      </w:pPr>
      <w:r>
        <w:rPr>
          <w:noProof/>
        </w:rPr>
        <w:drawing>
          <wp:inline distT="0" distB="0" distL="0" distR="0" wp14:anchorId="754273BF" wp14:editId="115F4B2B">
            <wp:extent cx="6248400" cy="4194002"/>
            <wp:effectExtent l="0" t="0" r="0" b="0"/>
            <wp:docPr id="557" name="Picture 557" descr="The figure shows that the lowest 20% of households, by income, spend between 3.4% and 8.8%, compared with between 1% and 2.1% for the highest 20 per 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Picture 557" descr="The figure shows that the lowest 20% of households, by income, spend between 3.4% and 8.8%, compared with between 1% and 2.1% for the highest 20 per cen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255256" cy="4198604"/>
                    </a:xfrm>
                    <a:prstGeom prst="rect">
                      <a:avLst/>
                    </a:prstGeom>
                    <a:noFill/>
                    <a:ln>
                      <a:noFill/>
                    </a:ln>
                  </pic:spPr>
                </pic:pic>
              </a:graphicData>
            </a:graphic>
          </wp:inline>
        </w:drawing>
      </w:r>
    </w:p>
    <w:p w14:paraId="1B90A8AE" w14:textId="77777777" w:rsidR="00676882" w:rsidRPr="006B0263" w:rsidRDefault="00676882" w:rsidP="00676882">
      <w:pPr>
        <w:pStyle w:val="BodyText"/>
        <w:keepNext/>
        <w:keepLines/>
        <w:spacing w:before="0" w:line="20" w:lineRule="atLeast"/>
        <w:ind w:left="-1985"/>
        <w:rPr>
          <w:i/>
          <w:color w:val="000100"/>
          <w:sz w:val="16"/>
        </w:rPr>
      </w:pPr>
      <w:r w:rsidRPr="006B0263">
        <w:rPr>
          <w:i/>
          <w:color w:val="000100"/>
          <w:sz w:val="16"/>
        </w:rPr>
        <w:t xml:space="preserve">Source:  </w:t>
      </w:r>
      <w:sdt>
        <w:sdtPr>
          <w:rPr>
            <w:i/>
            <w:color w:val="000100"/>
            <w:sz w:val="16"/>
          </w:rPr>
          <w:id w:val="702910915"/>
          <w:citation/>
        </w:sdtPr>
        <w:sdtContent>
          <w:r w:rsidRPr="006B0263">
            <w:rPr>
              <w:i/>
              <w:color w:val="000100"/>
              <w:sz w:val="16"/>
            </w:rPr>
            <w:fldChar w:fldCharType="begin"/>
          </w:r>
          <w:r w:rsidRPr="006B0263">
            <w:rPr>
              <w:i/>
              <w:color w:val="000100"/>
              <w:sz w:val="16"/>
            </w:rPr>
            <w:instrText xml:space="preserve"> CITATION Ben18 \l 3081 </w:instrText>
          </w:r>
          <w:r w:rsidRPr="006B0263">
            <w:rPr>
              <w:i/>
              <w:color w:val="000100"/>
              <w:sz w:val="16"/>
            </w:rPr>
            <w:fldChar w:fldCharType="separate"/>
          </w:r>
          <w:r w:rsidRPr="006B0263">
            <w:rPr>
              <w:i/>
              <w:color w:val="000100"/>
              <w:sz w:val="16"/>
            </w:rPr>
            <w:t>(Phillips, 2018)</w:t>
          </w:r>
          <w:r w:rsidRPr="006B0263">
            <w:rPr>
              <w:i/>
              <w:color w:val="000100"/>
              <w:sz w:val="16"/>
            </w:rPr>
            <w:fldChar w:fldCharType="end"/>
          </w:r>
        </w:sdtContent>
      </w:sdt>
    </w:p>
    <w:p w14:paraId="17A3EB50" w14:textId="77777777" w:rsidR="00676882" w:rsidRDefault="00676882" w:rsidP="00676882">
      <w:pPr>
        <w:pStyle w:val="BodyText"/>
      </w:pPr>
      <w:r>
        <w:t xml:space="preserve">Crucially, energy costs </w:t>
      </w:r>
      <w:proofErr w:type="gramStart"/>
      <w:r>
        <w:t>are not affordable for all tenants at all times</w:t>
      </w:r>
      <w:proofErr w:type="gramEnd"/>
      <w:r>
        <w:t xml:space="preserve"> — causing many to choose between heating and cooling and other essential household costs. Of those Victorian rental properties with children in the home, 40 per cent avoided heating or cooling their home at some point in the last couple of years because they could not afford to do so </w:t>
      </w:r>
      <w:sdt>
        <w:sdtPr>
          <w:id w:val="1608541296"/>
          <w:citation/>
        </w:sdtPr>
        <w:sdtContent>
          <w:r>
            <w:fldChar w:fldCharType="begin"/>
          </w:r>
          <w:r>
            <w:instrText xml:space="preserve"> CITATION New18 \l 3081 </w:instrText>
          </w:r>
          <w:r>
            <w:fldChar w:fldCharType="separate"/>
          </w:r>
          <w:r>
            <w:rPr>
              <w:noProof/>
            </w:rPr>
            <w:t>(Newgate Research, 2018)</w:t>
          </w:r>
          <w:r>
            <w:fldChar w:fldCharType="end"/>
          </w:r>
        </w:sdtContent>
      </w:sdt>
      <w:r>
        <w:t>.</w:t>
      </w:r>
    </w:p>
    <w:p w14:paraId="06871636" w14:textId="77777777" w:rsidR="00676882" w:rsidRDefault="00676882" w:rsidP="00676882">
      <w:pPr>
        <w:pStyle w:val="Heading2"/>
      </w:pPr>
      <w:bookmarkStart w:id="39" w:name="_Toc74515414"/>
      <w:bookmarkStart w:id="40" w:name="_Toc75339640"/>
      <w:bookmarkStart w:id="41" w:name="_Toc75339731"/>
      <w:bookmarkStart w:id="42" w:name="_Toc75339744"/>
      <w:bookmarkStart w:id="43" w:name="_Toc75339758"/>
      <w:bookmarkStart w:id="44" w:name="_Toc80712576"/>
      <w:r>
        <w:t>Tenancy impacts of poor thermal control</w:t>
      </w:r>
      <w:bookmarkEnd w:id="39"/>
      <w:bookmarkEnd w:id="40"/>
      <w:bookmarkEnd w:id="41"/>
      <w:bookmarkEnd w:id="42"/>
      <w:bookmarkEnd w:id="43"/>
      <w:bookmarkEnd w:id="44"/>
    </w:p>
    <w:p w14:paraId="076BC74C" w14:textId="77777777" w:rsidR="00676882" w:rsidRDefault="00676882" w:rsidP="00676882">
      <w:pPr>
        <w:pStyle w:val="BodyText"/>
      </w:pPr>
      <w:r>
        <w:t xml:space="preserve">Thermal control is important for thermal comfort and house amenity. Humans normally run at about 37°C and must expend heat at about the same rate it is produced through normal bodily function. Therefore, most people need a narrow band of temperatures to remain comfortable at home — approximately between 18°C and 24°C. A relatively wider band of temperatures is comfortable and safe if conditions are carefully managed, for instance in more humid climates it is possible to overheat much quicker therefore air-conditioning which reduces humidity can be more important. </w:t>
      </w:r>
    </w:p>
    <w:p w14:paraId="4CC9727E" w14:textId="77777777" w:rsidR="00676882" w:rsidRDefault="00676882" w:rsidP="00676882">
      <w:pPr>
        <w:pStyle w:val="BodyText"/>
      </w:pPr>
      <w:r>
        <w:t xml:space="preserve">Warm homes in winter and cool homes in summer are important for comfort and living conditions. Poor thermal comfort and the inability to control temperature directly results in increased disease prevalence and deaths. Those rental houses which are unable to control temperature or cannot do so affordably are in some cases unsafe for human health. </w:t>
      </w:r>
    </w:p>
    <w:p w14:paraId="673A3B57" w14:textId="77777777" w:rsidR="00676882" w:rsidRPr="004A0458" w:rsidRDefault="00676882" w:rsidP="00676882">
      <w:pPr>
        <w:pStyle w:val="BodyText"/>
      </w:pPr>
      <w:r>
        <w:t>To a degree, thermal comfort is a substitute for energy savings. Improving energy-efficiency may have no health impacts for households as financial benefits may be realised through lower use of appliances and therefore lower energy bills. Tenants decide for themselves whether thermal comfort or avoided costs is more important. Poor thermal control and therefore energy efficiency limit the decision for tenants.</w:t>
      </w:r>
    </w:p>
    <w:p w14:paraId="40036434" w14:textId="77777777" w:rsidR="00676882" w:rsidRDefault="00676882" w:rsidP="00676882">
      <w:pPr>
        <w:pStyle w:val="BodyText"/>
      </w:pPr>
      <w:r>
        <w:lastRenderedPageBreak/>
        <w:t xml:space="preserve">The ACT sits in two climate zones (as defined in the National Construction Code), Zone 7 “cool temperate” and Zone 8 “alpine”, which means that houses require relatively more investment in thermal control. </w:t>
      </w:r>
      <w:sdt>
        <w:sdtPr>
          <w:id w:val="-1492021071"/>
          <w:citation/>
        </w:sdtPr>
        <w:sdtContent>
          <w:r>
            <w:fldChar w:fldCharType="begin"/>
          </w:r>
          <w:r>
            <w:instrText xml:space="preserve"> CITATION Dep13 \l 3081 </w:instrText>
          </w:r>
          <w:r>
            <w:fldChar w:fldCharType="separate"/>
          </w:r>
          <w:r>
            <w:rPr>
              <w:noProof/>
            </w:rPr>
            <w:t>(Department of Industry, Science, Energy and Resources, 2013)</w:t>
          </w:r>
          <w:r>
            <w:fldChar w:fldCharType="end"/>
          </w:r>
        </w:sdtContent>
      </w:sdt>
      <w:r>
        <w:t xml:space="preserve">. Jervis Bay is Zone 6 “mild temperate”. </w:t>
      </w:r>
    </w:p>
    <w:p w14:paraId="5D27F26F" w14:textId="77777777" w:rsidR="00676882" w:rsidRDefault="00676882" w:rsidP="00676882">
      <w:pPr>
        <w:pStyle w:val="BodyTextFirstIndent"/>
        <w:ind w:firstLine="0"/>
      </w:pPr>
      <w:r>
        <w:t xml:space="preserve">A recent study into the effects of indoor heat on public housing tenants in Mildura shows that increased heat had effects on physical health, mental health, social and economic wellbeing </w:t>
      </w:r>
      <w:sdt>
        <w:sdtPr>
          <w:id w:val="-1104868935"/>
          <w:citation/>
        </w:sdtPr>
        <w:sdtContent>
          <w:r>
            <w:fldChar w:fldCharType="begin"/>
          </w:r>
          <w:r>
            <w:instrText xml:space="preserve"> CITATION Lan19 \l 3081 </w:instrText>
          </w:r>
          <w:r>
            <w:fldChar w:fldCharType="separate"/>
          </w:r>
          <w:r>
            <w:rPr>
              <w:noProof/>
            </w:rPr>
            <w:t>(Lander, et al., 2019)</w:t>
          </w:r>
          <w:r>
            <w:fldChar w:fldCharType="end"/>
          </w:r>
        </w:sdtContent>
      </w:sdt>
      <w:r>
        <w:t>. Interviews with residents suggested that in many cases during summer it was hotter indoors than outside, however tenants were forced to shelter indoors to avoid direct sun exposure. Effects of high temperatures were many and varied, including:</w:t>
      </w:r>
    </w:p>
    <w:p w14:paraId="608C7A78" w14:textId="77777777" w:rsidR="00676882" w:rsidRDefault="00676882" w:rsidP="00676882">
      <w:pPr>
        <w:pStyle w:val="ListBullet"/>
        <w:sectPr w:rsidR="00676882" w:rsidSect="00F32FCC">
          <w:headerReference w:type="even" r:id="rId34"/>
          <w:footerReference w:type="even" r:id="rId35"/>
          <w:headerReference w:type="first" r:id="rId36"/>
          <w:footerReference w:type="first" r:id="rId37"/>
          <w:pgSz w:w="11906" w:h="16838" w:code="9"/>
          <w:pgMar w:top="1134" w:right="851" w:bottom="1134" w:left="3119" w:header="454" w:footer="374" w:gutter="0"/>
          <w:cols w:space="708"/>
          <w:docGrid w:linePitch="360"/>
        </w:sectPr>
      </w:pPr>
    </w:p>
    <w:p w14:paraId="084327E3" w14:textId="77777777" w:rsidR="00676882" w:rsidRDefault="00676882" w:rsidP="00676882">
      <w:pPr>
        <w:pStyle w:val="ListBullet"/>
        <w:numPr>
          <w:ilvl w:val="0"/>
          <w:numId w:val="0"/>
        </w:numPr>
        <w:ind w:left="6"/>
      </w:pPr>
      <w:r>
        <w:t>amenity impacts:</w:t>
      </w:r>
    </w:p>
    <w:p w14:paraId="135DDE39" w14:textId="77777777" w:rsidR="00676882" w:rsidRDefault="00676882" w:rsidP="00676882">
      <w:pPr>
        <w:pStyle w:val="ListBullet"/>
      </w:pPr>
      <w:r>
        <w:t>inability to sleep</w:t>
      </w:r>
    </w:p>
    <w:p w14:paraId="1322F160" w14:textId="77777777" w:rsidR="00676882" w:rsidRDefault="00676882" w:rsidP="00676882">
      <w:pPr>
        <w:pStyle w:val="ListBullet"/>
      </w:pPr>
      <w:r>
        <w:t>inability to cook (to avoid added temperatures)</w:t>
      </w:r>
    </w:p>
    <w:p w14:paraId="3E9299FC" w14:textId="77777777" w:rsidR="00676882" w:rsidRDefault="00676882" w:rsidP="00676882">
      <w:pPr>
        <w:pStyle w:val="ListBullet"/>
      </w:pPr>
      <w:r>
        <w:t>reduced physical activity</w:t>
      </w:r>
    </w:p>
    <w:p w14:paraId="192A3589" w14:textId="77777777" w:rsidR="00676882" w:rsidRDefault="00676882" w:rsidP="00676882">
      <w:pPr>
        <w:pStyle w:val="ListBullet"/>
      </w:pPr>
      <w:r>
        <w:t>lowered ability to work</w:t>
      </w:r>
    </w:p>
    <w:p w14:paraId="03548C36" w14:textId="77777777" w:rsidR="00676882" w:rsidRDefault="00676882" w:rsidP="00676882">
      <w:pPr>
        <w:pStyle w:val="ListBullet"/>
      </w:pPr>
      <w:r>
        <w:t>increased reliance on places other than home to keep cool</w:t>
      </w:r>
    </w:p>
    <w:p w14:paraId="5D939303" w14:textId="77777777" w:rsidR="00676882" w:rsidRDefault="00676882" w:rsidP="00676882">
      <w:pPr>
        <w:pStyle w:val="ListBullet"/>
        <w:numPr>
          <w:ilvl w:val="0"/>
          <w:numId w:val="0"/>
        </w:numPr>
      </w:pPr>
      <w:r>
        <w:br w:type="column"/>
      </w:r>
      <w:r>
        <w:t>health impacts:</w:t>
      </w:r>
    </w:p>
    <w:p w14:paraId="017BB80E" w14:textId="77777777" w:rsidR="00676882" w:rsidRDefault="00676882" w:rsidP="00676882">
      <w:pPr>
        <w:pStyle w:val="ListBullet"/>
      </w:pPr>
      <w:r>
        <w:t>heat stroke</w:t>
      </w:r>
    </w:p>
    <w:p w14:paraId="0250B307" w14:textId="77777777" w:rsidR="00676882" w:rsidRDefault="00676882" w:rsidP="00676882">
      <w:pPr>
        <w:pStyle w:val="ListBullet"/>
      </w:pPr>
      <w:r>
        <w:t>heat exhaustion</w:t>
      </w:r>
    </w:p>
    <w:p w14:paraId="6CF0C106" w14:textId="77777777" w:rsidR="00676882" w:rsidRDefault="00676882" w:rsidP="00676882">
      <w:pPr>
        <w:pStyle w:val="ListBullet"/>
      </w:pPr>
      <w:r>
        <w:t>sweating</w:t>
      </w:r>
    </w:p>
    <w:p w14:paraId="6B29F255" w14:textId="77777777" w:rsidR="00676882" w:rsidRDefault="00676882" w:rsidP="00676882">
      <w:pPr>
        <w:pStyle w:val="ListBullet"/>
      </w:pPr>
      <w:r>
        <w:t>dehydration</w:t>
      </w:r>
    </w:p>
    <w:p w14:paraId="43428ECE" w14:textId="77777777" w:rsidR="00676882" w:rsidRDefault="00676882" w:rsidP="00676882">
      <w:pPr>
        <w:pStyle w:val="ListBullet"/>
      </w:pPr>
      <w:r>
        <w:t>headaches</w:t>
      </w:r>
    </w:p>
    <w:p w14:paraId="6B6D4C46" w14:textId="77777777" w:rsidR="00676882" w:rsidRDefault="00676882" w:rsidP="00676882">
      <w:pPr>
        <w:pStyle w:val="ListBullet"/>
      </w:pPr>
      <w:r>
        <w:t>trouble breathing</w:t>
      </w:r>
    </w:p>
    <w:p w14:paraId="5B1418A8" w14:textId="77777777" w:rsidR="00676882" w:rsidRDefault="00676882" w:rsidP="00676882">
      <w:pPr>
        <w:pStyle w:val="ListBullet"/>
      </w:pPr>
      <w:r>
        <w:t>pain and discomfort for pregnant residents</w:t>
      </w:r>
    </w:p>
    <w:p w14:paraId="2D02CF5B" w14:textId="77777777" w:rsidR="00676882" w:rsidRDefault="00676882" w:rsidP="00676882">
      <w:pPr>
        <w:pStyle w:val="ListBullet"/>
      </w:pPr>
      <w:r>
        <w:t>exacerbation of pre-existing conditions (including mental illnesses and disorders)</w:t>
      </w:r>
    </w:p>
    <w:p w14:paraId="5FD9A63B" w14:textId="77777777" w:rsidR="00676882" w:rsidRDefault="00676882" w:rsidP="00676882">
      <w:pPr>
        <w:pStyle w:val="ListBullet"/>
      </w:pPr>
      <w:r>
        <w:t>mood changes</w:t>
      </w:r>
    </w:p>
    <w:p w14:paraId="3BCB0CE9" w14:textId="77777777" w:rsidR="00676882" w:rsidRDefault="00676882" w:rsidP="00676882">
      <w:pPr>
        <w:pStyle w:val="ListBullet"/>
      </w:pPr>
      <w:r>
        <w:t>worry</w:t>
      </w:r>
    </w:p>
    <w:p w14:paraId="77BB1A90" w14:textId="77777777" w:rsidR="00676882" w:rsidRDefault="00676882" w:rsidP="00676882">
      <w:pPr>
        <w:pStyle w:val="ListBullet"/>
      </w:pPr>
      <w:r>
        <w:t>despair</w:t>
      </w:r>
    </w:p>
    <w:p w14:paraId="5FF6F0EF" w14:textId="77777777" w:rsidR="00676882" w:rsidRDefault="00676882" w:rsidP="00676882">
      <w:pPr>
        <w:pStyle w:val="ListBullet"/>
      </w:pPr>
      <w:r>
        <w:t>depression</w:t>
      </w:r>
    </w:p>
    <w:p w14:paraId="1F85ECF3" w14:textId="77777777" w:rsidR="00676882" w:rsidRDefault="00676882" w:rsidP="00676882">
      <w:pPr>
        <w:pStyle w:val="ListBullet"/>
        <w:numPr>
          <w:ilvl w:val="0"/>
          <w:numId w:val="0"/>
        </w:numPr>
      </w:pPr>
      <w:r>
        <w:br w:type="column"/>
      </w:r>
      <w:r>
        <w:t>social impacts:</w:t>
      </w:r>
    </w:p>
    <w:p w14:paraId="6FDFDDDF" w14:textId="77777777" w:rsidR="00676882" w:rsidRDefault="00676882" w:rsidP="00676882">
      <w:pPr>
        <w:pStyle w:val="ListBullet"/>
      </w:pPr>
      <w:r>
        <w:t>isolation</w:t>
      </w:r>
    </w:p>
    <w:p w14:paraId="7A4FABAB" w14:textId="77777777" w:rsidR="00676882" w:rsidRDefault="00676882" w:rsidP="00676882">
      <w:pPr>
        <w:pStyle w:val="ListBullet"/>
      </w:pPr>
      <w:r>
        <w:t>decreased family wellbeing</w:t>
      </w:r>
    </w:p>
    <w:p w14:paraId="5D79C278" w14:textId="77777777" w:rsidR="00676882" w:rsidRDefault="00676882" w:rsidP="00676882">
      <w:pPr>
        <w:pStyle w:val="ListBullet"/>
      </w:pPr>
      <w:r>
        <w:t>antisocial behaviours</w:t>
      </w:r>
    </w:p>
    <w:p w14:paraId="23265F78" w14:textId="77777777" w:rsidR="00676882" w:rsidRDefault="00676882" w:rsidP="00676882">
      <w:pPr>
        <w:pStyle w:val="ListBullet"/>
      </w:pPr>
      <w:r>
        <w:t>increased people roaming the streets at night</w:t>
      </w:r>
    </w:p>
    <w:p w14:paraId="12294B53" w14:textId="77777777" w:rsidR="00676882" w:rsidRDefault="00676882" w:rsidP="00676882">
      <w:pPr>
        <w:pStyle w:val="ListBullet"/>
      </w:pPr>
      <w:r>
        <w:t>increased crime and vandalism</w:t>
      </w:r>
    </w:p>
    <w:p w14:paraId="553B62A1" w14:textId="77777777" w:rsidR="00676882" w:rsidRDefault="00676882" w:rsidP="00676882">
      <w:pPr>
        <w:pStyle w:val="ListBullet"/>
      </w:pPr>
      <w:r>
        <w:t>increased substance abuse</w:t>
      </w:r>
    </w:p>
    <w:p w14:paraId="62438C29" w14:textId="77777777" w:rsidR="00676882" w:rsidRDefault="00676882" w:rsidP="00676882">
      <w:pPr>
        <w:pStyle w:val="ListBullet"/>
        <w:sectPr w:rsidR="00676882" w:rsidSect="00205B1B">
          <w:type w:val="continuous"/>
          <w:pgSz w:w="11906" w:h="16838" w:code="9"/>
          <w:pgMar w:top="1134" w:right="851" w:bottom="1134" w:left="3119" w:header="454" w:footer="159" w:gutter="0"/>
          <w:cols w:num="3" w:space="708"/>
          <w:docGrid w:linePitch="360"/>
        </w:sectPr>
      </w:pPr>
      <w:r>
        <w:t>increased community violence</w:t>
      </w:r>
    </w:p>
    <w:p w14:paraId="5464DA48" w14:textId="77777777" w:rsidR="00676882" w:rsidRDefault="00676882" w:rsidP="00676882">
      <w:pPr>
        <w:pStyle w:val="BodyText"/>
      </w:pPr>
      <w:r>
        <w:t xml:space="preserve">Other indirect impacts (or co-benefits) of thermal quality that have been suggested in the literature, but are not yet well-established </w:t>
      </w:r>
      <w:sdt>
        <w:sdtPr>
          <w:id w:val="1788620135"/>
          <w:citation/>
        </w:sdtPr>
        <w:sdtContent>
          <w:r>
            <w:fldChar w:fldCharType="begin"/>
          </w:r>
          <w:r w:rsidRPr="00205B1B">
            <w:instrText xml:space="preserve"> CITATION IEA15 \l 1033 </w:instrText>
          </w:r>
          <w:r>
            <w:fldChar w:fldCharType="separate"/>
          </w:r>
          <w:r w:rsidRPr="00205B1B">
            <w:t>(IEA, 2015)</w:t>
          </w:r>
          <w:r>
            <w:fldChar w:fldCharType="end"/>
          </w:r>
        </w:sdtContent>
      </w:sdt>
      <w:r>
        <w:t xml:space="preserve"> include:</w:t>
      </w:r>
    </w:p>
    <w:p w14:paraId="3C16F0BF" w14:textId="77777777" w:rsidR="00676882" w:rsidRDefault="00676882" w:rsidP="00676882">
      <w:pPr>
        <w:pStyle w:val="ListBullet"/>
      </w:pPr>
      <w:r>
        <w:t>lessened family tensions if installation of energy efficiency measures allows more areas of the dwelling to be heated, lessening the need for the family to crowd into a single heated room in winter</w:t>
      </w:r>
    </w:p>
    <w:p w14:paraId="571E9B23" w14:textId="77777777" w:rsidR="00676882" w:rsidRDefault="00676882" w:rsidP="00676882">
      <w:pPr>
        <w:pStyle w:val="ListBullet"/>
      </w:pPr>
      <w:r>
        <w:t>reduced social isolation if energy efficiency measures reduce occupants’ embarrassment with their uncomfortable conditions</w:t>
      </w:r>
    </w:p>
    <w:p w14:paraId="4C32800E" w14:textId="77777777" w:rsidR="00676882" w:rsidRDefault="00676882" w:rsidP="00676882">
      <w:pPr>
        <w:pStyle w:val="ListBullet"/>
      </w:pPr>
      <w:r>
        <w:t>improved social cohesion and sense of community among residents</w:t>
      </w:r>
    </w:p>
    <w:p w14:paraId="486779F8" w14:textId="77777777" w:rsidR="00676882" w:rsidRDefault="00676882" w:rsidP="00676882">
      <w:pPr>
        <w:pStyle w:val="ListBullet"/>
      </w:pPr>
      <w:r>
        <w:t>higher rates of school attendance</w:t>
      </w:r>
    </w:p>
    <w:p w14:paraId="44BEF39D" w14:textId="77777777" w:rsidR="00676882" w:rsidRDefault="00676882" w:rsidP="00676882">
      <w:pPr>
        <w:pStyle w:val="ListBullet"/>
      </w:pPr>
      <w:r>
        <w:t xml:space="preserve">healthier lifestyles </w:t>
      </w:r>
    </w:p>
    <w:p w14:paraId="6C94A3AD" w14:textId="77777777" w:rsidR="00676882" w:rsidRDefault="00676882" w:rsidP="00676882">
      <w:pPr>
        <w:pStyle w:val="ListBullet"/>
      </w:pPr>
      <w:r>
        <w:t>improved access to local services.</w:t>
      </w:r>
    </w:p>
    <w:p w14:paraId="1D58154B" w14:textId="77777777" w:rsidR="00676882" w:rsidRDefault="00676882" w:rsidP="00676882">
      <w:pPr>
        <w:pStyle w:val="Heading3"/>
      </w:pPr>
      <w:bookmarkStart w:id="45" w:name="_Toc75339759"/>
      <w:bookmarkStart w:id="46" w:name="_Ref75770057"/>
      <w:r>
        <w:t>Health impacts of poor thermal insulation</w:t>
      </w:r>
      <w:bookmarkEnd w:id="45"/>
      <w:bookmarkEnd w:id="46"/>
    </w:p>
    <w:p w14:paraId="57359205" w14:textId="77777777" w:rsidR="00676882" w:rsidRDefault="00676882" w:rsidP="00676882">
      <w:pPr>
        <w:pStyle w:val="BodyText"/>
      </w:pPr>
      <w:r>
        <w:t xml:space="preserve">The World Health Organisation (WHO) recommends indoor temperatures from 18°C and 24°C, stemming from a systematic review of temperature risks to human health, while noting that higher minimums and lower maximums are necessary for vulnerable persons </w:t>
      </w:r>
      <w:sdt>
        <w:sdtPr>
          <w:id w:val="731130660"/>
          <w:citation/>
        </w:sdtPr>
        <w:sdtContent>
          <w:r>
            <w:fldChar w:fldCharType="begin"/>
          </w:r>
          <w:r>
            <w:instrText xml:space="preserve"> CITATION WHO18 \l 3081 </w:instrText>
          </w:r>
          <w:r>
            <w:fldChar w:fldCharType="separate"/>
          </w:r>
          <w:r>
            <w:rPr>
              <w:noProof/>
            </w:rPr>
            <w:t>(WHO, 2018)</w:t>
          </w:r>
          <w:r>
            <w:fldChar w:fldCharType="end"/>
          </w:r>
        </w:sdtContent>
      </w:sdt>
      <w:r>
        <w:t xml:space="preserve">. WHO’s </w:t>
      </w:r>
      <w:r>
        <w:lastRenderedPageBreak/>
        <w:t xml:space="preserve">recommendations note that health impacts are differentiated between peak (occasional high or low temperatures) and chronic high or low temperatures. </w:t>
      </w:r>
    </w:p>
    <w:p w14:paraId="3D2FB75D" w14:textId="77777777" w:rsidR="00676882" w:rsidRPr="005B0B98" w:rsidRDefault="00676882" w:rsidP="00676882">
      <w:pPr>
        <w:pStyle w:val="BodyText"/>
        <w:rPr>
          <w:rFonts w:cstheme="minorBidi"/>
        </w:rPr>
      </w:pPr>
      <w:r>
        <w:t xml:space="preserve">A multinational study by Gasparrini et al. </w:t>
      </w:r>
      <w:sdt>
        <w:sdtPr>
          <w:id w:val="-459114968"/>
          <w:citation/>
        </w:sdtPr>
        <w:sdtContent>
          <w:r>
            <w:fldChar w:fldCharType="begin"/>
          </w:r>
          <w:r>
            <w:instrText xml:space="preserve">CITATION Gas15 \n  \t  \l 3081 </w:instrText>
          </w:r>
          <w:r>
            <w:fldChar w:fldCharType="separate"/>
          </w:r>
          <w:r>
            <w:rPr>
              <w:noProof/>
            </w:rPr>
            <w:t>(2015)</w:t>
          </w:r>
          <w:r>
            <w:fldChar w:fldCharType="end"/>
          </w:r>
        </w:sdtContent>
      </w:sdt>
      <w:r>
        <w:t xml:space="preserve"> found that 7.71 per cent of mortality had non-optimum temperature in selected countries as a cause (Australia, Brazil, Canada, China, Italy, Japan, South Korea, Spain, Sweden, Taiwan, Thailand, UK and USA). More temperature-related deaths were caused by cold than by heat — in Australia, 6.5 per cent of mortality has cold as an attributable cause, while only 0.45 per cent had heat as an attributable cause. The effect of days of extreme temperature was found to be substantially less than that attributable to milder but non-optimal weather.</w:t>
      </w:r>
    </w:p>
    <w:p w14:paraId="6A9A33B0" w14:textId="77777777" w:rsidR="00676882" w:rsidRDefault="00676882" w:rsidP="00676882">
      <w:pPr>
        <w:pStyle w:val="Heading4"/>
      </w:pPr>
      <w:r>
        <w:t>Cold temperatures</w:t>
      </w:r>
    </w:p>
    <w:p w14:paraId="38BDDD06" w14:textId="77777777" w:rsidR="00676882" w:rsidRDefault="00676882" w:rsidP="00676882">
      <w:pPr>
        <w:pStyle w:val="BodyText"/>
      </w:pPr>
      <w:r>
        <w:t xml:space="preserve">Cold indoor temperatures in winter are intimately linked to outdoor temperatures, structural deficiencies — including a lack of thermal control features like insulation and draught sealing — and a lack of heating. Evidence supporting WHO’s recommendations on indoor temperatures suggest that cold weather is linked to increased blood pressure, asthma and respiratory illness, and depression; as well as acute illness and hypothermia, which is an immediate risk to life. </w:t>
      </w:r>
    </w:p>
    <w:p w14:paraId="66D51335" w14:textId="77777777" w:rsidR="00676882" w:rsidRDefault="00676882" w:rsidP="00676882">
      <w:pPr>
        <w:pStyle w:val="BodyText"/>
      </w:pPr>
      <w:r>
        <w:t>A recent study of 217 hypothermic presentations (July 2009 to September 2016) to the Alfred Hospital and Sandringham Hospital emergency departments, in Victoria, showed that 78 per cent of these occurred indoors. Most of these cases were amongst older individuals, with three quarters older than 55 years old. Of these cases of hypothermia, 16 per cent died as a result</w:t>
      </w:r>
      <w:sdt>
        <w:sdtPr>
          <w:id w:val="-1155132308"/>
          <w:citation/>
        </w:sdtPr>
        <w:sdtContent>
          <w:r>
            <w:fldChar w:fldCharType="begin"/>
          </w:r>
          <w:r>
            <w:instrText xml:space="preserve"> CITATION For19 \l 3081 </w:instrText>
          </w:r>
          <w:r>
            <w:fldChar w:fldCharType="separate"/>
          </w:r>
          <w:r>
            <w:rPr>
              <w:noProof/>
            </w:rPr>
            <w:t xml:space="preserve"> (Forcey, FitzGerald, Burggraf, Nagalingam, &amp; Ananda-Rajah, 2019)</w:t>
          </w:r>
          <w:r>
            <w:fldChar w:fldCharType="end"/>
          </w:r>
        </w:sdtContent>
      </w:sdt>
      <w:r>
        <w:t xml:space="preserve">. </w:t>
      </w:r>
    </w:p>
    <w:p w14:paraId="174EC4E7" w14:textId="77777777" w:rsidR="00676882" w:rsidRDefault="00676882" w:rsidP="00676882">
      <w:pPr>
        <w:pStyle w:val="BodyText"/>
      </w:pPr>
      <w:r>
        <w:t xml:space="preserve">Better Renting </w:t>
      </w:r>
      <w:sdt>
        <w:sdtPr>
          <w:id w:val="958839974"/>
          <w:citation/>
        </w:sdtPr>
        <w:sdtContent>
          <w:r>
            <w:fldChar w:fldCharType="begin"/>
          </w:r>
          <w:r>
            <w:instrText xml:space="preserve">CITATION Bet19 \n  \t  \l 3081 </w:instrText>
          </w:r>
          <w:r>
            <w:fldChar w:fldCharType="separate"/>
          </w:r>
          <w:r>
            <w:rPr>
              <w:noProof/>
            </w:rPr>
            <w:t>(2019)</w:t>
          </w:r>
          <w:r>
            <w:fldChar w:fldCharType="end"/>
          </w:r>
        </w:sdtContent>
      </w:sdt>
      <w:r>
        <w:t xml:space="preserve"> estimated that annual cold-related deaths related to housing could be up to 42 people in the ACT in 2019. This is estimated by apportioning 30 per cent of the excess deaths in Canberra’s colder months based on international research, including Gasparrini et al. </w:t>
      </w:r>
      <w:sdt>
        <w:sdtPr>
          <w:id w:val="1080790263"/>
          <w:citation/>
        </w:sdtPr>
        <w:sdtContent>
          <w:r>
            <w:fldChar w:fldCharType="begin"/>
          </w:r>
          <w:r>
            <w:instrText xml:space="preserve">CITATION Gas15 \n  \t  \l 3081 </w:instrText>
          </w:r>
          <w:r>
            <w:fldChar w:fldCharType="separate"/>
          </w:r>
          <w:r>
            <w:rPr>
              <w:noProof/>
            </w:rPr>
            <w:t>(2015)</w:t>
          </w:r>
          <w:r>
            <w:fldChar w:fldCharType="end"/>
          </w:r>
        </w:sdtContent>
      </w:sdt>
      <w:r>
        <w:t>.</w:t>
      </w:r>
    </w:p>
    <w:p w14:paraId="43E493EE" w14:textId="77777777" w:rsidR="00676882" w:rsidRDefault="00676882" w:rsidP="00676882">
      <w:pPr>
        <w:pStyle w:val="BodyText"/>
      </w:pPr>
      <w:r>
        <w:t xml:space="preserve">Alleviation of chronic thermal discomfort can also contribute to improved mental wellbeing </w:t>
      </w:r>
      <w:sdt>
        <w:sdtPr>
          <w:id w:val="1687248698"/>
          <w:citation/>
        </w:sdtPr>
        <w:sdtContent>
          <w:r>
            <w:fldChar w:fldCharType="begin"/>
          </w:r>
          <w:r>
            <w:instrText xml:space="preserve"> CITATION IEA15 \l 3081 </w:instrText>
          </w:r>
          <w:r>
            <w:fldChar w:fldCharType="separate"/>
          </w:r>
          <w:r>
            <w:rPr>
              <w:noProof/>
            </w:rPr>
            <w:t>(IEA, 2015)</w:t>
          </w:r>
          <w:r>
            <w:fldChar w:fldCharType="end"/>
          </w:r>
        </w:sdtContent>
      </w:sdt>
      <w:r>
        <w:t xml:space="preserve">. </w:t>
      </w:r>
    </w:p>
    <w:p w14:paraId="330BEC46" w14:textId="77777777" w:rsidR="00676882" w:rsidRDefault="00676882" w:rsidP="00676882">
      <w:pPr>
        <w:pStyle w:val="Heading4"/>
        <w:numPr>
          <w:ilvl w:val="0"/>
          <w:numId w:val="0"/>
        </w:numPr>
      </w:pPr>
      <w:r>
        <w:t>Hot temperatures</w:t>
      </w:r>
    </w:p>
    <w:p w14:paraId="6B7418F6" w14:textId="77777777" w:rsidR="00676882" w:rsidRDefault="00676882" w:rsidP="00676882">
      <w:pPr>
        <w:pStyle w:val="BodyText"/>
      </w:pPr>
      <w:r>
        <w:t>As with minimum cold temperatures, WHO provides recommended maximum temperatures for indoors. High indoor temperatures are related to outdoor temperatures, housing materials and orientation, green spaces, and thermal control features like insulation, controlled ventilation, shading and access to cooling or air conditioning. The importance of moderate indoor temperatures may be more important to allow people to escape high outdoor temperatures.</w:t>
      </w:r>
    </w:p>
    <w:p w14:paraId="5FEE85E8" w14:textId="77777777" w:rsidR="00676882" w:rsidRDefault="00676882" w:rsidP="00676882">
      <w:pPr>
        <w:pStyle w:val="BodyText"/>
      </w:pPr>
      <w:r>
        <w:t>However, unlike cold temperatures, safe maximum indoor temperatures are location dependant and vary significantly — acclimatisation matters. In typically cool regions, such as Boston, maximum temperatures as low as 25°C are considered acceptable. While in hot regions, such as Thailand, maximum temperatures above 30°C are considered acceptable. As with cold temperatures, vulnerable persons have less capacity to deal with high indoor temperatures.</w:t>
      </w:r>
    </w:p>
    <w:p w14:paraId="5C940EE3" w14:textId="77777777" w:rsidR="00676882" w:rsidRPr="00D66E47" w:rsidRDefault="00676882" w:rsidP="00676882">
      <w:pPr>
        <w:pStyle w:val="BodyText"/>
      </w:pPr>
      <w:r>
        <w:t>High indoor temperatures are associated with increased blood pressure, respiratory and cardiovascular disease, mental health, pregnancy outcomes, and sleep quality, as well as acute heatstroke which is an immediate risk to life.</w:t>
      </w:r>
    </w:p>
    <w:p w14:paraId="370C131A" w14:textId="77777777" w:rsidR="00676882" w:rsidRDefault="00676882" w:rsidP="00676882">
      <w:pPr>
        <w:pStyle w:val="Heading4"/>
      </w:pPr>
      <w:r>
        <w:t>The magnitude of the problem</w:t>
      </w:r>
    </w:p>
    <w:p w14:paraId="654590DA" w14:textId="77777777" w:rsidR="00676882" w:rsidRDefault="00676882" w:rsidP="00676882">
      <w:pPr>
        <w:pStyle w:val="BodyText"/>
        <w:keepNext/>
      </w:pPr>
      <w:r>
        <w:t>Some indication of the magnitude of the problem can be found in the literature:</w:t>
      </w:r>
    </w:p>
    <w:p w14:paraId="38D2F52E" w14:textId="77777777" w:rsidR="00676882" w:rsidRPr="00A605DC" w:rsidRDefault="00676882" w:rsidP="00676882">
      <w:pPr>
        <w:pStyle w:val="ListBullet"/>
      </w:pPr>
      <w:r w:rsidRPr="00A605DC">
        <w:t>Energy</w:t>
      </w:r>
      <w:r>
        <w:t xml:space="preserve"> </w:t>
      </w:r>
      <w:r w:rsidRPr="00A605DC">
        <w:t>efficiency</w:t>
      </w:r>
      <w:r>
        <w:t xml:space="preserve"> </w:t>
      </w:r>
      <w:r w:rsidRPr="00A605DC">
        <w:t>can</w:t>
      </w:r>
      <w:r>
        <w:t xml:space="preserve"> </w:t>
      </w:r>
      <w:r w:rsidRPr="00A605DC">
        <w:t>help</w:t>
      </w:r>
      <w:r>
        <w:t xml:space="preserve"> </w:t>
      </w:r>
      <w:r w:rsidRPr="00A605DC">
        <w:t>reduce</w:t>
      </w:r>
      <w:r>
        <w:t xml:space="preserve"> </w:t>
      </w:r>
      <w:r w:rsidRPr="00A605DC">
        <w:t>mortality</w:t>
      </w:r>
      <w:r>
        <w:t xml:space="preserve"> </w:t>
      </w:r>
      <w:r w:rsidRPr="00A605DC">
        <w:t>rates</w:t>
      </w:r>
      <w:r>
        <w:t xml:space="preserve"> </w:t>
      </w:r>
      <w:r w:rsidRPr="00A605DC">
        <w:t>related</w:t>
      </w:r>
      <w:r>
        <w:t xml:space="preserve"> </w:t>
      </w:r>
      <w:r w:rsidRPr="00A605DC">
        <w:t>to</w:t>
      </w:r>
      <w:r>
        <w:t xml:space="preserve"> </w:t>
      </w:r>
      <w:r w:rsidRPr="00A605DC">
        <w:t>homes</w:t>
      </w:r>
      <w:r>
        <w:t xml:space="preserve"> </w:t>
      </w:r>
      <w:r w:rsidRPr="00A605DC">
        <w:t>that</w:t>
      </w:r>
      <w:r>
        <w:t xml:space="preserve"> </w:t>
      </w:r>
      <w:r w:rsidRPr="00A605DC">
        <w:t>are</w:t>
      </w:r>
      <w:r>
        <w:t xml:space="preserve"> </w:t>
      </w:r>
      <w:r w:rsidRPr="00A605DC">
        <w:t>too</w:t>
      </w:r>
      <w:r>
        <w:t xml:space="preserve"> </w:t>
      </w:r>
      <w:r w:rsidRPr="00A605DC">
        <w:t>cold</w:t>
      </w:r>
      <w:r>
        <w:t xml:space="preserve"> </w:t>
      </w:r>
      <w:r w:rsidRPr="00A605DC">
        <w:t>or</w:t>
      </w:r>
      <w:r>
        <w:t xml:space="preserve"> </w:t>
      </w:r>
      <w:r w:rsidRPr="00A605DC">
        <w:t>too</w:t>
      </w:r>
      <w:r>
        <w:t xml:space="preserve"> </w:t>
      </w:r>
      <w:r w:rsidRPr="00A605DC">
        <w:t>hot</w:t>
      </w:r>
      <w:r>
        <w:t>.</w:t>
      </w:r>
    </w:p>
    <w:p w14:paraId="1014B477" w14:textId="77777777" w:rsidR="00676882" w:rsidRDefault="00676882" w:rsidP="00676882">
      <w:pPr>
        <w:pStyle w:val="ListBullet2"/>
      </w:pPr>
      <w:r w:rsidRPr="00F80E53">
        <w:t>Homes</w:t>
      </w:r>
      <w:r>
        <w:t xml:space="preserve"> </w:t>
      </w:r>
      <w:r w:rsidRPr="00F80E53">
        <w:t>that</w:t>
      </w:r>
      <w:r>
        <w:t xml:space="preserve"> </w:t>
      </w:r>
      <w:r w:rsidRPr="00F80E53">
        <w:t>are</w:t>
      </w:r>
      <w:r>
        <w:t xml:space="preserve"> </w:t>
      </w:r>
      <w:r w:rsidRPr="00F80E53">
        <w:t>too</w:t>
      </w:r>
      <w:r>
        <w:t xml:space="preserve"> </w:t>
      </w:r>
      <w:r w:rsidRPr="00F80E53">
        <w:t>cold</w:t>
      </w:r>
      <w:r>
        <w:t xml:space="preserve"> </w:t>
      </w:r>
      <w:r w:rsidRPr="00F80E53">
        <w:t>or</w:t>
      </w:r>
      <w:r>
        <w:t xml:space="preserve"> </w:t>
      </w:r>
      <w:r w:rsidRPr="00F80E53">
        <w:t>too</w:t>
      </w:r>
      <w:r>
        <w:t xml:space="preserve"> </w:t>
      </w:r>
      <w:r w:rsidRPr="00F80E53">
        <w:t>hot,</w:t>
      </w:r>
      <w:r>
        <w:t xml:space="preserve"> </w:t>
      </w:r>
      <w:r w:rsidRPr="00F80E53">
        <w:t>particularly</w:t>
      </w:r>
      <w:r>
        <w:t xml:space="preserve"> </w:t>
      </w:r>
      <w:r w:rsidRPr="00F80E53">
        <w:t>during</w:t>
      </w:r>
      <w:r>
        <w:t xml:space="preserve"> </w:t>
      </w:r>
      <w:r w:rsidRPr="00F80E53">
        <w:t>hot</w:t>
      </w:r>
      <w:r>
        <w:t xml:space="preserve"> </w:t>
      </w:r>
      <w:r w:rsidRPr="00F80E53">
        <w:t>and</w:t>
      </w:r>
      <w:r>
        <w:t xml:space="preserve"> </w:t>
      </w:r>
      <w:r w:rsidRPr="00F80E53">
        <w:t>cold</w:t>
      </w:r>
      <w:r>
        <w:t xml:space="preserve"> </w:t>
      </w:r>
      <w:r w:rsidRPr="00F80E53">
        <w:t>weather</w:t>
      </w:r>
      <w:r>
        <w:t xml:space="preserve"> </w:t>
      </w:r>
      <w:r w:rsidRPr="00F80E53">
        <w:t>spells,</w:t>
      </w:r>
      <w:r>
        <w:t xml:space="preserve"> </w:t>
      </w:r>
      <w:r w:rsidRPr="00F80E53">
        <w:t>can</w:t>
      </w:r>
      <w:r>
        <w:t xml:space="preserve"> </w:t>
      </w:r>
      <w:r w:rsidRPr="00F80E53">
        <w:t>lead</w:t>
      </w:r>
      <w:r>
        <w:t xml:space="preserve"> </w:t>
      </w:r>
      <w:r w:rsidRPr="00F80E53">
        <w:t>to</w:t>
      </w:r>
      <w:r>
        <w:t xml:space="preserve"> </w:t>
      </w:r>
      <w:r w:rsidRPr="00F80E53">
        <w:t>an</w:t>
      </w:r>
      <w:r>
        <w:t xml:space="preserve"> </w:t>
      </w:r>
      <w:r w:rsidRPr="00F80E53">
        <w:t>increase</w:t>
      </w:r>
      <w:r>
        <w:t xml:space="preserve"> </w:t>
      </w:r>
      <w:r w:rsidRPr="00F80E53">
        <w:t>in</w:t>
      </w:r>
      <w:r>
        <w:t xml:space="preserve"> </w:t>
      </w:r>
      <w:r w:rsidRPr="00F80E53">
        <w:t>mortality.</w:t>
      </w:r>
      <w:r>
        <w:t xml:space="preserve"> Gasparrini et al. </w:t>
      </w:r>
      <w:sdt>
        <w:sdtPr>
          <w:id w:val="367417264"/>
          <w:citation/>
        </w:sdtPr>
        <w:sdtContent>
          <w:r>
            <w:fldChar w:fldCharType="begin"/>
          </w:r>
          <w:r>
            <w:instrText xml:space="preserve">CITATION Gas15 \n  \t  \l 3081 </w:instrText>
          </w:r>
          <w:r>
            <w:fldChar w:fldCharType="separate"/>
          </w:r>
          <w:r>
            <w:rPr>
              <w:noProof/>
            </w:rPr>
            <w:t>(2015)</w:t>
          </w:r>
          <w:r>
            <w:fldChar w:fldCharType="end"/>
          </w:r>
        </w:sdtContent>
      </w:sdt>
      <w:r>
        <w:t xml:space="preserve"> found that c</w:t>
      </w:r>
      <w:r w:rsidRPr="00F80E53">
        <w:t>old</w:t>
      </w:r>
      <w:r>
        <w:t xml:space="preserve"> </w:t>
      </w:r>
      <w:r w:rsidRPr="00F80E53">
        <w:t>weather</w:t>
      </w:r>
      <w:r>
        <w:t xml:space="preserve"> </w:t>
      </w:r>
      <w:r w:rsidRPr="00F80E53">
        <w:lastRenderedPageBreak/>
        <w:t>contributes</w:t>
      </w:r>
      <w:r>
        <w:t xml:space="preserve"> </w:t>
      </w:r>
      <w:r w:rsidRPr="00F80E53">
        <w:t>towards</w:t>
      </w:r>
      <w:r>
        <w:t xml:space="preserve"> </w:t>
      </w:r>
      <w:r w:rsidRPr="00F80E53">
        <w:t>6.5</w:t>
      </w:r>
      <w:r>
        <w:t xml:space="preserve"> per cent of </w:t>
      </w:r>
      <w:r w:rsidRPr="00F80E53">
        <w:t>all</w:t>
      </w:r>
      <w:r>
        <w:t xml:space="preserve"> </w:t>
      </w:r>
      <w:r w:rsidRPr="00F80E53">
        <w:t>deaths</w:t>
      </w:r>
      <w:r>
        <w:t xml:space="preserve"> </w:t>
      </w:r>
      <w:r w:rsidRPr="00F80E53">
        <w:t>in</w:t>
      </w:r>
      <w:r>
        <w:t xml:space="preserve"> </w:t>
      </w:r>
      <w:r w:rsidRPr="00F80E53">
        <w:t>Australia</w:t>
      </w:r>
      <w:r>
        <w:t xml:space="preserve"> </w:t>
      </w:r>
      <w:r w:rsidRPr="00F80E53">
        <w:t>and</w:t>
      </w:r>
      <w:r>
        <w:t xml:space="preserve"> </w:t>
      </w:r>
      <w:r w:rsidRPr="00F80E53">
        <w:t>hot</w:t>
      </w:r>
      <w:r>
        <w:t xml:space="preserve"> </w:t>
      </w:r>
      <w:r w:rsidRPr="00F80E53">
        <w:t>weather</w:t>
      </w:r>
      <w:r>
        <w:t xml:space="preserve"> </w:t>
      </w:r>
      <w:r w:rsidRPr="00F80E53">
        <w:t>contributes</w:t>
      </w:r>
      <w:r>
        <w:t xml:space="preserve"> </w:t>
      </w:r>
      <w:r w:rsidRPr="00F80E53">
        <w:t>towards</w:t>
      </w:r>
      <w:r>
        <w:t xml:space="preserve"> </w:t>
      </w:r>
      <w:r w:rsidRPr="00F80E53">
        <w:t>a</w:t>
      </w:r>
      <w:r>
        <w:t xml:space="preserve"> </w:t>
      </w:r>
      <w:r w:rsidRPr="00F80E53">
        <w:t>further</w:t>
      </w:r>
      <w:r>
        <w:t xml:space="preserve"> </w:t>
      </w:r>
      <w:r w:rsidRPr="00F80E53">
        <w:t>0.5</w:t>
      </w:r>
      <w:r>
        <w:t xml:space="preserve"> per cent </w:t>
      </w:r>
      <w:r w:rsidRPr="00F80E53">
        <w:t>of</w:t>
      </w:r>
      <w:r>
        <w:t xml:space="preserve"> </w:t>
      </w:r>
      <w:r w:rsidRPr="00F80E53">
        <w:t>deaths</w:t>
      </w:r>
      <w:r>
        <w:t xml:space="preserve">. Furthermore, a </w:t>
      </w:r>
      <w:r w:rsidRPr="00F80E53">
        <w:t>recent</w:t>
      </w:r>
      <w:r>
        <w:t xml:space="preserve"> </w:t>
      </w:r>
      <w:r w:rsidRPr="00F80E53">
        <w:t>study</w:t>
      </w:r>
      <w:r>
        <w:t xml:space="preserve"> </w:t>
      </w:r>
      <w:r w:rsidRPr="00F80E53">
        <w:t>found</w:t>
      </w:r>
      <w:r>
        <w:t xml:space="preserve"> </w:t>
      </w:r>
      <w:r w:rsidRPr="00F80E53">
        <w:t>that</w:t>
      </w:r>
      <w:r>
        <w:t xml:space="preserve"> </w:t>
      </w:r>
      <w:r w:rsidRPr="00F80E53">
        <w:t>the</w:t>
      </w:r>
      <w:r>
        <w:t xml:space="preserve"> </w:t>
      </w:r>
      <w:r w:rsidRPr="00F80E53">
        <w:t>mortality</w:t>
      </w:r>
      <w:r>
        <w:t xml:space="preserve"> </w:t>
      </w:r>
      <w:r w:rsidRPr="00F80E53">
        <w:t>rate</w:t>
      </w:r>
      <w:r>
        <w:t xml:space="preserve"> </w:t>
      </w:r>
      <w:r w:rsidRPr="00F80E53">
        <w:t>from</w:t>
      </w:r>
      <w:r>
        <w:t xml:space="preserve"> events similar to the 2009 Melbourne heatwave </w:t>
      </w:r>
      <w:r w:rsidRPr="00F80E53">
        <w:t>might</w:t>
      </w:r>
      <w:r>
        <w:t xml:space="preserve"> </w:t>
      </w:r>
      <w:r w:rsidRPr="00F80E53">
        <w:t>be</w:t>
      </w:r>
      <w:r>
        <w:t xml:space="preserve"> </w:t>
      </w:r>
      <w:r w:rsidRPr="00F80E53">
        <w:t>reduced</w:t>
      </w:r>
      <w:r>
        <w:t xml:space="preserve"> </w:t>
      </w:r>
      <w:r w:rsidRPr="00F80E53">
        <w:t>by</w:t>
      </w:r>
      <w:r>
        <w:t xml:space="preserve"> </w:t>
      </w:r>
      <w:r w:rsidRPr="00F80E53">
        <w:t>90</w:t>
      </w:r>
      <w:r>
        <w:t xml:space="preserve"> per cent </w:t>
      </w:r>
      <w:r w:rsidRPr="00F80E53">
        <w:t>if</w:t>
      </w:r>
      <w:r>
        <w:t xml:space="preserve"> </w:t>
      </w:r>
      <w:r w:rsidRPr="00F80E53">
        <w:t>all</w:t>
      </w:r>
      <w:r>
        <w:t xml:space="preserve"> </w:t>
      </w:r>
      <w:r w:rsidRPr="00F80E53">
        <w:t>houses</w:t>
      </w:r>
      <w:r>
        <w:t xml:space="preserve"> </w:t>
      </w:r>
      <w:r w:rsidRPr="00F80E53">
        <w:t>with</w:t>
      </w:r>
      <w:r>
        <w:t xml:space="preserve"> </w:t>
      </w:r>
      <w:r w:rsidRPr="00F80E53">
        <w:t>lower</w:t>
      </w:r>
      <w:r>
        <w:t xml:space="preserve"> </w:t>
      </w:r>
      <w:r w:rsidRPr="00F80E53">
        <w:t>energy</w:t>
      </w:r>
      <w:r>
        <w:t xml:space="preserve"> </w:t>
      </w:r>
      <w:r w:rsidRPr="00F80E53">
        <w:t>star</w:t>
      </w:r>
      <w:r>
        <w:t xml:space="preserve"> </w:t>
      </w:r>
      <w:r w:rsidRPr="00F80E53">
        <w:t>ratings</w:t>
      </w:r>
      <w:r>
        <w:t xml:space="preserve"> </w:t>
      </w:r>
      <w:r w:rsidRPr="00F80E53">
        <w:t>are</w:t>
      </w:r>
      <w:r>
        <w:t xml:space="preserve"> </w:t>
      </w:r>
      <w:r w:rsidRPr="00F80E53">
        <w:t>upgraded</w:t>
      </w:r>
      <w:r>
        <w:t xml:space="preserve"> </w:t>
      </w:r>
      <w:r w:rsidRPr="00F80E53">
        <w:t>to</w:t>
      </w:r>
      <w:r>
        <w:t xml:space="preserve"> </w:t>
      </w:r>
      <w:r w:rsidRPr="00F80E53">
        <w:t>a</w:t>
      </w:r>
      <w:r>
        <w:t xml:space="preserve"> </w:t>
      </w:r>
      <w:r w:rsidRPr="00F80E53">
        <w:t>minimum</w:t>
      </w:r>
      <w:r>
        <w:t xml:space="preserve"> </w:t>
      </w:r>
      <w:proofErr w:type="gramStart"/>
      <w:r w:rsidRPr="00F80E53">
        <w:t>5.4</w:t>
      </w:r>
      <w:r>
        <w:t> </w:t>
      </w:r>
      <w:r w:rsidRPr="00F80E53">
        <w:t>star</w:t>
      </w:r>
      <w:proofErr w:type="gramEnd"/>
      <w:r>
        <w:t xml:space="preserve"> </w:t>
      </w:r>
      <w:r w:rsidRPr="00F80E53">
        <w:t>energy</w:t>
      </w:r>
      <w:r>
        <w:t xml:space="preserve"> </w:t>
      </w:r>
      <w:r w:rsidRPr="00F80E53">
        <w:t>rating</w:t>
      </w:r>
      <w:r>
        <w:t xml:space="preserve"> </w:t>
      </w:r>
      <w:sdt>
        <w:sdtPr>
          <w:id w:val="-1136249836"/>
          <w:citation/>
        </w:sdtPr>
        <w:sdtContent>
          <w:r>
            <w:fldChar w:fldCharType="begin"/>
          </w:r>
          <w:r>
            <w:instrText xml:space="preserve"> CITATION Ala16 \l 3081 </w:instrText>
          </w:r>
          <w:r>
            <w:fldChar w:fldCharType="separate"/>
          </w:r>
          <w:r>
            <w:rPr>
              <w:noProof/>
            </w:rPr>
            <w:t>(Alam, Sanjayan, Zou, Stewart, &amp; Wilson, 2016)</w:t>
          </w:r>
          <w:r>
            <w:fldChar w:fldCharType="end"/>
          </w:r>
        </w:sdtContent>
      </w:sdt>
      <w:r w:rsidRPr="00F80E53">
        <w:t>.</w:t>
      </w:r>
    </w:p>
    <w:p w14:paraId="055BE90A" w14:textId="77777777" w:rsidR="00676882" w:rsidRPr="0047360E" w:rsidRDefault="00676882" w:rsidP="00676882">
      <w:pPr>
        <w:pStyle w:val="ListBullet"/>
      </w:pPr>
      <w:r w:rsidRPr="0047360E">
        <w:t>Energy</w:t>
      </w:r>
      <w:r>
        <w:t xml:space="preserve"> </w:t>
      </w:r>
      <w:r w:rsidRPr="0047360E">
        <w:t>efficiency</w:t>
      </w:r>
      <w:r>
        <w:t xml:space="preserve"> </w:t>
      </w:r>
      <w:r w:rsidRPr="0047360E">
        <w:t>can</w:t>
      </w:r>
      <w:r>
        <w:t xml:space="preserve"> reduce </w:t>
      </w:r>
      <w:r w:rsidRPr="0047360E">
        <w:t>respiratory</w:t>
      </w:r>
      <w:r>
        <w:t xml:space="preserve"> </w:t>
      </w:r>
      <w:r w:rsidRPr="0047360E">
        <w:t>diseases</w:t>
      </w:r>
      <w:r>
        <w:t xml:space="preserve"> and the impact of allergies</w:t>
      </w:r>
    </w:p>
    <w:p w14:paraId="3207D3C4" w14:textId="77777777" w:rsidR="00676882" w:rsidRDefault="00676882" w:rsidP="00676882">
      <w:pPr>
        <w:pStyle w:val="ListBullet2"/>
      </w:pPr>
      <w:r w:rsidRPr="00F80E53">
        <w:t>Excess</w:t>
      </w:r>
      <w:r>
        <w:t xml:space="preserve"> </w:t>
      </w:r>
      <w:r w:rsidRPr="00F80E53">
        <w:t>cold</w:t>
      </w:r>
      <w:r>
        <w:t xml:space="preserve"> </w:t>
      </w:r>
      <w:r w:rsidRPr="00F80E53">
        <w:t>and</w:t>
      </w:r>
      <w:r>
        <w:t xml:space="preserve"> </w:t>
      </w:r>
      <w:r w:rsidRPr="00F80E53">
        <w:t>indoor</w:t>
      </w:r>
      <w:r>
        <w:t xml:space="preserve"> </w:t>
      </w:r>
      <w:r w:rsidRPr="00F80E53">
        <w:t>humidity</w:t>
      </w:r>
      <w:r>
        <w:t xml:space="preserve"> </w:t>
      </w:r>
      <w:r w:rsidRPr="00F80E53">
        <w:t>or</w:t>
      </w:r>
      <w:r>
        <w:t xml:space="preserve"> </w:t>
      </w:r>
      <w:r w:rsidRPr="00F80E53">
        <w:t>dampness</w:t>
      </w:r>
      <w:r>
        <w:t xml:space="preserve"> </w:t>
      </w:r>
      <w:r w:rsidRPr="00F80E53">
        <w:t>can</w:t>
      </w:r>
      <w:r>
        <w:t xml:space="preserve"> </w:t>
      </w:r>
      <w:r w:rsidRPr="00F80E53">
        <w:t>generate</w:t>
      </w:r>
      <w:r>
        <w:t xml:space="preserve"> </w:t>
      </w:r>
      <w:r w:rsidRPr="00F80E53">
        <w:t>and</w:t>
      </w:r>
      <w:r>
        <w:t xml:space="preserve"> </w:t>
      </w:r>
      <w:r w:rsidRPr="00F80E53">
        <w:t>aggravate</w:t>
      </w:r>
      <w:r>
        <w:t xml:space="preserve"> </w:t>
      </w:r>
      <w:r w:rsidRPr="00F80E53">
        <w:t>a</w:t>
      </w:r>
      <w:r>
        <w:t xml:space="preserve"> </w:t>
      </w:r>
      <w:r w:rsidRPr="00F80E53">
        <w:t>range</w:t>
      </w:r>
      <w:r>
        <w:t xml:space="preserve"> </w:t>
      </w:r>
      <w:r w:rsidRPr="00F80E53">
        <w:t>of</w:t>
      </w:r>
      <w:r>
        <w:t xml:space="preserve"> </w:t>
      </w:r>
      <w:r w:rsidRPr="00F80E53">
        <w:t>illnesses,</w:t>
      </w:r>
      <w:r>
        <w:t xml:space="preserve"> </w:t>
      </w:r>
      <w:r w:rsidRPr="00F80E53">
        <w:t>including</w:t>
      </w:r>
      <w:r>
        <w:t xml:space="preserve"> </w:t>
      </w:r>
      <w:r w:rsidRPr="00F80E53">
        <w:t>allergies</w:t>
      </w:r>
      <w:r>
        <w:t xml:space="preserve"> </w:t>
      </w:r>
      <w:r w:rsidRPr="00F80E53">
        <w:t>and</w:t>
      </w:r>
      <w:r>
        <w:t xml:space="preserve"> </w:t>
      </w:r>
      <w:r w:rsidRPr="00F80E53">
        <w:t>respiratory</w:t>
      </w:r>
      <w:r>
        <w:t xml:space="preserve"> </w:t>
      </w:r>
      <w:r w:rsidRPr="00F80E53">
        <w:t>diseases</w:t>
      </w:r>
      <w:r>
        <w:t xml:space="preserve"> </w:t>
      </w:r>
      <w:r w:rsidRPr="00F80E53">
        <w:t>such</w:t>
      </w:r>
      <w:r>
        <w:t xml:space="preserve"> </w:t>
      </w:r>
      <w:r w:rsidRPr="00F80E53">
        <w:t>as</w:t>
      </w:r>
      <w:r>
        <w:t xml:space="preserve"> </w:t>
      </w:r>
      <w:r w:rsidRPr="00F80E53">
        <w:t>asthma.</w:t>
      </w:r>
      <w:r>
        <w:t xml:space="preserve"> </w:t>
      </w:r>
      <w:r w:rsidRPr="00F80E53">
        <w:t>In</w:t>
      </w:r>
      <w:r>
        <w:t xml:space="preserve"> </w:t>
      </w:r>
      <w:r w:rsidRPr="00F80E53">
        <w:t>addition,</w:t>
      </w:r>
      <w:r>
        <w:t xml:space="preserve"> </w:t>
      </w:r>
      <w:r w:rsidRPr="00F80E53">
        <w:t>excess</w:t>
      </w:r>
      <w:r>
        <w:t xml:space="preserve"> </w:t>
      </w:r>
      <w:r w:rsidRPr="00F80E53">
        <w:t>dampness</w:t>
      </w:r>
      <w:r>
        <w:t xml:space="preserve"> </w:t>
      </w:r>
      <w:r w:rsidRPr="00F80E53">
        <w:t>can</w:t>
      </w:r>
      <w:r>
        <w:t xml:space="preserve"> </w:t>
      </w:r>
      <w:r w:rsidRPr="00F80E53">
        <w:t>lead</w:t>
      </w:r>
      <w:r>
        <w:t xml:space="preserve"> </w:t>
      </w:r>
      <w:r w:rsidRPr="00F80E53">
        <w:t>to</w:t>
      </w:r>
      <w:r>
        <w:t xml:space="preserve"> </w:t>
      </w:r>
      <w:r w:rsidRPr="00F80E53">
        <w:t>mould</w:t>
      </w:r>
      <w:r>
        <w:t xml:space="preserve"> </w:t>
      </w:r>
      <w:r w:rsidRPr="00F80E53">
        <w:t>growth,</w:t>
      </w:r>
      <w:r>
        <w:t xml:space="preserve"> </w:t>
      </w:r>
      <w:r w:rsidRPr="00F80E53">
        <w:t>which</w:t>
      </w:r>
      <w:r>
        <w:t xml:space="preserve"> </w:t>
      </w:r>
      <w:r w:rsidRPr="00F80E53">
        <w:t>has</w:t>
      </w:r>
      <w:r>
        <w:t xml:space="preserve"> </w:t>
      </w:r>
      <w:r w:rsidRPr="00F80E53">
        <w:t>further</w:t>
      </w:r>
      <w:r>
        <w:t xml:space="preserve"> </w:t>
      </w:r>
      <w:r w:rsidRPr="00F80E53">
        <w:t>negative</w:t>
      </w:r>
      <w:r>
        <w:t xml:space="preserve"> </w:t>
      </w:r>
      <w:r w:rsidRPr="00F80E53">
        <w:t>health</w:t>
      </w:r>
      <w:r>
        <w:t xml:space="preserve"> </w:t>
      </w:r>
      <w:r w:rsidRPr="00F80E53">
        <w:t>impacts</w:t>
      </w:r>
      <w:r>
        <w:t xml:space="preserve"> </w:t>
      </w:r>
      <w:sdt>
        <w:sdtPr>
          <w:id w:val="-1549598111"/>
          <w:citation/>
        </w:sdtPr>
        <w:sdtContent>
          <w:r>
            <w:fldChar w:fldCharType="begin"/>
          </w:r>
          <w:r>
            <w:instrText xml:space="preserve"> CITATION ACI171 \l 3081 </w:instrText>
          </w:r>
          <w:r>
            <w:fldChar w:fldCharType="separate"/>
          </w:r>
          <w:r>
            <w:rPr>
              <w:noProof/>
            </w:rPr>
            <w:t>(ACIL Allen, 2017)</w:t>
          </w:r>
          <w:r>
            <w:fldChar w:fldCharType="end"/>
          </w:r>
        </w:sdtContent>
      </w:sdt>
      <w:r w:rsidRPr="00F80E53">
        <w:t>.</w:t>
      </w:r>
      <w:r>
        <w:t xml:space="preserve"> </w:t>
      </w:r>
    </w:p>
    <w:p w14:paraId="7153C358" w14:textId="77777777" w:rsidR="00676882" w:rsidRDefault="00676882" w:rsidP="00676882">
      <w:pPr>
        <w:pStyle w:val="ListBullet2"/>
        <w:keepNext/>
        <w:ind w:left="777" w:hanging="357"/>
      </w:pPr>
      <w:r>
        <w:t>National and international literature suggest that:</w:t>
      </w:r>
    </w:p>
    <w:p w14:paraId="3579E933" w14:textId="77777777" w:rsidR="00676882" w:rsidRDefault="00676882" w:rsidP="00676882">
      <w:pPr>
        <w:pStyle w:val="ListBullet3"/>
      </w:pPr>
      <w:r>
        <w:t xml:space="preserve">Household mould and moisture can contribute to asthma, wheezing and allergic rhinitis in both adults </w:t>
      </w:r>
      <w:sdt>
        <w:sdtPr>
          <w:id w:val="102693845"/>
          <w:citation/>
        </w:sdtPr>
        <w:sdtContent>
          <w:r>
            <w:fldChar w:fldCharType="begin"/>
          </w:r>
          <w:r>
            <w:rPr>
              <w:lang w:val="en-US"/>
            </w:rPr>
            <w:instrText xml:space="preserve"> CITATION Jue20 \l 1033 </w:instrText>
          </w:r>
          <w:r>
            <w:fldChar w:fldCharType="separate"/>
          </w:r>
          <w:r>
            <w:rPr>
              <w:noProof/>
              <w:lang w:val="en-US"/>
            </w:rPr>
            <w:t>(Juel Holst, et al., 2020)</w:t>
          </w:r>
          <w:r>
            <w:fldChar w:fldCharType="end"/>
          </w:r>
        </w:sdtContent>
      </w:sdt>
      <w:r>
        <w:t xml:space="preserve"> and children </w:t>
      </w:r>
      <w:sdt>
        <w:sdtPr>
          <w:id w:val="-1405761846"/>
          <w:citation/>
        </w:sdtPr>
        <w:sdtContent>
          <w:r>
            <w:fldChar w:fldCharType="begin"/>
          </w:r>
          <w:r>
            <w:rPr>
              <w:lang w:val="en-US"/>
            </w:rPr>
            <w:instrText xml:space="preserve"> CITATION Tis11 \l 1033 </w:instrText>
          </w:r>
          <w:r>
            <w:fldChar w:fldCharType="separate"/>
          </w:r>
          <w:r>
            <w:rPr>
              <w:noProof/>
              <w:lang w:val="en-US"/>
            </w:rPr>
            <w:t>(Tischer, Chen, &amp; Heinrich, 2011)</w:t>
          </w:r>
          <w:r>
            <w:fldChar w:fldCharType="end"/>
          </w:r>
        </w:sdtContent>
      </w:sdt>
      <w:r>
        <w:t>.</w:t>
      </w:r>
    </w:p>
    <w:p w14:paraId="20F42877" w14:textId="77777777" w:rsidR="00676882" w:rsidRDefault="00676882" w:rsidP="00676882">
      <w:pPr>
        <w:pStyle w:val="ListBullet3"/>
      </w:pPr>
      <w:r>
        <w:t>E</w:t>
      </w:r>
      <w:r w:rsidRPr="00F80E53">
        <w:t>xposure</w:t>
      </w:r>
      <w:r>
        <w:t xml:space="preserve"> </w:t>
      </w:r>
      <w:r w:rsidRPr="00F80E53">
        <w:t>of</w:t>
      </w:r>
      <w:r>
        <w:t xml:space="preserve"> </w:t>
      </w:r>
      <w:r w:rsidRPr="00F80E53">
        <w:t>Australian</w:t>
      </w:r>
      <w:r>
        <w:t xml:space="preserve"> </w:t>
      </w:r>
      <w:r w:rsidRPr="00F80E53">
        <w:t>children</w:t>
      </w:r>
      <w:r>
        <w:t xml:space="preserve"> </w:t>
      </w:r>
      <w:r w:rsidRPr="00F80E53">
        <w:t>to</w:t>
      </w:r>
      <w:r>
        <w:t xml:space="preserve"> </w:t>
      </w:r>
      <w:r w:rsidRPr="00F80E53">
        <w:t>damp</w:t>
      </w:r>
      <w:r>
        <w:t xml:space="preserve"> </w:t>
      </w:r>
      <w:r w:rsidRPr="00F80E53">
        <w:t>housing</w:t>
      </w:r>
      <w:r>
        <w:t xml:space="preserve"> </w:t>
      </w:r>
      <w:r w:rsidRPr="00F80E53">
        <w:t>is</w:t>
      </w:r>
      <w:r>
        <w:t xml:space="preserve"> </w:t>
      </w:r>
      <w:r w:rsidRPr="00F80E53">
        <w:t>associated</w:t>
      </w:r>
      <w:r>
        <w:t xml:space="preserve"> </w:t>
      </w:r>
      <w:r w:rsidRPr="00F80E53">
        <w:t>with</w:t>
      </w:r>
      <w:r>
        <w:t xml:space="preserve"> </w:t>
      </w:r>
      <w:r w:rsidRPr="00F80E53">
        <w:t>7.9</w:t>
      </w:r>
      <w:r>
        <w:t xml:space="preserve"> per cent </w:t>
      </w:r>
      <w:r w:rsidRPr="00F80E53">
        <w:t>of</w:t>
      </w:r>
      <w:r>
        <w:t xml:space="preserve"> </w:t>
      </w:r>
      <w:r w:rsidRPr="00F80E53">
        <w:t>the</w:t>
      </w:r>
      <w:r>
        <w:t xml:space="preserve"> </w:t>
      </w:r>
      <w:r w:rsidRPr="00F80E53">
        <w:t>total</w:t>
      </w:r>
      <w:r>
        <w:t xml:space="preserve"> </w:t>
      </w:r>
      <w:r w:rsidRPr="00F80E53">
        <w:t>asthma</w:t>
      </w:r>
      <w:r>
        <w:t xml:space="preserve"> </w:t>
      </w:r>
      <w:r w:rsidRPr="00F80E53">
        <w:t>burden</w:t>
      </w:r>
      <w:r>
        <w:t xml:space="preserve"> </w:t>
      </w:r>
      <w:r w:rsidRPr="00F80E53">
        <w:t>in</w:t>
      </w:r>
      <w:r>
        <w:t xml:space="preserve"> </w:t>
      </w:r>
      <w:r w:rsidRPr="00F80E53">
        <w:t>children</w:t>
      </w:r>
      <w:r>
        <w:t xml:space="preserve"> </w:t>
      </w:r>
      <w:r w:rsidRPr="00F80E53">
        <w:t>aged</w:t>
      </w:r>
      <w:r>
        <w:t xml:space="preserve"> </w:t>
      </w:r>
      <w:r w:rsidRPr="00F80E53">
        <w:t>14</w:t>
      </w:r>
      <w:r>
        <w:t xml:space="preserve"> </w:t>
      </w:r>
      <w:r w:rsidRPr="00F80E53">
        <w:t>years</w:t>
      </w:r>
      <w:r>
        <w:t xml:space="preserve"> </w:t>
      </w:r>
      <w:r w:rsidRPr="00F80E53">
        <w:t>or</w:t>
      </w:r>
      <w:r>
        <w:t xml:space="preserve"> </w:t>
      </w:r>
      <w:r w:rsidRPr="00F80E53">
        <w:t>under</w:t>
      </w:r>
      <w:r>
        <w:t xml:space="preserve"> </w:t>
      </w:r>
      <w:sdt>
        <w:sdtPr>
          <w:id w:val="930629549"/>
          <w:citation/>
        </w:sdtPr>
        <w:sdtContent>
          <w:r>
            <w:fldChar w:fldCharType="begin"/>
          </w:r>
          <w:r>
            <w:instrText xml:space="preserve"> CITATION Kni18 \l 3081 </w:instrText>
          </w:r>
          <w:r>
            <w:fldChar w:fldCharType="separate"/>
          </w:r>
          <w:r>
            <w:rPr>
              <w:noProof/>
            </w:rPr>
            <w:t>(Knibbs, Woldeyohannes, Marks, &amp; Cowie, 2018)</w:t>
          </w:r>
          <w:r>
            <w:fldChar w:fldCharType="end"/>
          </w:r>
        </w:sdtContent>
      </w:sdt>
      <w:r>
        <w:t>.</w:t>
      </w:r>
    </w:p>
    <w:p w14:paraId="51C11606" w14:textId="77777777" w:rsidR="00676882" w:rsidRDefault="00676882" w:rsidP="00676882">
      <w:pPr>
        <w:pStyle w:val="ListBullet3"/>
      </w:pPr>
      <w:r w:rsidRPr="00F80E53">
        <w:t>Europeans</w:t>
      </w:r>
      <w:r>
        <w:t xml:space="preserve"> </w:t>
      </w:r>
      <w:r w:rsidRPr="00F80E53">
        <w:t>living</w:t>
      </w:r>
      <w:r>
        <w:t xml:space="preserve"> </w:t>
      </w:r>
      <w:r w:rsidRPr="00F80E53">
        <w:t>in</w:t>
      </w:r>
      <w:r>
        <w:t xml:space="preserve"> </w:t>
      </w:r>
      <w:r w:rsidRPr="00F80E53">
        <w:t>damp</w:t>
      </w:r>
      <w:r>
        <w:t xml:space="preserve"> </w:t>
      </w:r>
      <w:r w:rsidRPr="00F80E53">
        <w:t>or</w:t>
      </w:r>
      <w:r>
        <w:t xml:space="preserve"> </w:t>
      </w:r>
      <w:r w:rsidRPr="00F80E53">
        <w:t>mouldy</w:t>
      </w:r>
      <w:r>
        <w:t xml:space="preserve"> </w:t>
      </w:r>
      <w:r w:rsidRPr="00F80E53">
        <w:t>homes</w:t>
      </w:r>
      <w:r>
        <w:t xml:space="preserve"> </w:t>
      </w:r>
      <w:r w:rsidRPr="00F80E53">
        <w:t>are</w:t>
      </w:r>
      <w:r>
        <w:t xml:space="preserve"> </w:t>
      </w:r>
      <w:r w:rsidRPr="00F80E53">
        <w:t>reported</w:t>
      </w:r>
      <w:r>
        <w:t xml:space="preserve"> </w:t>
      </w:r>
      <w:r w:rsidRPr="00F80E53">
        <w:t>to</w:t>
      </w:r>
      <w:r>
        <w:t xml:space="preserve"> </w:t>
      </w:r>
      <w:r w:rsidRPr="00F80E53">
        <w:t>be</w:t>
      </w:r>
      <w:r>
        <w:t xml:space="preserve"> </w:t>
      </w:r>
      <w:r w:rsidRPr="00F80E53">
        <w:t>40</w:t>
      </w:r>
      <w:r>
        <w:t xml:space="preserve"> per cent </w:t>
      </w:r>
      <w:r w:rsidRPr="00F80E53">
        <w:t>more</w:t>
      </w:r>
      <w:r>
        <w:t xml:space="preserve"> </w:t>
      </w:r>
      <w:r w:rsidRPr="00F80E53">
        <w:t>likely</w:t>
      </w:r>
      <w:r>
        <w:t xml:space="preserve"> </w:t>
      </w:r>
      <w:r w:rsidRPr="00F80E53">
        <w:t>to</w:t>
      </w:r>
      <w:r>
        <w:t xml:space="preserve"> </w:t>
      </w:r>
      <w:r w:rsidRPr="00F80E53">
        <w:t>have</w:t>
      </w:r>
      <w:r>
        <w:t xml:space="preserve"> </w:t>
      </w:r>
      <w:r w:rsidRPr="00F80E53">
        <w:t>asthma</w:t>
      </w:r>
      <w:r>
        <w:t xml:space="preserve"> </w:t>
      </w:r>
      <w:sdt>
        <w:sdtPr>
          <w:id w:val="-964729118"/>
          <w:citation/>
        </w:sdtPr>
        <w:sdtContent>
          <w:r>
            <w:fldChar w:fldCharType="begin"/>
          </w:r>
          <w:r>
            <w:instrText xml:space="preserve"> CITATION Vel21 \l 3081 </w:instrText>
          </w:r>
          <w:r>
            <w:fldChar w:fldCharType="separate"/>
          </w:r>
          <w:r>
            <w:rPr>
              <w:noProof/>
            </w:rPr>
            <w:t>(Velux, 2021)</w:t>
          </w:r>
          <w:r>
            <w:fldChar w:fldCharType="end"/>
          </w:r>
        </w:sdtContent>
      </w:sdt>
      <w:r w:rsidRPr="00F80E53">
        <w:t xml:space="preserve"> and</w:t>
      </w:r>
      <w:r>
        <w:t xml:space="preserve"> </w:t>
      </w:r>
      <w:r w:rsidRPr="00F80E53">
        <w:t>that</w:t>
      </w:r>
      <w:r>
        <w:t xml:space="preserve"> </w:t>
      </w:r>
      <w:r w:rsidRPr="00F80E53">
        <w:t>21</w:t>
      </w:r>
      <w:r>
        <w:t xml:space="preserve"> per cent </w:t>
      </w:r>
      <w:r w:rsidRPr="00F80E53">
        <w:t>of</w:t>
      </w:r>
      <w:r>
        <w:t xml:space="preserve"> </w:t>
      </w:r>
      <w:r w:rsidRPr="00F80E53">
        <w:t>the</w:t>
      </w:r>
      <w:r>
        <w:t xml:space="preserve"> </w:t>
      </w:r>
      <w:r w:rsidRPr="00F80E53">
        <w:t>asthma</w:t>
      </w:r>
      <w:r>
        <w:t xml:space="preserve"> </w:t>
      </w:r>
      <w:r w:rsidRPr="00F80E53">
        <w:t>cases</w:t>
      </w:r>
      <w:r>
        <w:t xml:space="preserve"> </w:t>
      </w:r>
      <w:r w:rsidRPr="00F80E53">
        <w:t>reported</w:t>
      </w:r>
      <w:r>
        <w:t xml:space="preserve"> </w:t>
      </w:r>
      <w:r w:rsidRPr="00F80E53">
        <w:t>in</w:t>
      </w:r>
      <w:r>
        <w:t xml:space="preserve"> </w:t>
      </w:r>
      <w:r w:rsidRPr="00F80E53">
        <w:t>the</w:t>
      </w:r>
      <w:r>
        <w:t xml:space="preserve"> </w:t>
      </w:r>
      <w:r w:rsidRPr="00F80E53">
        <w:t>USA</w:t>
      </w:r>
      <w:r>
        <w:t xml:space="preserve"> </w:t>
      </w:r>
      <w:r w:rsidRPr="00F80E53">
        <w:t>are</w:t>
      </w:r>
      <w:r>
        <w:t xml:space="preserve"> </w:t>
      </w:r>
      <w:r w:rsidRPr="00F80E53">
        <w:t>attributable</w:t>
      </w:r>
      <w:r>
        <w:t xml:space="preserve"> </w:t>
      </w:r>
      <w:r w:rsidRPr="00F80E53">
        <w:t>to</w:t>
      </w:r>
      <w:r>
        <w:t xml:space="preserve"> </w:t>
      </w:r>
      <w:r w:rsidRPr="00F80E53">
        <w:t>dampness</w:t>
      </w:r>
      <w:r>
        <w:t xml:space="preserve"> </w:t>
      </w:r>
      <w:r w:rsidRPr="00F80E53">
        <w:t>and</w:t>
      </w:r>
      <w:r>
        <w:t xml:space="preserve"> </w:t>
      </w:r>
      <w:r w:rsidRPr="00F80E53">
        <w:t>mould</w:t>
      </w:r>
      <w:r>
        <w:t xml:space="preserve"> </w:t>
      </w:r>
      <w:r w:rsidRPr="00F80E53">
        <w:t>exposure</w:t>
      </w:r>
      <w:r>
        <w:t xml:space="preserve"> </w:t>
      </w:r>
      <w:r w:rsidRPr="00F80E53">
        <w:t>in</w:t>
      </w:r>
      <w:r>
        <w:t xml:space="preserve"> </w:t>
      </w:r>
      <w:r w:rsidRPr="00F80E53">
        <w:t>the</w:t>
      </w:r>
      <w:r>
        <w:t xml:space="preserve"> </w:t>
      </w:r>
      <w:r w:rsidRPr="00F80E53">
        <w:t>home</w:t>
      </w:r>
      <w:r>
        <w:t xml:space="preserve"> </w:t>
      </w:r>
      <w:sdt>
        <w:sdtPr>
          <w:id w:val="1991911556"/>
          <w:citation/>
        </w:sdtPr>
        <w:sdtContent>
          <w:r>
            <w:fldChar w:fldCharType="begin"/>
          </w:r>
          <w:r>
            <w:instrText xml:space="preserve"> CITATION Mud07 \l 3081 </w:instrText>
          </w:r>
          <w:r>
            <w:fldChar w:fldCharType="separate"/>
          </w:r>
          <w:r>
            <w:rPr>
              <w:noProof/>
            </w:rPr>
            <w:t>(Mudarri &amp; Fisk, 2007)</w:t>
          </w:r>
          <w:r>
            <w:fldChar w:fldCharType="end"/>
          </w:r>
        </w:sdtContent>
      </w:sdt>
      <w:r w:rsidRPr="00F80E53">
        <w:t>.</w:t>
      </w:r>
      <w:r>
        <w:t xml:space="preserve"> </w:t>
      </w:r>
    </w:p>
    <w:p w14:paraId="7776D83E" w14:textId="77777777" w:rsidR="00676882" w:rsidRDefault="00676882" w:rsidP="00676882">
      <w:pPr>
        <w:pStyle w:val="ListBullet3"/>
      </w:pPr>
      <w:r w:rsidRPr="00F80E53">
        <w:t>New</w:t>
      </w:r>
      <w:r>
        <w:t xml:space="preserve"> </w:t>
      </w:r>
      <w:r w:rsidRPr="00F80E53">
        <w:t>Zealand</w:t>
      </w:r>
      <w:r>
        <w:t xml:space="preserve"> </w:t>
      </w:r>
      <w:r w:rsidRPr="00F80E53">
        <w:t>people</w:t>
      </w:r>
      <w:r>
        <w:t xml:space="preserve"> </w:t>
      </w:r>
      <w:r w:rsidRPr="00F80E53">
        <w:t>living</w:t>
      </w:r>
      <w:r>
        <w:t xml:space="preserve"> </w:t>
      </w:r>
      <w:r w:rsidRPr="00F80E53">
        <w:t>in</w:t>
      </w:r>
      <w:r>
        <w:t xml:space="preserve"> </w:t>
      </w:r>
      <w:r w:rsidRPr="00F80E53">
        <w:t>insulated</w:t>
      </w:r>
      <w:r>
        <w:t xml:space="preserve"> </w:t>
      </w:r>
      <w:r w:rsidRPr="00F80E53">
        <w:t>houses</w:t>
      </w:r>
      <w:r>
        <w:t xml:space="preserve"> </w:t>
      </w:r>
      <w:r w:rsidRPr="00F80E53">
        <w:t>are</w:t>
      </w:r>
      <w:r>
        <w:t xml:space="preserve"> </w:t>
      </w:r>
      <w:r w:rsidRPr="00F80E53">
        <w:t>found</w:t>
      </w:r>
      <w:r>
        <w:t xml:space="preserve"> </w:t>
      </w:r>
      <w:r w:rsidRPr="00F80E53">
        <w:t>to</w:t>
      </w:r>
      <w:r>
        <w:t xml:space="preserve"> </w:t>
      </w:r>
      <w:r w:rsidRPr="00F80E53">
        <w:t>have</w:t>
      </w:r>
      <w:r>
        <w:t xml:space="preserve"> </w:t>
      </w:r>
      <w:r w:rsidRPr="00F80E53">
        <w:t>about</w:t>
      </w:r>
      <w:r>
        <w:t xml:space="preserve"> </w:t>
      </w:r>
      <w:r w:rsidRPr="00F80E53">
        <w:t>half</w:t>
      </w:r>
      <w:r>
        <w:t xml:space="preserve"> </w:t>
      </w:r>
      <w:r w:rsidRPr="00F80E53">
        <w:t>the</w:t>
      </w:r>
      <w:r>
        <w:t xml:space="preserve"> </w:t>
      </w:r>
      <w:r w:rsidRPr="00F80E53">
        <w:t>odds</w:t>
      </w:r>
      <w:r>
        <w:t xml:space="preserve"> </w:t>
      </w:r>
      <w:r w:rsidRPr="00F80E53">
        <w:t>of</w:t>
      </w:r>
      <w:r>
        <w:t xml:space="preserve"> </w:t>
      </w:r>
      <w:r w:rsidRPr="00F80E53">
        <w:t>reporting</w:t>
      </w:r>
      <w:r>
        <w:t xml:space="preserve"> </w:t>
      </w:r>
      <w:r w:rsidRPr="00F80E53">
        <w:t>respiratory</w:t>
      </w:r>
      <w:r>
        <w:t xml:space="preserve"> </w:t>
      </w:r>
      <w:r w:rsidRPr="00F80E53">
        <w:t>symptoms</w:t>
      </w:r>
      <w:r>
        <w:t xml:space="preserve"> </w:t>
      </w:r>
      <w:r w:rsidRPr="00F80E53">
        <w:t>as</w:t>
      </w:r>
      <w:r>
        <w:t xml:space="preserve"> </w:t>
      </w:r>
      <w:r w:rsidRPr="00F80E53">
        <w:t>those</w:t>
      </w:r>
      <w:r>
        <w:t xml:space="preserve"> </w:t>
      </w:r>
      <w:r w:rsidRPr="00F80E53">
        <w:t>living</w:t>
      </w:r>
      <w:r>
        <w:t xml:space="preserve"> </w:t>
      </w:r>
      <w:r w:rsidRPr="00F80E53">
        <w:t>in</w:t>
      </w:r>
      <w:r>
        <w:t xml:space="preserve"> </w:t>
      </w:r>
      <w:r w:rsidRPr="00F80E53">
        <w:t>uninsulated</w:t>
      </w:r>
      <w:r>
        <w:t xml:space="preserve"> </w:t>
      </w:r>
      <w:r w:rsidRPr="00F80E53">
        <w:t>houses,</w:t>
      </w:r>
      <w:r>
        <w:t xml:space="preserve"> </w:t>
      </w:r>
      <w:proofErr w:type="gramStart"/>
      <w:r w:rsidRPr="00F80E53">
        <w:t>and</w:t>
      </w:r>
      <w:r>
        <w:t xml:space="preserve"> </w:t>
      </w:r>
      <w:r w:rsidRPr="00F80E53">
        <w:t>also</w:t>
      </w:r>
      <w:proofErr w:type="gramEnd"/>
      <w:r>
        <w:t xml:space="preserve"> </w:t>
      </w:r>
      <w:r w:rsidRPr="00F80E53">
        <w:t>have</w:t>
      </w:r>
      <w:r>
        <w:t xml:space="preserve"> </w:t>
      </w:r>
      <w:r w:rsidRPr="00F80E53">
        <w:t>reduced</w:t>
      </w:r>
      <w:r>
        <w:t xml:space="preserve"> </w:t>
      </w:r>
      <w:r w:rsidRPr="00F80E53">
        <w:t>odds</w:t>
      </w:r>
      <w:r>
        <w:t xml:space="preserve"> </w:t>
      </w:r>
      <w:r w:rsidRPr="00F80E53">
        <w:t>of</w:t>
      </w:r>
      <w:r>
        <w:t xml:space="preserve"> </w:t>
      </w:r>
      <w:r w:rsidRPr="00F80E53">
        <w:t>reporting</w:t>
      </w:r>
      <w:r>
        <w:t xml:space="preserve"> </w:t>
      </w:r>
      <w:r w:rsidRPr="00F80E53">
        <w:t>colds</w:t>
      </w:r>
      <w:r>
        <w:t xml:space="preserve"> </w:t>
      </w:r>
      <w:r w:rsidRPr="00F80E53">
        <w:t>or</w:t>
      </w:r>
      <w:r>
        <w:t xml:space="preserve"> </w:t>
      </w:r>
      <w:r w:rsidRPr="00F80E53">
        <w:t>flu.</w:t>
      </w:r>
      <w:r>
        <w:t xml:space="preserve"> </w:t>
      </w:r>
      <w:r w:rsidRPr="00F80E53">
        <w:t>Children</w:t>
      </w:r>
      <w:r>
        <w:t xml:space="preserve"> </w:t>
      </w:r>
      <w:r w:rsidRPr="00F80E53">
        <w:t>living</w:t>
      </w:r>
      <w:r>
        <w:t xml:space="preserve"> </w:t>
      </w:r>
      <w:r w:rsidRPr="00F80E53">
        <w:t>in</w:t>
      </w:r>
      <w:r>
        <w:t xml:space="preserve"> </w:t>
      </w:r>
      <w:r w:rsidRPr="00F80E53">
        <w:t>these</w:t>
      </w:r>
      <w:r>
        <w:t xml:space="preserve"> </w:t>
      </w:r>
      <w:r w:rsidRPr="00F80E53">
        <w:t>houses</w:t>
      </w:r>
      <w:r>
        <w:t xml:space="preserve"> </w:t>
      </w:r>
      <w:r w:rsidRPr="00F80E53">
        <w:t>also</w:t>
      </w:r>
      <w:r>
        <w:t xml:space="preserve"> </w:t>
      </w:r>
      <w:r w:rsidRPr="00F80E53">
        <w:t>have</w:t>
      </w:r>
      <w:r>
        <w:t xml:space="preserve"> </w:t>
      </w:r>
      <w:r w:rsidRPr="00F80E53">
        <w:t>lower</w:t>
      </w:r>
      <w:r>
        <w:t xml:space="preserve"> </w:t>
      </w:r>
      <w:r w:rsidRPr="00F80E53">
        <w:t>odds</w:t>
      </w:r>
      <w:r>
        <w:t xml:space="preserve"> </w:t>
      </w:r>
      <w:r w:rsidRPr="00F80E53">
        <w:t>of</w:t>
      </w:r>
      <w:r>
        <w:t xml:space="preserve"> </w:t>
      </w:r>
      <w:r w:rsidRPr="00F80E53">
        <w:t>reporting</w:t>
      </w:r>
      <w:r>
        <w:t xml:space="preserve"> </w:t>
      </w:r>
      <w:r w:rsidRPr="00F80E53">
        <w:t>asthma</w:t>
      </w:r>
      <w:r>
        <w:t xml:space="preserve"> </w:t>
      </w:r>
      <w:r w:rsidRPr="00F80E53">
        <w:t>symptoms</w:t>
      </w:r>
      <w:r>
        <w:t xml:space="preserve"> </w:t>
      </w:r>
      <w:r w:rsidRPr="00F80E53">
        <w:t>and</w:t>
      </w:r>
      <w:r>
        <w:t xml:space="preserve"> </w:t>
      </w:r>
      <w:r w:rsidRPr="00F80E53">
        <w:t>of</w:t>
      </w:r>
      <w:r>
        <w:t xml:space="preserve"> </w:t>
      </w:r>
      <w:r w:rsidRPr="00F80E53">
        <w:t>missing</w:t>
      </w:r>
      <w:r>
        <w:t xml:space="preserve"> </w:t>
      </w:r>
      <w:r w:rsidRPr="00F80E53">
        <w:t>school</w:t>
      </w:r>
      <w:r>
        <w:t xml:space="preserve"> </w:t>
      </w:r>
      <w:r w:rsidRPr="00F80E53">
        <w:t>due</w:t>
      </w:r>
      <w:r>
        <w:t xml:space="preserve"> </w:t>
      </w:r>
      <w:r w:rsidRPr="00F80E53">
        <w:t>to</w:t>
      </w:r>
      <w:r>
        <w:t xml:space="preserve"> </w:t>
      </w:r>
      <w:r w:rsidRPr="00F80E53">
        <w:t>illness</w:t>
      </w:r>
      <w:sdt>
        <w:sdtPr>
          <w:id w:val="-1742011102"/>
          <w:citation/>
        </w:sdtPr>
        <w:sdtContent>
          <w:r>
            <w:fldChar w:fldCharType="begin"/>
          </w:r>
          <w:r w:rsidRPr="009F5E3C">
            <w:rPr>
              <w:rFonts w:eastAsiaTheme="majorEastAsia"/>
              <w:b/>
              <w:iCs/>
              <w:color w:val="000100"/>
            </w:rPr>
            <w:instrText xml:space="preserve"> CITATION How07 \l 3081 </w:instrText>
          </w:r>
          <w:r>
            <w:fldChar w:fldCharType="separate"/>
          </w:r>
          <w:r>
            <w:rPr>
              <w:rFonts w:eastAsiaTheme="majorEastAsia"/>
              <w:b/>
              <w:iCs/>
              <w:noProof/>
              <w:color w:val="000100"/>
            </w:rPr>
            <w:t xml:space="preserve"> </w:t>
          </w:r>
          <w:r w:rsidRPr="00EA0B0F">
            <w:rPr>
              <w:rFonts w:eastAsiaTheme="majorEastAsia"/>
              <w:noProof/>
              <w:color w:val="000100"/>
            </w:rPr>
            <w:t>(Howden-Chapman, et al., 2007)</w:t>
          </w:r>
          <w:r>
            <w:fldChar w:fldCharType="end"/>
          </w:r>
        </w:sdtContent>
      </w:sdt>
      <w:r>
        <w:t>.</w:t>
      </w:r>
    </w:p>
    <w:p w14:paraId="2552AA3A" w14:textId="77777777" w:rsidR="00676882" w:rsidRDefault="00676882" w:rsidP="00676882">
      <w:pPr>
        <w:pStyle w:val="Heading4"/>
      </w:pPr>
      <w:r>
        <w:t>Impact on public health spending</w:t>
      </w:r>
    </w:p>
    <w:p w14:paraId="6F593587" w14:textId="77777777" w:rsidR="00676882" w:rsidRDefault="00676882" w:rsidP="00676882">
      <w:pPr>
        <w:pStyle w:val="BodyText"/>
      </w:pPr>
      <w:r>
        <w:t xml:space="preserve">Poor energy efficient homes affect not only Australians’ health, but they also have an impact on the economy overall through increases in public health spending. </w:t>
      </w:r>
    </w:p>
    <w:p w14:paraId="4C6780AA" w14:textId="77777777" w:rsidR="00676882" w:rsidRDefault="00676882" w:rsidP="00676882">
      <w:pPr>
        <w:pStyle w:val="BodyText"/>
      </w:pPr>
      <w:r>
        <w:t xml:space="preserve">The economic impact of respiratory diseases associated with poor energy efficient homes is significant. </w:t>
      </w:r>
    </w:p>
    <w:p w14:paraId="39BFE714" w14:textId="77777777" w:rsidR="00676882" w:rsidRDefault="00676882" w:rsidP="00676882">
      <w:pPr>
        <w:pStyle w:val="BodyText"/>
        <w:rPr>
          <w:sz w:val="12"/>
          <w:szCs w:val="12"/>
        </w:rPr>
      </w:pPr>
      <w:r>
        <w:t>The cost of asthma to the Australian community in 2015 was $28 billion, or around $11,740 per person with asthma. Around $1.2 billion of this were direct costs to the health system, including medication, hospital and out-of-hospital costs. Another $2 billion were productivity costs, other financial costs (such as the costs of respite for informal carers, costs of formal care, special equipment, travel and accommodation costs to access health services, the cost of other government programs, asthma research, and funeral costs) and deadweight losses (the cost of inefficiencies and distortions in the economy as a result of asthma’s negative impacts). The biggest component of the cost of asthma was the burden of disease, calculated as $24.7 billion (which includes the effect of disability and premature death)</w:t>
      </w:r>
      <w:sdt>
        <w:sdtPr>
          <w:id w:val="-1882544856"/>
          <w:citation/>
        </w:sdtPr>
        <w:sdtContent>
          <w:r>
            <w:fldChar w:fldCharType="begin"/>
          </w:r>
          <w:r>
            <w:rPr>
              <w:lang w:val="en-US"/>
            </w:rPr>
            <w:instrText xml:space="preserve">CITATION Del15 \l 1033 </w:instrText>
          </w:r>
          <w:r>
            <w:fldChar w:fldCharType="separate"/>
          </w:r>
          <w:r>
            <w:rPr>
              <w:noProof/>
              <w:lang w:val="en-US"/>
            </w:rPr>
            <w:t xml:space="preserve"> (Deloitte Access Economics, 2015)</w:t>
          </w:r>
          <w:r>
            <w:fldChar w:fldCharType="end"/>
          </w:r>
        </w:sdtContent>
      </w:sdt>
      <w:r>
        <w:t>.</w:t>
      </w:r>
    </w:p>
    <w:p w14:paraId="1210C4A2" w14:textId="77777777" w:rsidR="00676882" w:rsidRPr="0047360E" w:rsidRDefault="00676882" w:rsidP="00676882">
      <w:pPr>
        <w:pStyle w:val="BodyText"/>
      </w:pPr>
      <w:r>
        <w:t xml:space="preserve">The cost of Chronic Obstructive Pulmonary Disease (COPD) to the Australian economy in 2008 was $98.2 billion. Of this, $6.8 billion were productivity losses due to lower employment, absenteeism and premature death of Australians with COPD, $0.9 billion were direct costs to the health system, $0.3 billion were other indirect costs such as aids and home modifications and the bring-forward of funeral costs and $0.9 billion were the deadweight losses from transfers including welfare payments and taxation forgone. The biggest component of the cost of COPD was the burden of disease, calculated as $89.4 billion (which includes the effect of disability and premature death) </w:t>
      </w:r>
      <w:sdt>
        <w:sdtPr>
          <w:id w:val="2140596248"/>
          <w:citation/>
        </w:sdtPr>
        <w:sdtContent>
          <w:r>
            <w:fldChar w:fldCharType="begin"/>
          </w:r>
          <w:r>
            <w:rPr>
              <w:lang w:val="en-US"/>
            </w:rPr>
            <w:instrText xml:space="preserve"> CITATION Acc08 \l 1033 </w:instrText>
          </w:r>
          <w:r>
            <w:fldChar w:fldCharType="separate"/>
          </w:r>
          <w:r>
            <w:rPr>
              <w:noProof/>
              <w:lang w:val="en-US"/>
            </w:rPr>
            <w:t>(Access Economics, 2008)</w:t>
          </w:r>
          <w:r>
            <w:fldChar w:fldCharType="end"/>
          </w:r>
        </w:sdtContent>
      </w:sdt>
      <w:r>
        <w:t>.</w:t>
      </w:r>
    </w:p>
    <w:p w14:paraId="28543094" w14:textId="77777777" w:rsidR="00676882" w:rsidRPr="003A4D25" w:rsidRDefault="00676882" w:rsidP="00676882">
      <w:pPr>
        <w:pStyle w:val="Heading2"/>
      </w:pPr>
      <w:bookmarkStart w:id="47" w:name="_Toc74515415"/>
      <w:bookmarkStart w:id="48" w:name="_Toc75339641"/>
      <w:bookmarkStart w:id="49" w:name="_Toc75339732"/>
      <w:bookmarkStart w:id="50" w:name="_Toc75339745"/>
      <w:bookmarkStart w:id="51" w:name="_Toc75339760"/>
      <w:bookmarkStart w:id="52" w:name="_Ref75506401"/>
      <w:bookmarkStart w:id="53" w:name="_Toc80712577"/>
      <w:r>
        <w:lastRenderedPageBreak/>
        <w:t>Environmental impacts of poor thermal control</w:t>
      </w:r>
      <w:bookmarkEnd w:id="47"/>
      <w:bookmarkEnd w:id="48"/>
      <w:bookmarkEnd w:id="49"/>
      <w:bookmarkEnd w:id="50"/>
      <w:bookmarkEnd w:id="51"/>
      <w:bookmarkEnd w:id="52"/>
      <w:bookmarkEnd w:id="53"/>
    </w:p>
    <w:p w14:paraId="40D85A4F" w14:textId="77777777" w:rsidR="00676882" w:rsidRDefault="00676882" w:rsidP="00676882">
      <w:pPr>
        <w:pStyle w:val="BodyText"/>
      </w:pPr>
      <w:r>
        <w:t xml:space="preserve">While the benefits of temperature control </w:t>
      </w:r>
      <w:proofErr w:type="gramStart"/>
      <w:r>
        <w:t>is</w:t>
      </w:r>
      <w:proofErr w:type="gramEnd"/>
      <w:r>
        <w:t xml:space="preserve"> clear for households, poor thermal control results in higher energy costs to achieve comfortable, healthy and safe homes. The residential building sector is a major source of energy demand and use. It accounts for approximately 8.3 per cent of New South Wales and the ACT’s combined energy use (see </w:t>
      </w:r>
      <w:r w:rsidRPr="009E4AB1">
        <w:fldChar w:fldCharType="begin"/>
      </w:r>
      <w:r w:rsidRPr="009E4AB1">
        <w:instrText xml:space="preserve"> REF _Ref80694343 \h  \* MERGEFORMAT </w:instrText>
      </w:r>
      <w:r w:rsidRPr="009E4AB1">
        <w:fldChar w:fldCharType="separate"/>
      </w:r>
      <w:r w:rsidRPr="00F32FCC">
        <w:t>Figure 2.6</w:t>
      </w:r>
      <w:r w:rsidRPr="009E4AB1">
        <w:fldChar w:fldCharType="end"/>
      </w:r>
      <w:r>
        <w:t>).</w:t>
      </w:r>
      <w:r>
        <w:rPr>
          <w:rStyle w:val="FootnoteReference"/>
        </w:rPr>
        <w:footnoteReference w:id="2"/>
      </w:r>
      <w:r>
        <w:t xml:space="preserve"> In 2018-19, this was 127.6 petajoules (PJ), five times larger than the agricultural sector. Since 1974, residential energy use has increased by an average rate of 1.4 per cent per year. </w:t>
      </w:r>
      <w:r w:rsidRPr="00F4011A">
        <w:t>This</w:t>
      </w:r>
      <w:r>
        <w:t xml:space="preserve"> </w:t>
      </w:r>
      <w:r w:rsidRPr="00F4011A">
        <w:t>represents</w:t>
      </w:r>
      <w:r>
        <w:t xml:space="preserve"> </w:t>
      </w:r>
      <w:r w:rsidRPr="00F4011A">
        <w:t>a</w:t>
      </w:r>
      <w:r>
        <w:t xml:space="preserve">n 82.1 </w:t>
      </w:r>
      <w:r w:rsidRPr="00F4011A">
        <w:t>per</w:t>
      </w:r>
      <w:r>
        <w:t xml:space="preserve"> </w:t>
      </w:r>
      <w:r w:rsidRPr="00F4011A">
        <w:t>cent</w:t>
      </w:r>
      <w:r>
        <w:t xml:space="preserve"> </w:t>
      </w:r>
      <w:r w:rsidRPr="00F4011A">
        <w:t>increase</w:t>
      </w:r>
      <w:r>
        <w:t xml:space="preserve"> </w:t>
      </w:r>
      <w:r w:rsidRPr="00F4011A">
        <w:t>in</w:t>
      </w:r>
      <w:r>
        <w:t xml:space="preserve"> </w:t>
      </w:r>
      <w:r w:rsidRPr="00F4011A">
        <w:t>residential</w:t>
      </w:r>
      <w:r>
        <w:t xml:space="preserve"> </w:t>
      </w:r>
      <w:r w:rsidRPr="00F4011A">
        <w:t>sector</w:t>
      </w:r>
      <w:r>
        <w:t xml:space="preserve"> </w:t>
      </w:r>
      <w:r w:rsidRPr="00F4011A">
        <w:t>energy</w:t>
      </w:r>
      <w:r>
        <w:t xml:space="preserve"> </w:t>
      </w:r>
      <w:r w:rsidRPr="00F4011A">
        <w:t>consumption</w:t>
      </w:r>
      <w:r>
        <w:t xml:space="preserve"> </w:t>
      </w:r>
      <w:r w:rsidRPr="00F4011A">
        <w:t>over</w:t>
      </w:r>
      <w:r>
        <w:t xml:space="preserve"> </w:t>
      </w:r>
      <w:r w:rsidRPr="00F4011A">
        <w:t>the</w:t>
      </w:r>
      <w:r>
        <w:t xml:space="preserve"> </w:t>
      </w:r>
      <w:r w:rsidRPr="00F4011A">
        <w:t>period</w:t>
      </w:r>
      <w:r>
        <w:t xml:space="preserve"> </w:t>
      </w:r>
      <w:r w:rsidRPr="00F4011A">
        <w:t>1974</w:t>
      </w:r>
      <w:r>
        <w:t xml:space="preserve"> </w:t>
      </w:r>
      <w:r w:rsidRPr="00F4011A">
        <w:t>to</w:t>
      </w:r>
      <w:r>
        <w:t xml:space="preserve"> </w:t>
      </w:r>
      <w:r w:rsidRPr="00F4011A">
        <w:t>201</w:t>
      </w:r>
      <w:r>
        <w:t>9</w:t>
      </w:r>
      <w:r w:rsidRPr="00F4011A">
        <w:t>.</w:t>
      </w:r>
      <w:r>
        <w:t xml:space="preserve"> </w:t>
      </w:r>
    </w:p>
    <w:p w14:paraId="470D598C" w14:textId="77777777" w:rsidR="00676882" w:rsidRDefault="00676882" w:rsidP="00676882">
      <w:pPr>
        <w:pStyle w:val="BodyText"/>
        <w:keepNext/>
        <w:keepLines/>
        <w:ind w:left="-1985"/>
      </w:pPr>
      <w:bookmarkStart w:id="54" w:name="_Ref80694343"/>
      <w:bookmarkStart w:id="55" w:name="_Toc80719254"/>
      <w:r w:rsidRPr="00997E8D">
        <w:rPr>
          <w:rStyle w:val="CaptionLabel"/>
        </w:rPr>
        <w:t>Figure </w:t>
      </w:r>
      <w:r w:rsidRPr="00997E8D">
        <w:rPr>
          <w:rStyle w:val="CaptionLabel"/>
        </w:rPr>
        <w:fldChar w:fldCharType="begin"/>
      </w:r>
      <w:r w:rsidRPr="00997E8D">
        <w:rPr>
          <w:rStyle w:val="CaptionLabel"/>
        </w:rPr>
        <w:instrText xml:space="preserve"> STYLEREF 1 \S \* MERGEFORMAT </w:instrText>
      </w:r>
      <w:r w:rsidRPr="00997E8D">
        <w:rPr>
          <w:rStyle w:val="CaptionLabel"/>
        </w:rPr>
        <w:fldChar w:fldCharType="separate"/>
      </w:r>
      <w:r>
        <w:rPr>
          <w:rStyle w:val="CaptionLabel"/>
          <w:noProof/>
        </w:rPr>
        <w:t>2</w:t>
      </w:r>
      <w:r w:rsidRPr="00997E8D">
        <w:rPr>
          <w:rStyle w:val="CaptionLabel"/>
        </w:rPr>
        <w:fldChar w:fldCharType="end"/>
      </w:r>
      <w:r w:rsidRPr="00997E8D">
        <w:rPr>
          <w:rStyle w:val="CaptionLabel"/>
        </w:rPr>
        <w:t>.</w:t>
      </w:r>
      <w:r w:rsidRPr="00997E8D">
        <w:rPr>
          <w:rStyle w:val="CaptionLabel"/>
        </w:rPr>
        <w:fldChar w:fldCharType="begin"/>
      </w:r>
      <w:r w:rsidRPr="00997E8D">
        <w:rPr>
          <w:rStyle w:val="CaptionLabel"/>
        </w:rPr>
        <w:instrText xml:space="preserve"> SEQ Figure \* ARABIC \S 1 \* MERGEFORMAT </w:instrText>
      </w:r>
      <w:r w:rsidRPr="00997E8D">
        <w:rPr>
          <w:rStyle w:val="CaptionLabel"/>
        </w:rPr>
        <w:fldChar w:fldCharType="separate"/>
      </w:r>
      <w:r>
        <w:rPr>
          <w:rStyle w:val="CaptionLabel"/>
          <w:noProof/>
        </w:rPr>
        <w:t>6</w:t>
      </w:r>
      <w:r w:rsidRPr="00997E8D">
        <w:rPr>
          <w:rStyle w:val="CaptionLabel"/>
        </w:rPr>
        <w:fldChar w:fldCharType="end"/>
      </w:r>
      <w:bookmarkEnd w:id="54"/>
      <w:r>
        <w:tab/>
        <w:t>New South Wales and Australian Capital Territory energy use, by sector, 1973-74 to 2018-19</w:t>
      </w:r>
      <w:bookmarkEnd w:id="55"/>
    </w:p>
    <w:p w14:paraId="66312952" w14:textId="77777777" w:rsidR="00676882" w:rsidRDefault="00676882" w:rsidP="00676882">
      <w:pPr>
        <w:pStyle w:val="BodyText"/>
        <w:keepNext/>
        <w:keepLines/>
        <w:ind w:left="-1985"/>
      </w:pPr>
      <w:r>
        <w:rPr>
          <w:noProof/>
        </w:rPr>
        <w:drawing>
          <wp:inline distT="0" distB="0" distL="0" distR="0" wp14:anchorId="0FD36FF0" wp14:editId="3D7A1052">
            <wp:extent cx="6285230" cy="3072765"/>
            <wp:effectExtent l="0" t="0" r="1270" b="0"/>
            <wp:docPr id="568" name="Picture 568" descr="The chart shows energy use in New South Wales and the ACT from 1973 to 2019. It shows energy use has increased from under 1000PJ in 1974 to about 1400PJ in 2000, which has remained relatively constant since then. Residential energy use remains around 7 to 9 per cent of this to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Picture 568" descr="The chart shows energy use in New South Wales and the ACT from 1973 to 2019. It shows energy use has increased from under 1000PJ in 1974 to about 1400PJ in 2000, which has remained relatively constant since then. Residential energy use remains around 7 to 9 per cent of this total."/>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285230" cy="3072765"/>
                    </a:xfrm>
                    <a:prstGeom prst="rect">
                      <a:avLst/>
                    </a:prstGeom>
                    <a:noFill/>
                  </pic:spPr>
                </pic:pic>
              </a:graphicData>
            </a:graphic>
          </wp:inline>
        </w:drawing>
      </w:r>
    </w:p>
    <w:p w14:paraId="070B2A5A" w14:textId="77777777" w:rsidR="00676882" w:rsidRPr="006B0263" w:rsidRDefault="00676882" w:rsidP="00676882">
      <w:pPr>
        <w:pStyle w:val="BodyText"/>
        <w:keepNext/>
        <w:keepLines/>
        <w:spacing w:before="0" w:line="20" w:lineRule="atLeast"/>
        <w:ind w:left="-1985"/>
        <w:rPr>
          <w:i/>
          <w:color w:val="000100"/>
          <w:sz w:val="16"/>
        </w:rPr>
      </w:pPr>
      <w:r w:rsidRPr="006B0263">
        <w:rPr>
          <w:i/>
          <w:color w:val="000100"/>
          <w:sz w:val="16"/>
        </w:rPr>
        <w:t>Source:</w:t>
      </w:r>
      <w:sdt>
        <w:sdtPr>
          <w:rPr>
            <w:i/>
            <w:color w:val="000100"/>
            <w:sz w:val="16"/>
          </w:rPr>
          <w:id w:val="-1444304283"/>
          <w:citation/>
        </w:sdtPr>
        <w:sdtContent>
          <w:r w:rsidRPr="006B0263">
            <w:rPr>
              <w:i/>
              <w:color w:val="000100"/>
              <w:sz w:val="16"/>
            </w:rPr>
            <w:fldChar w:fldCharType="begin"/>
          </w:r>
          <w:r w:rsidRPr="006B0263">
            <w:rPr>
              <w:i/>
              <w:color w:val="000100"/>
              <w:sz w:val="16"/>
            </w:rPr>
            <w:instrText xml:space="preserve"> CITATION DIS19 \l 3081 </w:instrText>
          </w:r>
          <w:r w:rsidRPr="006B0263">
            <w:rPr>
              <w:i/>
              <w:color w:val="000100"/>
              <w:sz w:val="16"/>
            </w:rPr>
            <w:fldChar w:fldCharType="separate"/>
          </w:r>
          <w:r w:rsidRPr="006B0263">
            <w:rPr>
              <w:i/>
              <w:color w:val="000100"/>
              <w:sz w:val="16"/>
            </w:rPr>
            <w:t xml:space="preserve"> (DISER, 2020)</w:t>
          </w:r>
          <w:r w:rsidRPr="006B0263">
            <w:rPr>
              <w:i/>
              <w:color w:val="000100"/>
              <w:sz w:val="16"/>
            </w:rPr>
            <w:fldChar w:fldCharType="end"/>
          </w:r>
        </w:sdtContent>
      </w:sdt>
    </w:p>
    <w:p w14:paraId="52645FF6" w14:textId="77777777" w:rsidR="00676882" w:rsidRDefault="00676882" w:rsidP="00676882">
      <w:pPr>
        <w:pStyle w:val="BodyText"/>
      </w:pPr>
      <w:r>
        <w:t>Even as the ACT has moved to 100 per cent renewable electricity, r</w:t>
      </w:r>
      <w:r w:rsidRPr="00BF796B">
        <w:t>esidential</w:t>
      </w:r>
      <w:r>
        <w:t xml:space="preserve"> </w:t>
      </w:r>
      <w:r w:rsidRPr="00BF796B">
        <w:t>energy</w:t>
      </w:r>
      <w:r>
        <w:t xml:space="preserve"> </w:t>
      </w:r>
      <w:r w:rsidRPr="00BF796B">
        <w:t>use</w:t>
      </w:r>
      <w:r>
        <w:t xml:space="preserve"> </w:t>
      </w:r>
      <w:r w:rsidRPr="00BF796B">
        <w:t>is</w:t>
      </w:r>
      <w:r>
        <w:t xml:space="preserve"> still </w:t>
      </w:r>
      <w:r w:rsidRPr="00BF796B">
        <w:t>drawn</w:t>
      </w:r>
      <w:r>
        <w:t xml:space="preserve"> </w:t>
      </w:r>
      <w:r w:rsidRPr="00BF796B">
        <w:t>heavily</w:t>
      </w:r>
      <w:r>
        <w:t xml:space="preserve"> </w:t>
      </w:r>
      <w:r w:rsidRPr="00BF796B">
        <w:t>from</w:t>
      </w:r>
      <w:r>
        <w:t xml:space="preserve"> </w:t>
      </w:r>
      <w:r w:rsidRPr="00BF796B">
        <w:t>the</w:t>
      </w:r>
      <w:r>
        <w:t xml:space="preserve"> </w:t>
      </w:r>
      <w:r w:rsidRPr="00BF796B">
        <w:t>burning</w:t>
      </w:r>
      <w:r>
        <w:t xml:space="preserve"> </w:t>
      </w:r>
      <w:r w:rsidRPr="00BF796B">
        <w:t>of</w:t>
      </w:r>
      <w:r>
        <w:t xml:space="preserve"> </w:t>
      </w:r>
      <w:r w:rsidRPr="00BF796B">
        <w:t>fossil</w:t>
      </w:r>
      <w:r>
        <w:t xml:space="preserve"> </w:t>
      </w:r>
      <w:r w:rsidRPr="00BF796B">
        <w:t>fuels</w:t>
      </w:r>
      <w:r>
        <w:t xml:space="preserve"> or firewood</w:t>
      </w:r>
      <w:r w:rsidRPr="00BF796B">
        <w:t>.</w:t>
      </w:r>
      <w:r>
        <w:t xml:space="preserve"> </w:t>
      </w:r>
      <w:r w:rsidRPr="00BF796B">
        <w:t>In</w:t>
      </w:r>
      <w:r>
        <w:t xml:space="preserve"> </w:t>
      </w:r>
      <w:r w:rsidRPr="00BF796B">
        <w:t>some</w:t>
      </w:r>
      <w:r>
        <w:t xml:space="preserve"> </w:t>
      </w:r>
      <w:r w:rsidRPr="00BF796B">
        <w:t>years,</w:t>
      </w:r>
      <w:r>
        <w:t xml:space="preserve"> </w:t>
      </w:r>
      <w:r w:rsidRPr="00BF796B">
        <w:t>more</w:t>
      </w:r>
      <w:r>
        <w:t xml:space="preserve"> </w:t>
      </w:r>
      <w:r w:rsidRPr="00BF796B">
        <w:t>than</w:t>
      </w:r>
      <w:r>
        <w:t xml:space="preserve"> a third </w:t>
      </w:r>
      <w:r w:rsidRPr="00BF796B">
        <w:t>of</w:t>
      </w:r>
      <w:r>
        <w:t xml:space="preserve"> </w:t>
      </w:r>
      <w:r w:rsidRPr="00BF796B">
        <w:t>residential</w:t>
      </w:r>
      <w:r>
        <w:t xml:space="preserve"> </w:t>
      </w:r>
      <w:r w:rsidRPr="00BF796B">
        <w:t>energy</w:t>
      </w:r>
      <w:r>
        <w:t xml:space="preserve"> </w:t>
      </w:r>
      <w:r w:rsidRPr="00BF796B">
        <w:t>use</w:t>
      </w:r>
      <w:r>
        <w:t xml:space="preserve"> </w:t>
      </w:r>
      <w:r w:rsidRPr="00BF796B">
        <w:t>comes</w:t>
      </w:r>
      <w:r>
        <w:t xml:space="preserve"> </w:t>
      </w:r>
      <w:r w:rsidRPr="00BF796B">
        <w:t>directly</w:t>
      </w:r>
      <w:r>
        <w:t xml:space="preserve"> </w:t>
      </w:r>
      <w:r w:rsidRPr="00BF796B">
        <w:t>from</w:t>
      </w:r>
      <w:r>
        <w:t xml:space="preserve"> </w:t>
      </w:r>
      <w:r w:rsidRPr="00BF796B">
        <w:t>on-site</w:t>
      </w:r>
      <w:r>
        <w:t xml:space="preserve"> </w:t>
      </w:r>
      <w:r w:rsidRPr="00BF796B">
        <w:t>burning</w:t>
      </w:r>
      <w:r>
        <w:t xml:space="preserve"> </w:t>
      </w:r>
      <w:r w:rsidRPr="00BF796B">
        <w:t>of</w:t>
      </w:r>
      <w:r>
        <w:t xml:space="preserve"> </w:t>
      </w:r>
      <w:r w:rsidRPr="00BF796B">
        <w:t>fossil</w:t>
      </w:r>
      <w:r>
        <w:t xml:space="preserve"> </w:t>
      </w:r>
      <w:r w:rsidRPr="00BF796B">
        <w:t>fuels</w:t>
      </w:r>
      <w:r>
        <w:t xml:space="preserve"> </w:t>
      </w:r>
      <w:bookmarkStart w:id="56" w:name="_Hlk80799123"/>
      <w:r w:rsidRPr="00BF796B">
        <w:t xml:space="preserve">— </w:t>
      </w:r>
      <w:bookmarkEnd w:id="56"/>
      <w:r w:rsidRPr="00BF796B">
        <w:t>such</w:t>
      </w:r>
      <w:r>
        <w:t xml:space="preserve"> </w:t>
      </w:r>
      <w:r w:rsidRPr="00BF796B">
        <w:t>as</w:t>
      </w:r>
      <w:r>
        <w:t xml:space="preserve"> </w:t>
      </w:r>
      <w:r w:rsidRPr="00BF796B">
        <w:t>natural</w:t>
      </w:r>
      <w:r>
        <w:t xml:space="preserve"> </w:t>
      </w:r>
      <w:r w:rsidRPr="00BF796B">
        <w:t>gas,</w:t>
      </w:r>
      <w:r>
        <w:t xml:space="preserve"> </w:t>
      </w:r>
      <w:r w:rsidRPr="00BF796B">
        <w:t>LPG</w:t>
      </w:r>
      <w:r>
        <w:t xml:space="preserve"> </w:t>
      </w:r>
      <w:r w:rsidRPr="00BF796B">
        <w:t>— and</w:t>
      </w:r>
      <w:r>
        <w:t xml:space="preserve"> </w:t>
      </w:r>
      <w:r w:rsidRPr="00BF796B">
        <w:t>wood</w:t>
      </w:r>
      <w:r>
        <w:t xml:space="preserve"> </w:t>
      </w:r>
      <w:r w:rsidRPr="00BF796B">
        <w:t>products</w:t>
      </w:r>
      <w:r>
        <w:t xml:space="preserve"> </w:t>
      </w:r>
      <w:r w:rsidRPr="00BF796B">
        <w:t xml:space="preserve">— </w:t>
      </w:r>
      <w:r>
        <w:t xml:space="preserve">for </w:t>
      </w:r>
      <w:r w:rsidRPr="00BF796B">
        <w:t>space</w:t>
      </w:r>
      <w:r>
        <w:t xml:space="preserve"> </w:t>
      </w:r>
      <w:r w:rsidRPr="00BF796B">
        <w:t>heating,</w:t>
      </w:r>
      <w:r>
        <w:t xml:space="preserve"> </w:t>
      </w:r>
      <w:r w:rsidRPr="00BF796B">
        <w:t>cooking</w:t>
      </w:r>
      <w:r>
        <w:t xml:space="preserve"> </w:t>
      </w:r>
      <w:r w:rsidRPr="00BF796B">
        <w:t>and</w:t>
      </w:r>
      <w:r>
        <w:t xml:space="preserve"> </w:t>
      </w:r>
      <w:r w:rsidRPr="00BF796B">
        <w:t>water</w:t>
      </w:r>
      <w:r>
        <w:t xml:space="preserve"> </w:t>
      </w:r>
      <w:r w:rsidRPr="00BF796B">
        <w:t>heating.</w:t>
      </w:r>
      <w:r>
        <w:t xml:space="preserve"> </w:t>
      </w:r>
      <w:r w:rsidRPr="00BF796B">
        <w:t>The</w:t>
      </w:r>
      <w:r>
        <w:t xml:space="preserve"> </w:t>
      </w:r>
      <w:r w:rsidRPr="00BF796B">
        <w:t>proportion</w:t>
      </w:r>
      <w:r>
        <w:t xml:space="preserve"> </w:t>
      </w:r>
      <w:r w:rsidRPr="00BF796B">
        <w:t>of</w:t>
      </w:r>
      <w:r>
        <w:t xml:space="preserve"> </w:t>
      </w:r>
      <w:r w:rsidRPr="00BF796B">
        <w:t>these</w:t>
      </w:r>
      <w:r>
        <w:t xml:space="preserve"> </w:t>
      </w:r>
      <w:r w:rsidRPr="00BF796B">
        <w:t>direct</w:t>
      </w:r>
      <w:r>
        <w:t xml:space="preserve"> </w:t>
      </w:r>
      <w:r w:rsidRPr="00BF796B">
        <w:t>burning</w:t>
      </w:r>
      <w:r>
        <w:t xml:space="preserve"> </w:t>
      </w:r>
      <w:r w:rsidRPr="00BF796B">
        <w:t>fossil</w:t>
      </w:r>
      <w:r>
        <w:t xml:space="preserve"> </w:t>
      </w:r>
      <w:r w:rsidRPr="00BF796B">
        <w:t>fuels</w:t>
      </w:r>
      <w:r>
        <w:t xml:space="preserve"> </w:t>
      </w:r>
      <w:r w:rsidRPr="00BF796B">
        <w:t>has</w:t>
      </w:r>
      <w:r>
        <w:t xml:space="preserve"> </w:t>
      </w:r>
      <w:r w:rsidRPr="00BF796B">
        <w:t>decreased</w:t>
      </w:r>
      <w:r>
        <w:t xml:space="preserve"> </w:t>
      </w:r>
      <w:r w:rsidRPr="00BF796B">
        <w:t>over</w:t>
      </w:r>
      <w:r>
        <w:t xml:space="preserve"> </w:t>
      </w:r>
      <w:r w:rsidRPr="00BF796B">
        <w:t>time</w:t>
      </w:r>
      <w:r>
        <w:t xml:space="preserve"> (see </w:t>
      </w:r>
      <w:r w:rsidRPr="009E4AB1">
        <w:fldChar w:fldCharType="begin"/>
      </w:r>
      <w:r w:rsidRPr="009E4AB1">
        <w:instrText xml:space="preserve"> REF _Ref80694352 \h  \* MERGEFORMAT </w:instrText>
      </w:r>
      <w:r w:rsidRPr="009E4AB1">
        <w:fldChar w:fldCharType="separate"/>
      </w:r>
      <w:r w:rsidRPr="00F32FCC">
        <w:t>Figure 2.7</w:t>
      </w:r>
      <w:r w:rsidRPr="009E4AB1">
        <w:fldChar w:fldCharType="end"/>
      </w:r>
      <w:r>
        <w:t>)</w:t>
      </w:r>
      <w:r w:rsidRPr="00BF796B">
        <w:t>,</w:t>
      </w:r>
      <w:r>
        <w:t xml:space="preserve"> </w:t>
      </w:r>
      <w:r w:rsidRPr="00BF796B">
        <w:t>as</w:t>
      </w:r>
      <w:r>
        <w:t xml:space="preserve"> </w:t>
      </w:r>
      <w:r w:rsidRPr="00BF796B">
        <w:t>has</w:t>
      </w:r>
      <w:r>
        <w:t xml:space="preserve"> </w:t>
      </w:r>
      <w:r w:rsidRPr="00BF796B">
        <w:t>the</w:t>
      </w:r>
      <w:r>
        <w:t xml:space="preserve"> </w:t>
      </w:r>
      <w:r w:rsidRPr="00BF796B">
        <w:t>proportion</w:t>
      </w:r>
      <w:r>
        <w:t xml:space="preserve"> </w:t>
      </w:r>
      <w:r w:rsidRPr="00BF796B">
        <w:t>of</w:t>
      </w:r>
      <w:r>
        <w:t xml:space="preserve"> </w:t>
      </w:r>
      <w:r w:rsidRPr="00BF796B">
        <w:t>fossil</w:t>
      </w:r>
      <w:r>
        <w:t xml:space="preserve"> </w:t>
      </w:r>
      <w:r w:rsidRPr="00BF796B">
        <w:t>fuels</w:t>
      </w:r>
      <w:r>
        <w:t xml:space="preserve"> </w:t>
      </w:r>
      <w:r w:rsidRPr="00BF796B">
        <w:t>used</w:t>
      </w:r>
      <w:r>
        <w:t xml:space="preserve"> </w:t>
      </w:r>
      <w:r w:rsidRPr="00BF796B">
        <w:t>in</w:t>
      </w:r>
      <w:r>
        <w:t xml:space="preserve"> </w:t>
      </w:r>
      <w:r w:rsidRPr="00BF796B">
        <w:t>the</w:t>
      </w:r>
      <w:r>
        <w:t xml:space="preserve"> </w:t>
      </w:r>
      <w:r w:rsidRPr="00BF796B">
        <w:t>electric</w:t>
      </w:r>
      <w:r>
        <w:t xml:space="preserve">ity </w:t>
      </w:r>
      <w:r w:rsidRPr="00BF796B">
        <w:t>grid</w:t>
      </w:r>
      <w:r>
        <w:t xml:space="preserve"> </w:t>
      </w:r>
      <w:r w:rsidRPr="00BF796B">
        <w:t>over</w:t>
      </w:r>
      <w:r>
        <w:t xml:space="preserve"> </w:t>
      </w:r>
      <w:r w:rsidRPr="00BF796B">
        <w:t>time.</w:t>
      </w:r>
      <w:r>
        <w:t xml:space="preserve"> </w:t>
      </w:r>
    </w:p>
    <w:p w14:paraId="6FC25314" w14:textId="77777777" w:rsidR="00676882" w:rsidRDefault="00676882" w:rsidP="00676882">
      <w:pPr>
        <w:pStyle w:val="BodyText"/>
      </w:pPr>
      <w:r>
        <w:t>It is difficult to know the exact greenhouse gas emissions from the residential sector, especially given the variety of ways that energy is used at the household level. The COAG Energy Council estimates that t</w:t>
      </w:r>
      <w:r w:rsidRPr="00BF796B">
        <w:t>he</w:t>
      </w:r>
      <w:r>
        <w:t xml:space="preserve"> Australian </w:t>
      </w:r>
      <w:r w:rsidRPr="00BF796B">
        <w:t>residential</w:t>
      </w:r>
      <w:r>
        <w:t xml:space="preserve"> </w:t>
      </w:r>
      <w:r w:rsidRPr="00BF796B">
        <w:t>building</w:t>
      </w:r>
      <w:r>
        <w:t xml:space="preserve"> </w:t>
      </w:r>
      <w:r w:rsidRPr="00BF796B">
        <w:t>sector</w:t>
      </w:r>
      <w:r>
        <w:t xml:space="preserve"> </w:t>
      </w:r>
      <w:r w:rsidRPr="00BF796B">
        <w:t>is</w:t>
      </w:r>
      <w:r>
        <w:t xml:space="preserve"> </w:t>
      </w:r>
      <w:r w:rsidRPr="00BF796B">
        <w:t>responsible</w:t>
      </w:r>
      <w:r>
        <w:t xml:space="preserve"> </w:t>
      </w:r>
      <w:r w:rsidRPr="00BF796B">
        <w:t>for</w:t>
      </w:r>
      <w:r>
        <w:t xml:space="preserve"> </w:t>
      </w:r>
      <w:r w:rsidRPr="00BF796B">
        <w:t>around</w:t>
      </w:r>
      <w:r>
        <w:t xml:space="preserve"> </w:t>
      </w:r>
      <w:r w:rsidRPr="00BF796B">
        <w:t>11</w:t>
      </w:r>
      <w:r>
        <w:t xml:space="preserve"> </w:t>
      </w:r>
      <w:r w:rsidRPr="00BF796B">
        <w:t>per</w:t>
      </w:r>
      <w:r>
        <w:t xml:space="preserve"> </w:t>
      </w:r>
      <w:r w:rsidRPr="00BF796B">
        <w:t>cent</w:t>
      </w:r>
      <w:r>
        <w:t xml:space="preserve"> </w:t>
      </w:r>
      <w:r w:rsidRPr="00BF796B">
        <w:t>of</w:t>
      </w:r>
      <w:r>
        <w:t xml:space="preserve"> </w:t>
      </w:r>
      <w:r w:rsidRPr="00BF796B">
        <w:t>Australia’s</w:t>
      </w:r>
      <w:r>
        <w:t xml:space="preserve"> </w:t>
      </w:r>
      <w:r w:rsidRPr="00BF796B">
        <w:t>emissions</w:t>
      </w:r>
      <w:r>
        <w:t xml:space="preserve"> </w:t>
      </w:r>
      <w:sdt>
        <w:sdtPr>
          <w:id w:val="984590102"/>
          <w:citation/>
        </w:sdtPr>
        <w:sdtContent>
          <w:r>
            <w:fldChar w:fldCharType="begin"/>
          </w:r>
          <w:r>
            <w:instrText xml:space="preserve"> CITATION COA20 \l 3081 </w:instrText>
          </w:r>
          <w:r>
            <w:fldChar w:fldCharType="separate"/>
          </w:r>
          <w:r>
            <w:rPr>
              <w:noProof/>
            </w:rPr>
            <w:t>(COAG Energy Council, 2020)</w:t>
          </w:r>
          <w:r>
            <w:fldChar w:fldCharType="end"/>
          </w:r>
        </w:sdtContent>
      </w:sdt>
      <w:r w:rsidRPr="00BF796B">
        <w:t>.</w:t>
      </w:r>
    </w:p>
    <w:p w14:paraId="0CFA29FE" w14:textId="77777777" w:rsidR="00676882" w:rsidRDefault="00676882" w:rsidP="00676882">
      <w:pPr>
        <w:pStyle w:val="BodyText"/>
        <w:keepNext/>
        <w:keepLines/>
        <w:ind w:left="-1985"/>
      </w:pPr>
      <w:bookmarkStart w:id="57" w:name="_Ref80694352"/>
      <w:bookmarkStart w:id="58" w:name="_Toc80719255"/>
      <w:r w:rsidRPr="00997E8D">
        <w:rPr>
          <w:rStyle w:val="CaptionLabel"/>
        </w:rPr>
        <w:lastRenderedPageBreak/>
        <w:t>Figure </w:t>
      </w:r>
      <w:r w:rsidRPr="00997E8D">
        <w:rPr>
          <w:rStyle w:val="CaptionLabel"/>
        </w:rPr>
        <w:fldChar w:fldCharType="begin"/>
      </w:r>
      <w:r w:rsidRPr="00997E8D">
        <w:rPr>
          <w:rStyle w:val="CaptionLabel"/>
        </w:rPr>
        <w:instrText xml:space="preserve"> STYLEREF 1 \S \* MERGEFORMAT </w:instrText>
      </w:r>
      <w:r w:rsidRPr="00997E8D">
        <w:rPr>
          <w:rStyle w:val="CaptionLabel"/>
        </w:rPr>
        <w:fldChar w:fldCharType="separate"/>
      </w:r>
      <w:r>
        <w:rPr>
          <w:rStyle w:val="CaptionLabel"/>
          <w:noProof/>
        </w:rPr>
        <w:t>2</w:t>
      </w:r>
      <w:r w:rsidRPr="00997E8D">
        <w:rPr>
          <w:rStyle w:val="CaptionLabel"/>
        </w:rPr>
        <w:fldChar w:fldCharType="end"/>
      </w:r>
      <w:r w:rsidRPr="00997E8D">
        <w:rPr>
          <w:rStyle w:val="CaptionLabel"/>
        </w:rPr>
        <w:t>.</w:t>
      </w:r>
      <w:r w:rsidRPr="00997E8D">
        <w:rPr>
          <w:rStyle w:val="CaptionLabel"/>
        </w:rPr>
        <w:fldChar w:fldCharType="begin"/>
      </w:r>
      <w:r w:rsidRPr="00997E8D">
        <w:rPr>
          <w:rStyle w:val="CaptionLabel"/>
        </w:rPr>
        <w:instrText xml:space="preserve"> SEQ Figure \* ARABIC \S 1 \* MERGEFORMAT </w:instrText>
      </w:r>
      <w:r w:rsidRPr="00997E8D">
        <w:rPr>
          <w:rStyle w:val="CaptionLabel"/>
        </w:rPr>
        <w:fldChar w:fldCharType="separate"/>
      </w:r>
      <w:r>
        <w:rPr>
          <w:rStyle w:val="CaptionLabel"/>
          <w:noProof/>
        </w:rPr>
        <w:t>7</w:t>
      </w:r>
      <w:r w:rsidRPr="00997E8D">
        <w:rPr>
          <w:rStyle w:val="CaptionLabel"/>
        </w:rPr>
        <w:fldChar w:fldCharType="end"/>
      </w:r>
      <w:bookmarkEnd w:id="57"/>
      <w:r>
        <w:tab/>
        <w:t>New South Wales and Australian Capital Territory residential energy use, by fuel type, 1973-74 to 2018-19</w:t>
      </w:r>
      <w:bookmarkEnd w:id="58"/>
    </w:p>
    <w:p w14:paraId="7429B556" w14:textId="77777777" w:rsidR="00676882" w:rsidRDefault="00676882" w:rsidP="00676882">
      <w:pPr>
        <w:pStyle w:val="BodyText"/>
        <w:keepNext/>
        <w:keepLines/>
        <w:ind w:left="-1985"/>
      </w:pPr>
      <w:r>
        <w:rPr>
          <w:noProof/>
        </w:rPr>
        <w:drawing>
          <wp:inline distT="0" distB="0" distL="0" distR="0" wp14:anchorId="0ED0F43B" wp14:editId="01363821">
            <wp:extent cx="6286500" cy="3075995"/>
            <wp:effectExtent l="0" t="0" r="0" b="0"/>
            <wp:docPr id="560" name="Picture 560" descr="This shows that the energy sources used in New South Wales and the ACT from 1973 to 2017. Electricity has grown from about 40 per cent to 60 per cent of energy use over that period, while direct burning of carbon-based fuel sources has remained about constant in to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Picture 560" descr="This shows that the energy sources used in New South Wales and the ACT from 1973 to 2017. Electricity has grown from about 40 per cent to 60 per cent of energy use over that period, while direct burning of carbon-based fuel sources has remained about constant in total."/>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291646" cy="3078513"/>
                    </a:xfrm>
                    <a:prstGeom prst="rect">
                      <a:avLst/>
                    </a:prstGeom>
                    <a:noFill/>
                  </pic:spPr>
                </pic:pic>
              </a:graphicData>
            </a:graphic>
          </wp:inline>
        </w:drawing>
      </w:r>
    </w:p>
    <w:p w14:paraId="7F1E89B1" w14:textId="77777777" w:rsidR="00676882" w:rsidRPr="006B0263" w:rsidRDefault="00676882" w:rsidP="00676882">
      <w:pPr>
        <w:pStyle w:val="BodyText"/>
        <w:keepNext/>
        <w:keepLines/>
        <w:spacing w:before="0" w:line="20" w:lineRule="atLeast"/>
        <w:ind w:left="-1985"/>
        <w:rPr>
          <w:i/>
          <w:color w:val="000100"/>
          <w:sz w:val="16"/>
        </w:rPr>
      </w:pPr>
      <w:r w:rsidRPr="006B0263">
        <w:rPr>
          <w:i/>
          <w:color w:val="000100"/>
          <w:sz w:val="16"/>
        </w:rPr>
        <w:t xml:space="preserve">Source: </w:t>
      </w:r>
      <w:sdt>
        <w:sdtPr>
          <w:rPr>
            <w:i/>
            <w:color w:val="000100"/>
            <w:sz w:val="16"/>
          </w:rPr>
          <w:id w:val="263664549"/>
          <w:citation/>
        </w:sdtPr>
        <w:sdtContent>
          <w:r w:rsidRPr="006B0263">
            <w:rPr>
              <w:i/>
              <w:color w:val="000100"/>
              <w:sz w:val="16"/>
            </w:rPr>
            <w:fldChar w:fldCharType="begin"/>
          </w:r>
          <w:r w:rsidRPr="006B0263">
            <w:rPr>
              <w:i/>
              <w:color w:val="000100"/>
              <w:sz w:val="16"/>
            </w:rPr>
            <w:instrText xml:space="preserve"> CITATION DIS19 \l 3081 </w:instrText>
          </w:r>
          <w:r w:rsidRPr="006B0263">
            <w:rPr>
              <w:i/>
              <w:color w:val="000100"/>
              <w:sz w:val="16"/>
            </w:rPr>
            <w:fldChar w:fldCharType="separate"/>
          </w:r>
          <w:r w:rsidRPr="006B0263">
            <w:rPr>
              <w:i/>
              <w:color w:val="000100"/>
              <w:sz w:val="16"/>
            </w:rPr>
            <w:t>(DISER, 2020)</w:t>
          </w:r>
          <w:r w:rsidRPr="006B0263">
            <w:rPr>
              <w:i/>
              <w:color w:val="000100"/>
              <w:sz w:val="16"/>
            </w:rPr>
            <w:fldChar w:fldCharType="end"/>
          </w:r>
        </w:sdtContent>
      </w:sdt>
    </w:p>
    <w:p w14:paraId="51954968" w14:textId="77777777" w:rsidR="00676882" w:rsidRDefault="00676882" w:rsidP="00676882">
      <w:pPr>
        <w:pStyle w:val="Heading2"/>
      </w:pPr>
      <w:bookmarkStart w:id="59" w:name="_Toc80481648"/>
      <w:bookmarkStart w:id="60" w:name="_Toc80700284"/>
      <w:bookmarkStart w:id="61" w:name="_Toc80700532"/>
      <w:bookmarkStart w:id="62" w:name="_Toc71466288"/>
      <w:bookmarkStart w:id="63" w:name="_Toc74515416"/>
      <w:bookmarkStart w:id="64" w:name="_Toc75339642"/>
      <w:bookmarkStart w:id="65" w:name="_Toc75339733"/>
      <w:bookmarkStart w:id="66" w:name="_Toc75339746"/>
      <w:bookmarkStart w:id="67" w:name="_Toc75339761"/>
      <w:bookmarkStart w:id="68" w:name="_Toc80712578"/>
      <w:bookmarkEnd w:id="59"/>
      <w:bookmarkEnd w:id="60"/>
      <w:bookmarkEnd w:id="61"/>
      <w:r>
        <w:t>Conclusion</w:t>
      </w:r>
      <w:bookmarkEnd w:id="62"/>
      <w:bookmarkEnd w:id="63"/>
      <w:bookmarkEnd w:id="64"/>
      <w:bookmarkEnd w:id="65"/>
      <w:bookmarkEnd w:id="66"/>
      <w:bookmarkEnd w:id="67"/>
      <w:bookmarkEnd w:id="68"/>
    </w:p>
    <w:p w14:paraId="672DE93B" w14:textId="77777777" w:rsidR="00676882" w:rsidRDefault="00676882" w:rsidP="00676882">
      <w:r>
        <w:t xml:space="preserve">Rented premises are an important and growing part of Canberra’s housing market. Tenants now make up almost one-in-three households in Canberra — with 40,559 in private rental properties. </w:t>
      </w:r>
    </w:p>
    <w:p w14:paraId="67595D17" w14:textId="77777777" w:rsidR="00676882" w:rsidRDefault="00676882" w:rsidP="00676882">
      <w:r>
        <w:t xml:space="preserve">Thermal control features are necessary to make houses safe and comfortable for inhabitants. These features, such as insulation or draught sealing, protect inhabitants in both hot and cold weather. Evidence on the energy-efficiency of rental properties shows that many tenants live in lower energy-efficient properties with poor thermal control. Further, the burden of insufficient thermal control falls disproportionately on tenants from low-income households, concession card holders, those with a disability, aged tenants, and households with children. </w:t>
      </w:r>
    </w:p>
    <w:p w14:paraId="6A552155" w14:textId="77777777" w:rsidR="00676882" w:rsidRDefault="00676882" w:rsidP="00676882">
      <w:r>
        <w:t>Poor thermal control has economic, social, amenity and health impacts on tenants. Rising housing costs paired with rising energy costs put stress on household budgets, particularly for low-income houses. In 2018, of the lowest-income quintile, half paid somewhere between 3.4 per cent and 8.8 per cent of disposable income on energy costs. In a Victorian study, around 40 per cent of rental households avoided heating or cooling in the last few years because of the cost of heating.</w:t>
      </w:r>
    </w:p>
    <w:p w14:paraId="5EEC9BE2" w14:textId="77777777" w:rsidR="00676882" w:rsidRDefault="00676882" w:rsidP="00676882">
      <w:r>
        <w:t xml:space="preserve">The reported social, health and wellbeing impacts of poor thermal control in unsafe houses are also significant. Social and wellbeing impacts of uncomfortable or unsafe temperatures include inability to sleep, inability to work or attend schooling, antisocial behaviours, crime and violence. Health impacts of both prolonged and acute extreme temperatures include mental illness, respiratory illnesses, cardio-vascular illnesses, and in some extreme cases death. </w:t>
      </w:r>
    </w:p>
    <w:p w14:paraId="36251D6C" w14:textId="77777777" w:rsidR="00676882" w:rsidRDefault="00676882" w:rsidP="00676882">
      <w:pPr>
        <w:pStyle w:val="BodyText"/>
      </w:pPr>
    </w:p>
    <w:p w14:paraId="48E6766D" w14:textId="77777777" w:rsidR="00676882" w:rsidRDefault="00676882" w:rsidP="00676882">
      <w:pPr>
        <w:pStyle w:val="BodyText"/>
        <w:sectPr w:rsidR="00676882" w:rsidSect="00F32FCC">
          <w:type w:val="continuous"/>
          <w:pgSz w:w="11906" w:h="16838" w:code="9"/>
          <w:pgMar w:top="1134" w:right="851" w:bottom="1134" w:left="3119" w:header="454" w:footer="374"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Chapter 3"/>
        <w:tblDescription w:val="The need for government intervention"/>
      </w:tblPr>
      <w:tblGrid>
        <w:gridCol w:w="6237"/>
        <w:gridCol w:w="1699"/>
      </w:tblGrid>
      <w:tr w:rsidR="00676882" w14:paraId="6D765326" w14:textId="77777777" w:rsidTr="00DF45FA">
        <w:trPr>
          <w:trHeight w:hRule="exact" w:val="382"/>
        </w:trPr>
        <w:tc>
          <w:tcPr>
            <w:tcW w:w="6237" w:type="dxa"/>
          </w:tcPr>
          <w:p w14:paraId="4C5A044C" w14:textId="77777777" w:rsidR="00676882" w:rsidRDefault="00676882" w:rsidP="00DF45FA">
            <w:pPr>
              <w:pStyle w:val="tagchapterBanner"/>
            </w:pPr>
            <w:r>
              <w:rPr>
                <w:noProof/>
              </w:rPr>
              <w:lastRenderedPageBreak/>
              <w:drawing>
                <wp:anchor distT="0" distB="0" distL="114300" distR="114300" simplePos="0" relativeHeight="251674624" behindDoc="1" locked="1" layoutInCell="1" allowOverlap="1" wp14:anchorId="18140269" wp14:editId="52AD475E">
                  <wp:simplePos x="0" y="0"/>
                  <wp:positionH relativeFrom="page">
                    <wp:posOffset>0</wp:posOffset>
                  </wp:positionH>
                  <wp:positionV relativeFrom="page">
                    <wp:posOffset>0</wp:posOffset>
                  </wp:positionV>
                  <wp:extent cx="5039360" cy="1995170"/>
                  <wp:effectExtent l="0" t="0" r="8890" b="5080"/>
                  <wp:wrapNone/>
                  <wp:docPr id="49"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1699" w:type="dxa"/>
          </w:tcPr>
          <w:p w14:paraId="3463A323" w14:textId="77777777" w:rsidR="00676882" w:rsidRDefault="00676882" w:rsidP="00DF45FA">
            <w:pPr>
              <w:pStyle w:val="spacer"/>
            </w:pPr>
          </w:p>
        </w:tc>
      </w:tr>
      <w:tr w:rsidR="00676882" w14:paraId="400282EC" w14:textId="77777777" w:rsidTr="00DF45FA">
        <w:trPr>
          <w:trHeight w:hRule="exact" w:val="2760"/>
        </w:trPr>
        <w:tc>
          <w:tcPr>
            <w:tcW w:w="6237" w:type="dxa"/>
            <w:vAlign w:val="bottom"/>
          </w:tcPr>
          <w:p w14:paraId="6F60C60C" w14:textId="77777777" w:rsidR="00676882" w:rsidRDefault="00676882" w:rsidP="00DF45FA">
            <w:pPr>
              <w:pStyle w:val="Heading1"/>
            </w:pPr>
            <w:bookmarkStart w:id="69" w:name="_Toc80712580"/>
            <w:bookmarkStart w:id="70" w:name="_Ref80715964"/>
            <w:r>
              <w:t>The need for government intervention</w:t>
            </w:r>
            <w:bookmarkEnd w:id="69"/>
            <w:bookmarkEnd w:id="70"/>
          </w:p>
        </w:tc>
        <w:tc>
          <w:tcPr>
            <w:tcW w:w="1699" w:type="dxa"/>
            <w:tcMar>
              <w:right w:w="224" w:type="dxa"/>
            </w:tcMar>
            <w:vAlign w:val="bottom"/>
          </w:tcPr>
          <w:p w14:paraId="6E9AB444" w14:textId="77777777" w:rsidR="00676882" w:rsidRDefault="00676882" w:rsidP="00DF45FA">
            <w:pPr>
              <w:pStyle w:val="HeadingChapter"/>
            </w:pPr>
            <w:r>
              <w:fldChar w:fldCharType="begin"/>
            </w:r>
            <w:r>
              <w:instrText xml:space="preserve"> SEQ ChptNum \* ARABIC </w:instrText>
            </w:r>
            <w:r>
              <w:fldChar w:fldCharType="separate"/>
            </w:r>
            <w:r>
              <w:rPr>
                <w:noProof/>
              </w:rPr>
              <w:t>3</w:t>
            </w:r>
            <w:r>
              <w:rPr>
                <w:noProof/>
              </w:rPr>
              <w:fldChar w:fldCharType="end"/>
            </w:r>
          </w:p>
        </w:tc>
      </w:tr>
      <w:tr w:rsidR="00676882" w14:paraId="0C829D5D" w14:textId="77777777" w:rsidTr="00DF45FA">
        <w:trPr>
          <w:trHeight w:hRule="exact" w:val="228"/>
        </w:trPr>
        <w:tc>
          <w:tcPr>
            <w:tcW w:w="6237" w:type="dxa"/>
          </w:tcPr>
          <w:p w14:paraId="3B657911" w14:textId="77777777" w:rsidR="00676882" w:rsidRDefault="00676882" w:rsidP="00DF45FA">
            <w:pPr>
              <w:pStyle w:val="spacer"/>
            </w:pPr>
          </w:p>
        </w:tc>
        <w:tc>
          <w:tcPr>
            <w:tcW w:w="1699" w:type="dxa"/>
          </w:tcPr>
          <w:p w14:paraId="3EE25924" w14:textId="77777777" w:rsidR="00676882" w:rsidRDefault="00676882" w:rsidP="00DF45FA">
            <w:pPr>
              <w:pStyle w:val="spacer"/>
            </w:pPr>
          </w:p>
        </w:tc>
      </w:tr>
    </w:tbl>
    <w:p w14:paraId="09DB9FC0" w14:textId="77777777" w:rsidR="00676882" w:rsidRDefault="00676882" w:rsidP="00676882">
      <w:pPr>
        <w:pStyle w:val="BodyText"/>
      </w:pPr>
      <w:r>
        <w:t>This chapter explores the policy rationale and the case for government action to prescribe minimum standards for rental properties. Features-based and performance-based measures are collectively referred to as thermal control features in this chapter.</w:t>
      </w:r>
    </w:p>
    <w:p w14:paraId="498C4D9C" w14:textId="77777777" w:rsidR="00676882" w:rsidRDefault="00676882" w:rsidP="00676882">
      <w:pPr>
        <w:pStyle w:val="Heading2"/>
      </w:pPr>
      <w:bookmarkStart w:id="71" w:name="_Toc74515418"/>
      <w:bookmarkStart w:id="72" w:name="_Toc75339643"/>
      <w:bookmarkStart w:id="73" w:name="_Toc75339734"/>
      <w:bookmarkStart w:id="74" w:name="_Toc75339747"/>
      <w:bookmarkStart w:id="75" w:name="_Toc75339762"/>
      <w:bookmarkStart w:id="76" w:name="_Toc80712581"/>
      <w:r>
        <w:t>Market failures</w:t>
      </w:r>
      <w:bookmarkEnd w:id="71"/>
      <w:bookmarkEnd w:id="72"/>
      <w:bookmarkEnd w:id="73"/>
      <w:bookmarkEnd w:id="74"/>
      <w:bookmarkEnd w:id="75"/>
      <w:bookmarkEnd w:id="76"/>
    </w:p>
    <w:p w14:paraId="268A30BE" w14:textId="77777777" w:rsidR="00676882" w:rsidRDefault="00676882" w:rsidP="00676882">
      <w:pPr>
        <w:pStyle w:val="BodyText"/>
      </w:pPr>
      <w:r>
        <w:t>In a market-oriented economy such as the ACT’s, government intervention through regulation and other means is usually predicated on the existence of market failures that prevent optimal outcomes from being achieved. The types of market failure that may justify government intervention include split incentives, information asymmetry, externalities and imperfect information.</w:t>
      </w:r>
    </w:p>
    <w:p w14:paraId="1E7C9F0D" w14:textId="77777777" w:rsidR="00676882" w:rsidRDefault="00676882" w:rsidP="00676882">
      <w:pPr>
        <w:pStyle w:val="BodyText"/>
      </w:pPr>
      <w:r>
        <w:t>Market failures by themselves are insufficient to warrant government intervention. Intervention may be justified when the benefits of intervention outweigh its costs (including administrative and compliance costs), and in other cases, governments may regulate to achieve public and social good outcomes, such as equity and human rights.</w:t>
      </w:r>
    </w:p>
    <w:p w14:paraId="2DEE67C7" w14:textId="77777777" w:rsidR="00676882" w:rsidRDefault="00676882" w:rsidP="00676882">
      <w:pPr>
        <w:pStyle w:val="Heading2"/>
      </w:pPr>
      <w:bookmarkStart w:id="77" w:name="_Toc71466291"/>
      <w:bookmarkStart w:id="78" w:name="_Toc74515419"/>
      <w:bookmarkStart w:id="79" w:name="_Toc75339644"/>
      <w:bookmarkStart w:id="80" w:name="_Toc75339735"/>
      <w:bookmarkStart w:id="81" w:name="_Toc75339748"/>
      <w:bookmarkStart w:id="82" w:name="_Toc75339763"/>
      <w:bookmarkStart w:id="83" w:name="_Toc80712582"/>
      <w:r>
        <w:t>Split incentives in the context of thermal comfort for rental households</w:t>
      </w:r>
      <w:bookmarkEnd w:id="77"/>
      <w:bookmarkEnd w:id="78"/>
      <w:bookmarkEnd w:id="79"/>
      <w:bookmarkEnd w:id="80"/>
      <w:bookmarkEnd w:id="81"/>
      <w:bookmarkEnd w:id="82"/>
      <w:bookmarkEnd w:id="83"/>
    </w:p>
    <w:p w14:paraId="2E0FFDA8" w14:textId="77777777" w:rsidR="00676882" w:rsidRDefault="00676882" w:rsidP="00676882">
      <w:pPr>
        <w:pStyle w:val="BodyText"/>
      </w:pPr>
      <w:r>
        <w:t>Split incentives are often cited as the most significant barrier to improving the thermal control for rental properties. They arise when the costs and benefits of a transaction, that could otherwise have an overall payoff, are split between parties so that the transaction does not take place. In the context of this RIS, it refers to a decision to improve thermal control features which is normally made by the rental provider and in some cases the owners’ corporation, but where the beneficiary of this decision is primarily the tenant.</w:t>
      </w:r>
    </w:p>
    <w:p w14:paraId="3682F0FF" w14:textId="77777777" w:rsidR="00676882" w:rsidRDefault="00676882" w:rsidP="00676882">
      <w:pPr>
        <w:pStyle w:val="BodyText"/>
      </w:pPr>
      <w:r>
        <w:t>While rental providers are responsible for supplying and maintaining features which impact on the thermal control of properties, tenants are liable for day-to-day running costs, including those of gas and electricity. As rental providers do not receive any of the direct saving benefits arising from improving thermal control and comfort, they are likely to try to keep down initial costs rather than to install or invest in thermal control features for rental properties.</w:t>
      </w:r>
    </w:p>
    <w:p w14:paraId="58642DBE" w14:textId="77777777" w:rsidR="00676882" w:rsidRDefault="00676882" w:rsidP="00676882">
      <w:pPr>
        <w:pStyle w:val="BodyText"/>
      </w:pPr>
      <w:r>
        <w:t>On the other hand, tenants face a different set of barriers to improving thermal control. These include the lack of legal rights to install fixed features to improve energy efficiency in rental accommodation, the length and certainty of tenure in a particular property, and the lack of tax incentives to make improvements.</w:t>
      </w:r>
    </w:p>
    <w:p w14:paraId="163BBA54" w14:textId="77777777" w:rsidR="00676882" w:rsidRDefault="00676882" w:rsidP="00676882">
      <w:pPr>
        <w:pStyle w:val="BodyText"/>
      </w:pPr>
      <w:r>
        <w:t xml:space="preserve">ACIL Allen surveyed tenants on their views of a minimum standard. While close to a half had asked for some energy efficiency improvement — 90 per cent of these requests were declined, for a range of reasons. Further, organisations which represent tenants suggested that often tenants choose not to ask for improvements to rental properties because they do not want to be viewed as difficult tenants or for fear of retaliation from rental providers (see Appendix </w:t>
      </w:r>
      <w:r w:rsidRPr="009E4AB1">
        <w:fldChar w:fldCharType="begin"/>
      </w:r>
      <w:r w:rsidRPr="009E4AB1">
        <w:instrText xml:space="preserve"> REF _Ref75434778 \r \h  \* MERGEFORMAT </w:instrText>
      </w:r>
      <w:r w:rsidRPr="009E4AB1">
        <w:fldChar w:fldCharType="separate"/>
      </w:r>
      <w:r>
        <w:t>F</w:t>
      </w:r>
      <w:r w:rsidRPr="009E4AB1">
        <w:fldChar w:fldCharType="end"/>
      </w:r>
      <w:r>
        <w:t>).</w:t>
      </w:r>
    </w:p>
    <w:p w14:paraId="0C67D600" w14:textId="77777777" w:rsidR="00676882" w:rsidRDefault="00676882" w:rsidP="00676882">
      <w:pPr>
        <w:pStyle w:val="BodyText"/>
      </w:pPr>
      <w:r>
        <w:lastRenderedPageBreak/>
        <w:t xml:space="preserve">These barriers may be particularly acute for low-income tenants, who have a limited number of properties available in the private rental market that are affordable to them </w:t>
      </w:r>
      <w:sdt>
        <w:sdtPr>
          <w:id w:val="1994295831"/>
          <w:citation/>
        </w:sdtPr>
        <w:sdtContent>
          <w:r>
            <w:fldChar w:fldCharType="begin"/>
          </w:r>
          <w:r>
            <w:instrText xml:space="preserve"> CITATION Ben18 \l 3081 </w:instrText>
          </w:r>
          <w:r>
            <w:fldChar w:fldCharType="separate"/>
          </w:r>
          <w:r>
            <w:rPr>
              <w:noProof/>
            </w:rPr>
            <w:t>(Phillips, 2018)</w:t>
          </w:r>
          <w:r>
            <w:fldChar w:fldCharType="end"/>
          </w:r>
        </w:sdtContent>
      </w:sdt>
      <w:r>
        <w:t>. Tenants, including non-low-income tenants, have reported being reluctant to ask for energy efficiency improvements if this could lead to non-lease renewal or eviction</w:t>
      </w:r>
      <w:sdt>
        <w:sdtPr>
          <w:id w:val="-678655153"/>
          <w:citation/>
        </w:sdtPr>
        <w:sdtContent>
          <w:r>
            <w:fldChar w:fldCharType="begin"/>
          </w:r>
          <w:r>
            <w:instrText xml:space="preserve"> CITATION New18 \l 3081 </w:instrText>
          </w:r>
          <w:r>
            <w:fldChar w:fldCharType="separate"/>
          </w:r>
          <w:r>
            <w:rPr>
              <w:noProof/>
            </w:rPr>
            <w:t xml:space="preserve"> (Newgate Research, 2018)</w:t>
          </w:r>
          <w:r>
            <w:fldChar w:fldCharType="end"/>
          </w:r>
        </w:sdtContent>
      </w:sdt>
      <w:r>
        <w:t>.</w:t>
      </w:r>
    </w:p>
    <w:p w14:paraId="06897B4C" w14:textId="77777777" w:rsidR="00676882" w:rsidRDefault="00676882" w:rsidP="00676882">
      <w:pPr>
        <w:pStyle w:val="BodyText"/>
      </w:pPr>
      <w:r>
        <w:t xml:space="preserve">The Newgate survey for the Victorian Government </w:t>
      </w:r>
      <w:sdt>
        <w:sdtPr>
          <w:id w:val="88047302"/>
          <w:citation/>
        </w:sdtPr>
        <w:sdtContent>
          <w:r>
            <w:fldChar w:fldCharType="begin"/>
          </w:r>
          <w:r>
            <w:instrText xml:space="preserve">CITATION New18 \n  \t  \l 3081 </w:instrText>
          </w:r>
          <w:r>
            <w:fldChar w:fldCharType="separate"/>
          </w:r>
          <w:r>
            <w:rPr>
              <w:noProof/>
            </w:rPr>
            <w:t>(2018)</w:t>
          </w:r>
          <w:r>
            <w:fldChar w:fldCharType="end"/>
          </w:r>
        </w:sdtContent>
      </w:sdt>
      <w:r>
        <w:t xml:space="preserve"> found that only 1 per cent of tenants and 28 per cent of rental providers are willing to pay for ceiling insulation. Rental providers with a house, rather than a flat, apartment or a townhouse, were more willing to pay for ceiling insulation (50 per cent compared to 19 per cent). Tenants were unwilling to pay for anything with a large outlay in price, especially if they could not take it with them to another property. </w:t>
      </w:r>
    </w:p>
    <w:p w14:paraId="634BB60C" w14:textId="77777777" w:rsidR="00676882" w:rsidRDefault="00676882" w:rsidP="00676882">
      <w:pPr>
        <w:pStyle w:val="BodyText"/>
      </w:pPr>
      <w:r>
        <w:t xml:space="preserve">The proportion of tenants and rental providers willing to pay for draught proofing was higher — 16 per cent of tenants and 49 per cent of rental providers. Of </w:t>
      </w:r>
      <w:proofErr w:type="gramStart"/>
      <w:r>
        <w:t>a number of</w:t>
      </w:r>
      <w:proofErr w:type="gramEnd"/>
      <w:r>
        <w:t xml:space="preserve"> energy efficiency features tested during the survey, draught proofing had the lowest initial outlay, lowest installation costs and quickest return on investment. However, draught proofing was not appealing to tenants if they were not intending to be in the property for some time.</w:t>
      </w:r>
    </w:p>
    <w:p w14:paraId="6A93E756" w14:textId="77777777" w:rsidR="00676882" w:rsidRDefault="00676882" w:rsidP="00676882">
      <w:pPr>
        <w:pStyle w:val="BodyText"/>
      </w:pPr>
      <w:r>
        <w:t>In a market where split incentives exist, there are suboptimal outcomes to society. In the case of lack of investment in ceiling insulation and draught proofing, this means that even though these investments would have an economic payoff, they are not exploited because the rental providers cannot recover the costs of their investment if there is no mechanism for them to do this (for example, through higher rents).</w:t>
      </w:r>
    </w:p>
    <w:p w14:paraId="471ECD8C" w14:textId="77777777" w:rsidR="00676882" w:rsidRDefault="00676882" w:rsidP="00676882">
      <w:pPr>
        <w:pStyle w:val="Heading2"/>
      </w:pPr>
      <w:bookmarkStart w:id="84" w:name="_Toc71466292"/>
      <w:bookmarkStart w:id="85" w:name="_Toc74515420"/>
      <w:bookmarkStart w:id="86" w:name="_Toc75339645"/>
      <w:bookmarkStart w:id="87" w:name="_Toc75339736"/>
      <w:bookmarkStart w:id="88" w:name="_Toc75339749"/>
      <w:bookmarkStart w:id="89" w:name="_Toc75339764"/>
      <w:bookmarkStart w:id="90" w:name="_Toc80712583"/>
      <w:r>
        <w:t>Interaction of split incentives and information asymmetry</w:t>
      </w:r>
      <w:bookmarkEnd w:id="84"/>
      <w:bookmarkEnd w:id="85"/>
      <w:bookmarkEnd w:id="86"/>
      <w:bookmarkEnd w:id="87"/>
      <w:bookmarkEnd w:id="88"/>
      <w:bookmarkEnd w:id="89"/>
      <w:bookmarkEnd w:id="90"/>
    </w:p>
    <w:p w14:paraId="03C03EA4" w14:textId="77777777" w:rsidR="00676882" w:rsidRDefault="00676882" w:rsidP="00676882">
      <w:pPr>
        <w:pStyle w:val="BodyText"/>
      </w:pPr>
      <w:r>
        <w:t xml:space="preserve">Rental providers are often unable to recover the costs of the improvements in the form of higher rents because of a second market failure — the information asymmetry between rental providers and tenants concerning energy efficiency and thermal control features. The effect is more apparent in tight rental markets </w:t>
      </w:r>
      <w:sdt>
        <w:sdtPr>
          <w:id w:val="-1482308312"/>
          <w:citation/>
        </w:sdtPr>
        <w:sdtContent>
          <w:r>
            <w:fldChar w:fldCharType="begin"/>
          </w:r>
          <w:r>
            <w:instrText xml:space="preserve">CITATION Mur19 \l 3081 </w:instrText>
          </w:r>
          <w:r>
            <w:fldChar w:fldCharType="separate"/>
          </w:r>
          <w:r>
            <w:rPr>
              <w:noProof/>
            </w:rPr>
            <w:t>(Murray-Leach, 2019)</w:t>
          </w:r>
          <w:r>
            <w:fldChar w:fldCharType="end"/>
          </w:r>
        </w:sdtContent>
      </w:sdt>
      <w:r>
        <w:t xml:space="preserve">. </w:t>
      </w:r>
    </w:p>
    <w:p w14:paraId="012FD7B3" w14:textId="77777777" w:rsidR="00676882" w:rsidRDefault="00676882" w:rsidP="00676882">
      <w:pPr>
        <w:pStyle w:val="BodyText"/>
      </w:pPr>
      <w:r>
        <w:t xml:space="preserve">In essence, tenants are unable to distinguish properties with high energy efficiency from those with low energy efficiency because virtually no rental providers voluntarily have their buildings rated under schemes such as the Victorian Residential Scorecard and make the information public. </w:t>
      </w:r>
    </w:p>
    <w:p w14:paraId="23729165" w14:textId="77777777" w:rsidR="00676882" w:rsidRDefault="00676882" w:rsidP="00676882">
      <w:pPr>
        <w:pStyle w:val="BodyText"/>
      </w:pPr>
      <w:r>
        <w:t>Better Rentin</w:t>
      </w:r>
      <w:r w:rsidRPr="001D3BC1">
        <w:t>g</w:t>
      </w:r>
      <w:r>
        <w:t xml:space="preserve"> </w:t>
      </w:r>
      <w:sdt>
        <w:sdtPr>
          <w:id w:val="-278184363"/>
          <w:citation/>
        </w:sdtPr>
        <w:sdtContent>
          <w:r w:rsidRPr="001D3BC1">
            <w:fldChar w:fldCharType="begin"/>
          </w:r>
          <w:r w:rsidRPr="001D3BC1">
            <w:instrText xml:space="preserve">CITATION Bet191 \n  \t  \l 3081 </w:instrText>
          </w:r>
          <w:r w:rsidRPr="001D3BC1">
            <w:fldChar w:fldCharType="separate"/>
          </w:r>
          <w:r>
            <w:rPr>
              <w:noProof/>
            </w:rPr>
            <w:t>(2019)</w:t>
          </w:r>
          <w:r w:rsidRPr="001D3BC1">
            <w:fldChar w:fldCharType="end"/>
          </w:r>
        </w:sdtContent>
      </w:sdt>
      <w:r w:rsidRPr="001D3BC1">
        <w:t xml:space="preserve"> </w:t>
      </w:r>
      <w:r>
        <w:t>looked at advertisements for almost 20,000 rental properties. Of these, two-in-five listed Energy Efficiency Ratings (EERs) of 0. While this partially supports the fact that rental properties perform worse than owner-occupier properties, representatives of the real estate industry acknowledged that human-error is also partly to blame. Despite the compulsory nature of EER listings in the ACT, some properties listed with an EER of 0 would be done so because of a listing error or because a rating is not readily known. Whatever the cause, it can be difficult for potential tenants to understand the energy-efficiency of prospective properties.</w:t>
      </w:r>
    </w:p>
    <w:p w14:paraId="7D409F57" w14:textId="77777777" w:rsidR="00676882" w:rsidRDefault="00676882" w:rsidP="00676882">
      <w:pPr>
        <w:pStyle w:val="BodyText"/>
      </w:pPr>
      <w:r>
        <w:t xml:space="preserve">In normal residential rental market conditions, not many potential tenants have the bargaining power to demand verifiable information on the energy efficiency performance of properties they are considering, in part because rental providers know that potential tenants take into consideration (and often value more highly) many attributes besides thermal control in their rental decisions. </w:t>
      </w:r>
    </w:p>
    <w:p w14:paraId="332DB52B" w14:textId="77777777" w:rsidR="00676882" w:rsidRDefault="00676882" w:rsidP="00676882">
      <w:pPr>
        <w:pStyle w:val="BodyText"/>
      </w:pPr>
      <w:r>
        <w:t xml:space="preserve">The Newgate survey for the Victorian Government </w:t>
      </w:r>
      <w:sdt>
        <w:sdtPr>
          <w:id w:val="-965815966"/>
          <w:citation/>
        </w:sdtPr>
        <w:sdtContent>
          <w:r>
            <w:fldChar w:fldCharType="begin"/>
          </w:r>
          <w:r>
            <w:instrText xml:space="preserve">CITATION New18 \n  \t  \l 3081 </w:instrText>
          </w:r>
          <w:r>
            <w:fldChar w:fldCharType="separate"/>
          </w:r>
          <w:r>
            <w:rPr>
              <w:noProof/>
            </w:rPr>
            <w:t>(2018)</w:t>
          </w:r>
          <w:r>
            <w:fldChar w:fldCharType="end"/>
          </w:r>
        </w:sdtContent>
      </w:sdt>
      <w:r>
        <w:t xml:space="preserve"> found that the strongest drivers of perceptions about rental properties among tenants were the general condition of the property, value for money, and performance and presence of fixed appliances. The cost of energy bills and the ease of maintaining a comfortable temperature had a relatively low impact on tenants’ ratings of their rental property as a place to live. This limits choice and leverage for tenants in negotiating features, </w:t>
      </w:r>
      <w:proofErr w:type="gramStart"/>
      <w:r>
        <w:t>and also</w:t>
      </w:r>
      <w:proofErr w:type="gramEnd"/>
      <w:r>
        <w:t xml:space="preserve"> limits incentives for rental providers and property managers to focus on and improve energy efficiency in rental properties.</w:t>
      </w:r>
    </w:p>
    <w:p w14:paraId="7B8C0BB5" w14:textId="77777777" w:rsidR="00676882" w:rsidRDefault="00676882" w:rsidP="00676882">
      <w:pPr>
        <w:pStyle w:val="BodyText"/>
      </w:pPr>
      <w:r>
        <w:lastRenderedPageBreak/>
        <w:t xml:space="preserve">Similarly, a 2012 study by ACIL Tasman for the then Department of Climate Change and Energy Efficiency found that </w:t>
      </w:r>
      <w:proofErr w:type="gramStart"/>
      <w:r>
        <w:t>the majority of</w:t>
      </w:r>
      <w:proofErr w:type="gramEnd"/>
      <w:r>
        <w:t xml:space="preserve"> real estate agents, Real Estate Institutes and tenancy unions interviewed for the study believed that energy consumption is far less important a factor in rental decisions than the location of a property and other attributes. This means that rental providers are less likely to incur the cost and hassle of energy efficiency upgrades if they believe that such upgrades are not likely to sway the decisions of potential tenants, who are more willing to pay higher rent for proximity to public transport and good schools (for example) than greater energy efficiency.</w:t>
      </w:r>
    </w:p>
    <w:p w14:paraId="46AA1DD5" w14:textId="77777777" w:rsidR="00676882" w:rsidRDefault="00676882" w:rsidP="00676882">
      <w:pPr>
        <w:pStyle w:val="BodyText"/>
        <w:rPr>
          <w:rFonts w:ascii="Segoe UI" w:hAnsi="Segoe UI"/>
          <w:sz w:val="18"/>
          <w:szCs w:val="18"/>
        </w:rPr>
      </w:pPr>
      <w:r>
        <w:rPr>
          <w:rStyle w:val="normaltextrun"/>
          <w:rFonts w:cs="Segoe UI"/>
        </w:rPr>
        <w:t>Rental providers are primarily motivated by direct financial incentives in relation to the uptake of thermal control features at their properties. Though they may encourage tenants to stay for longer periods, energy savings on behalf of tenants may not translate into pecuniary benefits for rental providers through higher rents for many properties. </w:t>
      </w:r>
      <w:r>
        <w:rPr>
          <w:rFonts w:ascii="Segoe UI" w:hAnsi="Segoe UI"/>
          <w:sz w:val="18"/>
          <w:szCs w:val="18"/>
        </w:rPr>
        <w:t xml:space="preserve"> </w:t>
      </w:r>
    </w:p>
    <w:p w14:paraId="0747509F" w14:textId="77777777" w:rsidR="00676882" w:rsidRDefault="00676882" w:rsidP="00676882">
      <w:pPr>
        <w:pStyle w:val="BodyText"/>
      </w:pPr>
      <w:r>
        <w:t>It should be noted that addressing the information problem might be of less value to low-income tenants than other tenants, even if they value energy efficiency highly. This is because low-income tenants typically have fewer choices about their accommodation than other tenants.</w:t>
      </w:r>
    </w:p>
    <w:p w14:paraId="55EC87E0" w14:textId="77777777" w:rsidR="00676882" w:rsidRDefault="00676882" w:rsidP="00676882">
      <w:pPr>
        <w:pStyle w:val="Heading2"/>
      </w:pPr>
      <w:bookmarkStart w:id="91" w:name="_Toc472477986"/>
      <w:bookmarkStart w:id="92" w:name="_Toc71466293"/>
      <w:bookmarkStart w:id="93" w:name="_Toc74515421"/>
      <w:bookmarkStart w:id="94" w:name="_Toc75339646"/>
      <w:bookmarkStart w:id="95" w:name="_Toc75339737"/>
      <w:bookmarkStart w:id="96" w:name="_Toc75339750"/>
      <w:bookmarkStart w:id="97" w:name="_Toc75339765"/>
      <w:bookmarkStart w:id="98" w:name="_Toc80712584"/>
      <w:r>
        <w:t>Other barriers</w:t>
      </w:r>
      <w:bookmarkEnd w:id="91"/>
      <w:bookmarkEnd w:id="92"/>
      <w:bookmarkEnd w:id="93"/>
      <w:bookmarkEnd w:id="94"/>
      <w:bookmarkEnd w:id="95"/>
      <w:bookmarkEnd w:id="96"/>
      <w:bookmarkEnd w:id="97"/>
      <w:bookmarkEnd w:id="98"/>
    </w:p>
    <w:p w14:paraId="6E258B57" w14:textId="77777777" w:rsidR="00676882" w:rsidRDefault="00676882" w:rsidP="00676882">
      <w:pPr>
        <w:pStyle w:val="BodyText"/>
      </w:pPr>
      <w:r>
        <w:t>In addition to split incentives and information asymmetry, other market failures and barriers also impede the adoption of thermal control upgrades in rental households in Canberra. These market failures include adverse selection and capital market imperfections, while other barriers include behavioural failures and the impact of uncertainty on decision-making by rental providers.</w:t>
      </w:r>
    </w:p>
    <w:p w14:paraId="315F892F" w14:textId="77777777" w:rsidR="00676882" w:rsidRDefault="00676882" w:rsidP="00676882">
      <w:pPr>
        <w:pStyle w:val="BodyText"/>
      </w:pPr>
      <w:r>
        <w:t>These other barriers:</w:t>
      </w:r>
    </w:p>
    <w:p w14:paraId="391E9E3A" w14:textId="77777777" w:rsidR="00676882" w:rsidRDefault="00676882" w:rsidP="00676882">
      <w:pPr>
        <w:pStyle w:val="ListBullet"/>
      </w:pPr>
      <w:r>
        <w:rPr>
          <w:b/>
        </w:rPr>
        <w:t xml:space="preserve">Lead to split incentives </w:t>
      </w:r>
      <w:r w:rsidRPr="00476F65">
        <w:rPr>
          <w:bCs/>
        </w:rPr>
        <w:t>—</w:t>
      </w:r>
      <w:r>
        <w:t xml:space="preserve"> Inadequate or asymmetric information, and externalities, lead to a situation where there is no increase in rents for an increase in energy performance. This is because the market is unaware of the value, or that some portion of the value (the externality) is not captured. This is the fundamental cause of split incentives (that is, the costs of an installation cannot be recouped through higher rents).</w:t>
      </w:r>
    </w:p>
    <w:p w14:paraId="66A8DBDA" w14:textId="77777777" w:rsidR="00676882" w:rsidRDefault="00676882" w:rsidP="00676882">
      <w:pPr>
        <w:pStyle w:val="ListBullet"/>
      </w:pPr>
      <w:r>
        <w:rPr>
          <w:b/>
        </w:rPr>
        <w:t xml:space="preserve">Compound the effect of split incentives </w:t>
      </w:r>
      <w:r w:rsidRPr="00476F65">
        <w:rPr>
          <w:bCs/>
        </w:rPr>
        <w:t>—</w:t>
      </w:r>
      <w:r>
        <w:rPr>
          <w:b/>
        </w:rPr>
        <w:t xml:space="preserve"> </w:t>
      </w:r>
      <w:r>
        <w:t>Capital constraints, transaction costs and bounded rationality reinforce and amplify the effects of split incentives, in leading to lower uptake than would otherwise be optimal.</w:t>
      </w:r>
    </w:p>
    <w:p w14:paraId="770730A7" w14:textId="77777777" w:rsidR="00676882" w:rsidRDefault="00676882" w:rsidP="00676882">
      <w:pPr>
        <w:pStyle w:val="Heading3"/>
      </w:pPr>
      <w:bookmarkStart w:id="99" w:name="_Toc75339766"/>
      <w:r>
        <w:t>Adverse selection</w:t>
      </w:r>
      <w:bookmarkEnd w:id="99"/>
    </w:p>
    <w:p w14:paraId="69E27D89" w14:textId="77777777" w:rsidR="00676882" w:rsidRDefault="00676882" w:rsidP="00676882">
      <w:pPr>
        <w:pStyle w:val="BodyText"/>
      </w:pPr>
      <w:r>
        <w:t xml:space="preserve">The information asymmetry problem discussed above can lead to ‘adverse selection’. Adverse selection occurs when a buyer is not able to differentiate between high quality and low-quality goods in the market at the time of purchase, and perhaps also not until a significant </w:t>
      </w:r>
      <w:proofErr w:type="gramStart"/>
      <w:r>
        <w:t>period of time</w:t>
      </w:r>
      <w:proofErr w:type="gramEnd"/>
      <w:r>
        <w:t xml:space="preserve"> after purchase. In the presence of this uncertainty, high quality products can be driven out of the market.</w:t>
      </w:r>
    </w:p>
    <w:p w14:paraId="30F6EF2D" w14:textId="77777777" w:rsidR="00676882" w:rsidRDefault="00676882" w:rsidP="00676882">
      <w:pPr>
        <w:pStyle w:val="BodyText"/>
      </w:pPr>
      <w:r>
        <w:t>The best-known example of adverse selection relates to the used car market, where used car buyers know that they have a risk of purchasing a poor-quality vehicle but have no reasonable means of identifying it from the higher quality cars until they have driven the car for several months after purchase (in the absence of any other third-party assistance). To account for this risk, used car buyers will offer a price that is below what the seller of a high-quality vehicle would be willing to accept. This theoretically drives higher quality cars out of the market, if there is an unlimited supply of used cars.</w:t>
      </w:r>
    </w:p>
    <w:p w14:paraId="0C42553C" w14:textId="77777777" w:rsidR="00676882" w:rsidRDefault="00676882" w:rsidP="00676882">
      <w:pPr>
        <w:pStyle w:val="BodyText"/>
      </w:pPr>
      <w:r>
        <w:t xml:space="preserve">Adverse selection is most common for those products where it is difficult for consumers to ascertain quality at the time of purchase (and even for some period after purchase), and where they do not have sufficient prior experience on which to base their decision. There are </w:t>
      </w:r>
      <w:proofErr w:type="gramStart"/>
      <w:r>
        <w:t>a number of</w:t>
      </w:r>
      <w:proofErr w:type="gramEnd"/>
      <w:r>
        <w:t xml:space="preserve"> </w:t>
      </w:r>
      <w:r>
        <w:lastRenderedPageBreak/>
        <w:t>characteristics of residential building energy efficiency that increase the risk of adverse selection in the rental market, for example, almost one-in-three (29 per cent) tenants do not know whether ceiling insulation is installed. Similarly, about one-in-four (26 per cent) of rental providers do not know whether their rental properties have ceiling insulation.</w:t>
      </w:r>
    </w:p>
    <w:p w14:paraId="67CCA800" w14:textId="77777777" w:rsidR="00676882" w:rsidRDefault="00676882" w:rsidP="00676882">
      <w:pPr>
        <w:pStyle w:val="BodyText"/>
      </w:pPr>
      <w:r>
        <w:t>In markets where there are information asymmetries, adverse selection can drive down the amount of thermal control or energy efficiency ‘premium’ achievable — essentially making it more challenging to achieve higher rents or a higher price to reflect the investment made in energy efficiency performance. This can occur where potential tenants are unable to differentiate on energy efficiency grounds — that is, where information on thermal control features is not provided or not available for tenants.</w:t>
      </w:r>
    </w:p>
    <w:p w14:paraId="3155F399" w14:textId="77777777" w:rsidR="00676882" w:rsidRDefault="00676882" w:rsidP="00676882">
      <w:pPr>
        <w:pStyle w:val="BodyText"/>
      </w:pPr>
      <w:r>
        <w:t>Where adverse selection occurs, there is a greater risk to the return on investment from energy efficiency improvements. Therefore, even if a rental provider had an opportunity to invest in ceiling insulation but had limited ability to signal the quality of this property over and above others in the market, the investment is less likely to take place. Performance ratings and real estate agents’ advertisements are two common methods for rental providers to signal the higher quality of their property, reducing the risk of adverse selection in the rental property market.</w:t>
      </w:r>
    </w:p>
    <w:p w14:paraId="496F0820" w14:textId="77777777" w:rsidR="00676882" w:rsidRDefault="00676882" w:rsidP="00676882">
      <w:pPr>
        <w:pStyle w:val="Heading3"/>
      </w:pPr>
      <w:bookmarkStart w:id="100" w:name="_Toc75339767"/>
      <w:r>
        <w:t>Inadequate information</w:t>
      </w:r>
      <w:bookmarkEnd w:id="100"/>
    </w:p>
    <w:p w14:paraId="4397A1C5" w14:textId="77777777" w:rsidR="00676882" w:rsidRDefault="00676882" w:rsidP="00676882">
      <w:pPr>
        <w:pStyle w:val="BodyText"/>
      </w:pPr>
      <w:r>
        <w:t xml:space="preserve">Rental providers may be reluctant to install ceiling insulation or draught proof their properties if they do not understand </w:t>
      </w:r>
      <w:proofErr w:type="gramStart"/>
      <w:r>
        <w:t>all of</w:t>
      </w:r>
      <w:proofErr w:type="gramEnd"/>
      <w:r>
        <w:t xml:space="preserve"> the benefits, or if the benefits are not immediately apparent (such as improved ability for tenants to stay current on rent payments and reduced vacancy).</w:t>
      </w:r>
    </w:p>
    <w:p w14:paraId="2B25DCDB" w14:textId="77777777" w:rsidR="00676882" w:rsidRDefault="00676882" w:rsidP="00676882">
      <w:pPr>
        <w:pStyle w:val="BodyText"/>
      </w:pPr>
      <w:r>
        <w:t>In some cases, rental providers do not have sufficient information to determine the most appropriate actions to take without seeking expert technical advice. In the survey of ACT rental providers undertaken as part of the development of this RIS, 5.59 per cent of rental providers said they had not invested in improving the energy efficiency of their rental properties because they did not have the information necessary. Though others responded for other reasons, it is possible that information contributed as a limiting factor.</w:t>
      </w:r>
    </w:p>
    <w:p w14:paraId="669692AD" w14:textId="77777777" w:rsidR="00676882" w:rsidRDefault="00676882" w:rsidP="00676882">
      <w:pPr>
        <w:pStyle w:val="Heading3"/>
      </w:pPr>
      <w:bookmarkStart w:id="101" w:name="_Toc75339768"/>
      <w:r>
        <w:t>Capital market imperfections</w:t>
      </w:r>
      <w:bookmarkEnd w:id="101"/>
    </w:p>
    <w:p w14:paraId="3985DDE0" w14:textId="77777777" w:rsidR="00676882" w:rsidRDefault="00676882" w:rsidP="00676882">
      <w:pPr>
        <w:pStyle w:val="BodyText"/>
      </w:pPr>
      <w:r>
        <w:t xml:space="preserve">In addition to the split incentive and asymmetric information problems, rental providers and tenants may also face capital market imperfections in financing investments in thermal comfort features. </w:t>
      </w:r>
      <w:proofErr w:type="gramStart"/>
      <w:r>
        <w:t>In particular, less</w:t>
      </w:r>
      <w:proofErr w:type="gramEnd"/>
      <w:r>
        <w:t xml:space="preserve"> well-resourced rental providers and tenants without a strong financial track record may experience difficulties accessing loans from the financial markets to invest in improving thermal comfort even where that investment has a high rate of return. This will be a barrier to the uptake of thermal comfort upgrades by rental providers, even though the tax system may allow them to depreciate such assets.</w:t>
      </w:r>
    </w:p>
    <w:p w14:paraId="5F9DAAD9" w14:textId="77777777" w:rsidR="00676882" w:rsidRDefault="00676882" w:rsidP="00676882">
      <w:pPr>
        <w:pStyle w:val="Heading3"/>
      </w:pPr>
      <w:bookmarkStart w:id="102" w:name="_Toc75339769"/>
      <w:r>
        <w:t>Externalities</w:t>
      </w:r>
      <w:bookmarkEnd w:id="102"/>
    </w:p>
    <w:p w14:paraId="3EB023D2" w14:textId="77777777" w:rsidR="00676882" w:rsidRDefault="00676882" w:rsidP="00676882">
      <w:pPr>
        <w:pStyle w:val="BodyText"/>
      </w:pPr>
      <w:r>
        <w:t>The benefits of thermal comfort features are likely to spread beyond tenants and rental providers to society more broadly. Other benefits include a reduction in greenhouse gas (GHG) emissions (see section </w:t>
      </w:r>
      <w:r w:rsidRPr="009E4AB1">
        <w:fldChar w:fldCharType="begin"/>
      </w:r>
      <w:r w:rsidRPr="009E4AB1">
        <w:instrText xml:space="preserve"> REF _Ref75506401 \r \h  \* MERGEFORMAT </w:instrText>
      </w:r>
      <w:r w:rsidRPr="009E4AB1">
        <w:fldChar w:fldCharType="separate"/>
      </w:r>
      <w:r>
        <w:t>2.4</w:t>
      </w:r>
      <w:r w:rsidRPr="009E4AB1">
        <w:fldChar w:fldCharType="end"/>
      </w:r>
      <w:r>
        <w:t>) associated with lower energy use, avoided health system costs (which are passed on to all taxpayers), lower costs of energy supply (by reducing peak demand) and lower costs to energy retailers (by improving bad debts). These benefits are examples of externalities, where a third party not involved in the transaction benefits (or is made worse off) from that transaction.</w:t>
      </w:r>
    </w:p>
    <w:p w14:paraId="065AF2BA" w14:textId="77777777" w:rsidR="00676882" w:rsidRDefault="00676882" w:rsidP="00676882">
      <w:pPr>
        <w:pStyle w:val="Heading3"/>
      </w:pPr>
      <w:bookmarkStart w:id="103" w:name="_Toc75339770"/>
      <w:r>
        <w:t>Transaction costs</w:t>
      </w:r>
      <w:bookmarkEnd w:id="103"/>
    </w:p>
    <w:p w14:paraId="6A1E8F54" w14:textId="77777777" w:rsidR="00676882" w:rsidRDefault="00676882" w:rsidP="00676882">
      <w:pPr>
        <w:pStyle w:val="BodyText"/>
      </w:pPr>
      <w:r>
        <w:t xml:space="preserve">The cost of installing a thermal comfort feature goes beyond the simple upfront cost of the device. Rental providers incur a financial and time expense in facilitating the installation. Some rental </w:t>
      </w:r>
      <w:r>
        <w:lastRenderedPageBreak/>
        <w:t>providers are time-</w:t>
      </w:r>
      <w:proofErr w:type="gramStart"/>
      <w:r>
        <w:t>poor</w:t>
      </w:r>
      <w:proofErr w:type="gramEnd"/>
      <w:r>
        <w:t xml:space="preserve"> and the cost of their time could be just as strong or greater barrier to uptake. </w:t>
      </w:r>
    </w:p>
    <w:p w14:paraId="316D677A" w14:textId="77777777" w:rsidR="00676882" w:rsidRDefault="00676882" w:rsidP="00676882">
      <w:pPr>
        <w:pStyle w:val="Heading3"/>
      </w:pPr>
      <w:bookmarkStart w:id="104" w:name="_Toc75339771"/>
      <w:r>
        <w:t>Behavioural failures</w:t>
      </w:r>
      <w:bookmarkEnd w:id="104"/>
    </w:p>
    <w:p w14:paraId="4D27849E" w14:textId="77777777" w:rsidR="00676882" w:rsidRDefault="00676882" w:rsidP="00676882">
      <w:pPr>
        <w:pStyle w:val="BodyText"/>
      </w:pPr>
      <w:r>
        <w:t>Over time, increasing attention has been given to the role of “behavioural failures” as impediments to the take-up of thermal control features that would yield private benefits in excess of private costs.</w:t>
      </w:r>
    </w:p>
    <w:p w14:paraId="00177E50" w14:textId="77777777" w:rsidR="00676882" w:rsidRDefault="00676882" w:rsidP="00676882">
      <w:pPr>
        <w:pStyle w:val="BodyText"/>
      </w:pPr>
      <w:r>
        <w:t>More than 25 sources of “behavioural failure” have been identified in the behavioural economics literature. Key sources, some of which overlap, include</w:t>
      </w:r>
      <w:r>
        <w:rPr>
          <w:rStyle w:val="FootnoteReference"/>
        </w:rPr>
        <w:footnoteReference w:id="3"/>
      </w:r>
      <w:r>
        <w:t xml:space="preserve">: </w:t>
      </w:r>
    </w:p>
    <w:p w14:paraId="20557F88" w14:textId="77777777" w:rsidR="00676882" w:rsidRDefault="00676882" w:rsidP="00676882">
      <w:pPr>
        <w:pStyle w:val="ListBullet"/>
      </w:pPr>
      <w:r>
        <w:rPr>
          <w:i/>
        </w:rPr>
        <w:t xml:space="preserve">computational issues </w:t>
      </w:r>
      <w:r>
        <w:t>(limited attention, decisional conflicts, over-optimism and over-confidence, self-serving bias, limited analytical capacity including bounded rationality and rule of thumb (heuristic) decision-making)</w:t>
      </w:r>
    </w:p>
    <w:p w14:paraId="0B0A4E4A" w14:textId="77777777" w:rsidR="00676882" w:rsidRDefault="00676882" w:rsidP="00676882">
      <w:pPr>
        <w:pStyle w:val="ListBullet"/>
      </w:pPr>
      <w:r>
        <w:rPr>
          <w:i/>
        </w:rPr>
        <w:t xml:space="preserve">self-control issues </w:t>
      </w:r>
      <w:r>
        <w:t>(time inconsistency, procrastination, temptation, channelling and framing)</w:t>
      </w:r>
    </w:p>
    <w:p w14:paraId="256A31BE" w14:textId="77777777" w:rsidR="00676882" w:rsidRDefault="00676882" w:rsidP="00676882">
      <w:pPr>
        <w:pStyle w:val="ListBullet"/>
      </w:pPr>
      <w:r>
        <w:rPr>
          <w:i/>
        </w:rPr>
        <w:t xml:space="preserve">preference issues </w:t>
      </w:r>
      <w:r>
        <w:t>(reference-dependent preferences including endowment effects, status quo bias and loss aversion, outward looking or other-regarding preferences including altruism, fairness concepts and social norms).</w:t>
      </w:r>
    </w:p>
    <w:p w14:paraId="76031D16" w14:textId="77777777" w:rsidR="00676882" w:rsidRDefault="00676882" w:rsidP="00676882">
      <w:pPr>
        <w:pStyle w:val="BodyText"/>
      </w:pPr>
      <w:r>
        <w:t xml:space="preserve">Bounded rationality is the idea that in decision-making, the rationality of individuals is limited by the information they have, the cognitive limitations of their minds, and the finite amount of time they </w:t>
      </w:r>
      <w:proofErr w:type="gramStart"/>
      <w:r>
        <w:t>have to</w:t>
      </w:r>
      <w:proofErr w:type="gramEnd"/>
      <w:r>
        <w:t xml:space="preserve"> make a decision. This could potentially be a reason why renters and tenants do not undertake discounted cash flow calculations, preferring to fall back on rules of thumb, before deciding on a thermal control investment or whether a more energy efficient property justifies a higher rental cost.</w:t>
      </w:r>
    </w:p>
    <w:p w14:paraId="707FD7BD" w14:textId="77777777" w:rsidR="00676882" w:rsidRDefault="00676882" w:rsidP="00676882">
      <w:pPr>
        <w:pStyle w:val="BodyText"/>
      </w:pPr>
      <w:r>
        <w:t>Loss aversion (the tendency for people to strongly prefer avoiding losses than acquiring gains) could be why the up-front costs of investments appear to be given more weight than cost savings over the life of the investment. Framing through advertising could help explain why buyers give less attention to thermal control than other features of rental accommodation.</w:t>
      </w:r>
    </w:p>
    <w:p w14:paraId="73846C83" w14:textId="77777777" w:rsidR="00676882" w:rsidRDefault="00676882" w:rsidP="00676882">
      <w:pPr>
        <w:pStyle w:val="Heading3"/>
      </w:pPr>
      <w:bookmarkStart w:id="105" w:name="_Toc75339772"/>
      <w:r>
        <w:t>Impact of uncertainty on decision-making</w:t>
      </w:r>
      <w:bookmarkEnd w:id="105"/>
    </w:p>
    <w:p w14:paraId="3A43CB5C" w14:textId="77777777" w:rsidR="00676882" w:rsidRDefault="00676882" w:rsidP="00676882">
      <w:pPr>
        <w:pStyle w:val="BodyText"/>
      </w:pPr>
      <w:r>
        <w:t>The apparent under-valuation of thermal comfort features in rental accommodation might also reflect the (real option) value rental providers place on deferring thermal control investments to maintain flexibility or wait for more information in the context of:</w:t>
      </w:r>
    </w:p>
    <w:p w14:paraId="55DD664E" w14:textId="77777777" w:rsidR="00676882" w:rsidRDefault="00676882" w:rsidP="00676882">
      <w:pPr>
        <w:pStyle w:val="ListBullet"/>
      </w:pPr>
      <w:r>
        <w:t>a significant degree of irreversibility of capital costs because of uncertainty regarding capitalisation of future cost savings on resale</w:t>
      </w:r>
    </w:p>
    <w:p w14:paraId="29AAAF08" w14:textId="77777777" w:rsidR="00676882" w:rsidRDefault="00676882" w:rsidP="00676882">
      <w:pPr>
        <w:pStyle w:val="ListBullet"/>
      </w:pPr>
      <w:r>
        <w:t xml:space="preserve">uncertainty faced by tenants at the time of lease signing regarding future cost savings and other benefits that may be realisable </w:t>
      </w:r>
    </w:p>
    <w:p w14:paraId="14098094" w14:textId="77777777" w:rsidR="00676882" w:rsidRDefault="00676882" w:rsidP="00676882">
      <w:pPr>
        <w:pStyle w:val="ListBullet"/>
      </w:pPr>
      <w:r>
        <w:t>imprecise expectations of ongoing improvements in technologies for improving thermal comfort.</w:t>
      </w:r>
    </w:p>
    <w:p w14:paraId="4B9669DC" w14:textId="77777777" w:rsidR="00676882" w:rsidRDefault="00676882" w:rsidP="00676882">
      <w:pPr>
        <w:pStyle w:val="BodyText"/>
      </w:pPr>
      <w:r>
        <w:t>It is rational for tenants and rental providers to allow for these considerations when making decisions regarding transactions.</w:t>
      </w:r>
    </w:p>
    <w:p w14:paraId="6467EA52" w14:textId="77777777" w:rsidR="00676882" w:rsidRDefault="00676882" w:rsidP="00676882">
      <w:pPr>
        <w:pStyle w:val="Heading3"/>
      </w:pPr>
      <w:bookmarkStart w:id="106" w:name="_Toc71466294"/>
      <w:bookmarkStart w:id="107" w:name="_Toc75339773"/>
      <w:r>
        <w:t>Importance of split incentives relative to other barriers</w:t>
      </w:r>
      <w:bookmarkEnd w:id="106"/>
      <w:bookmarkEnd w:id="107"/>
    </w:p>
    <w:p w14:paraId="01953DFC" w14:textId="77777777" w:rsidR="00676882" w:rsidRDefault="00676882" w:rsidP="00676882">
      <w:pPr>
        <w:pStyle w:val="BodyText"/>
      </w:pPr>
      <w:r w:rsidRPr="009E5ECE">
        <w:t>As</w:t>
      </w:r>
      <w:r>
        <w:t xml:space="preserve"> </w:t>
      </w:r>
      <w:r w:rsidRPr="009E5ECE">
        <w:t>noted</w:t>
      </w:r>
      <w:r>
        <w:t xml:space="preserve"> </w:t>
      </w:r>
      <w:r w:rsidRPr="009E5ECE">
        <w:t>previously,</w:t>
      </w:r>
      <w:r>
        <w:t xml:space="preserve"> </w:t>
      </w:r>
      <w:r w:rsidRPr="009E5ECE">
        <w:t>energy</w:t>
      </w:r>
      <w:r>
        <w:t xml:space="preserve"> </w:t>
      </w:r>
      <w:r w:rsidRPr="009E5ECE">
        <w:t>efficiency</w:t>
      </w:r>
      <w:r>
        <w:t xml:space="preserve"> </w:t>
      </w:r>
      <w:r w:rsidRPr="009E5ECE">
        <w:t>performance</w:t>
      </w:r>
      <w:r>
        <w:t xml:space="preserve"> </w:t>
      </w:r>
      <w:r w:rsidRPr="009E5ECE">
        <w:t>does</w:t>
      </w:r>
      <w:r>
        <w:t xml:space="preserve"> </w:t>
      </w:r>
      <w:r w:rsidRPr="009E5ECE">
        <w:t>not</w:t>
      </w:r>
      <w:r>
        <w:t xml:space="preserve"> </w:t>
      </w:r>
      <w:r w:rsidRPr="009E5ECE">
        <w:t>necessarily</w:t>
      </w:r>
      <w:r>
        <w:t xml:space="preserve"> </w:t>
      </w:r>
      <w:r w:rsidRPr="009E5ECE">
        <w:t>influence</w:t>
      </w:r>
      <w:r>
        <w:t xml:space="preserve"> </w:t>
      </w:r>
      <w:r w:rsidRPr="009E5ECE">
        <w:t>rents</w:t>
      </w:r>
      <w:r>
        <w:t xml:space="preserve"> </w:t>
      </w:r>
      <w:r w:rsidRPr="009E5ECE">
        <w:t>in</w:t>
      </w:r>
      <w:r>
        <w:t xml:space="preserve"> </w:t>
      </w:r>
      <w:r w:rsidRPr="009E5ECE">
        <w:t>the</w:t>
      </w:r>
      <w:r>
        <w:t xml:space="preserve"> </w:t>
      </w:r>
      <w:r w:rsidRPr="009E5ECE">
        <w:t>long</w:t>
      </w:r>
      <w:r>
        <w:t xml:space="preserve"> </w:t>
      </w:r>
      <w:r w:rsidRPr="009E5ECE">
        <w:t>term.</w:t>
      </w:r>
      <w:r>
        <w:t xml:space="preserve"> </w:t>
      </w:r>
      <w:r w:rsidRPr="009E5ECE">
        <w:t>This</w:t>
      </w:r>
      <w:r>
        <w:t xml:space="preserve"> lack of rental premium means that, even if other barriers are overcome (hypothetically if </w:t>
      </w:r>
      <w:r>
        <w:lastRenderedPageBreak/>
        <w:t>there was complete information, sufficient capital available to rental providers and negotiating power for low-income tenants came close to or on par with higher income segments), split incentives would still inhibit investment. As a result, other drivers (for example, rising energy prices and compensation for greenhouse reduction activities through government policies and initiatives such as the ACT’s Energy Efficiency Improvement Scheme (EEIS) program) have little to no effect to-date.</w:t>
      </w:r>
    </w:p>
    <w:p w14:paraId="55779921" w14:textId="77777777" w:rsidR="00676882" w:rsidRDefault="00676882" w:rsidP="00676882">
      <w:pPr>
        <w:pStyle w:val="BodyText"/>
      </w:pPr>
      <w:r>
        <w:t xml:space="preserve">For example, the Household Power Savings Program (HPSP) in New South Wales needed consent from rental providers to install free energy-saving kit items. These items would have reduced tenants’ energy consumption at little or no cost to the rental providers. While there was no capital required and parties were informed of the benefits, rental providers did not provide this consent in 94 per cent of cases </w:t>
      </w:r>
      <w:sdt>
        <w:sdtPr>
          <w:id w:val="1639150764"/>
          <w:citation/>
        </w:sdtPr>
        <w:sdtContent>
          <w:r>
            <w:fldChar w:fldCharType="begin"/>
          </w:r>
          <w:r>
            <w:instrText xml:space="preserve"> CITATION NSW15 \l 3081 </w:instrText>
          </w:r>
          <w:r>
            <w:fldChar w:fldCharType="separate"/>
          </w:r>
          <w:r>
            <w:rPr>
              <w:noProof/>
            </w:rPr>
            <w:t>(NSW Government, 2015)</w:t>
          </w:r>
          <w:r>
            <w:fldChar w:fldCharType="end"/>
          </w:r>
        </w:sdtContent>
      </w:sdt>
      <w:r>
        <w:t>. While this poor uptake could be caused by poor communications or some other factor, it illustrates that the outcome can, and does, get affected by having additional parties with their own incentives and objectives.</w:t>
      </w:r>
    </w:p>
    <w:p w14:paraId="683A63C0" w14:textId="77777777" w:rsidR="00676882" w:rsidRDefault="00676882" w:rsidP="00676882">
      <w:pPr>
        <w:pStyle w:val="BodyText"/>
      </w:pPr>
      <w:r>
        <w:t xml:space="preserve">If split incentives were hypothetically resolved (that is, if a rental premium could be earned for improving thermal comfort), other drivers and initiatives would likely start to have more of an effect. In cases where these drivers are strong enough to outweigh barriers (or if the barriers could be lessened by, for example, providing information or financing), uptake of thermal comfort features would probably increase. </w:t>
      </w:r>
    </w:p>
    <w:p w14:paraId="23119D1C" w14:textId="77777777" w:rsidR="00676882" w:rsidRDefault="00676882" w:rsidP="00676882">
      <w:pPr>
        <w:pStyle w:val="BodyText"/>
      </w:pPr>
      <w:r>
        <w:t>Using this ‘counterfactual’ approach (where removing all barriers except the split incentive problem would have little impact on improving the thermal comfort for rental households whereas removing the split incentive problem would enable drivers or initiatives to have more positive impacts), we conclude that split incentives appear to be the largest factor in inhibiting investment in thermal comfort features in the private rental market.</w:t>
      </w:r>
    </w:p>
    <w:p w14:paraId="75C50546" w14:textId="77777777" w:rsidR="00676882" w:rsidRDefault="00676882" w:rsidP="00676882">
      <w:pPr>
        <w:pStyle w:val="Heading3"/>
      </w:pPr>
      <w:bookmarkStart w:id="108" w:name="_Toc75339774"/>
      <w:r>
        <w:t>Public and community housing</w:t>
      </w:r>
      <w:bookmarkEnd w:id="108"/>
    </w:p>
    <w:p w14:paraId="226840EC" w14:textId="77777777" w:rsidR="00676882" w:rsidRDefault="00676882" w:rsidP="00676882">
      <w:pPr>
        <w:pStyle w:val="BodyText"/>
      </w:pPr>
      <w:r>
        <w:t>The split incentives in public and community housing take on a somewhat different form. While public and community housing providers would, on face value, be motivated by benefits to tenants (by improving thermal comfort, improving health and wellbeing, reducing bill pressures and reliance on welfare, and increasing financial inclusion), some of their institutional arrangements and policies nullify this natural incentive for the uptake of thermal comfort features.</w:t>
      </w:r>
    </w:p>
    <w:p w14:paraId="148F6631" w14:textId="77777777" w:rsidR="00676882" w:rsidRDefault="00676882" w:rsidP="00676882">
      <w:pPr>
        <w:pStyle w:val="BodyText"/>
      </w:pPr>
      <w:r>
        <w:t xml:space="preserve">In public housing, the provider is regulated as a commercial entity and therefore split incentives has a similar effect to that in the private rental market. Likewise, community housing providers in New South Wales consulted by ACIL Allen in 2015 reported that there was no link between the energy efficiency of properties and the funding they receive (mirroring the situation in the private rental market where there is a limited link between energy performance and financial return). </w:t>
      </w:r>
    </w:p>
    <w:p w14:paraId="5C503214" w14:textId="77777777" w:rsidR="00676882" w:rsidRDefault="00676882" w:rsidP="00676882">
      <w:pPr>
        <w:pStyle w:val="BodyText"/>
      </w:pPr>
      <w:r>
        <w:t>In addition to split incentives, there are also some unique barriers in public and community housing. For example:</w:t>
      </w:r>
    </w:p>
    <w:p w14:paraId="0B9DFFA9" w14:textId="77777777" w:rsidR="00676882" w:rsidRDefault="00676882" w:rsidP="00676882">
      <w:pPr>
        <w:pStyle w:val="ListBullet"/>
      </w:pPr>
      <w:r>
        <w:t xml:space="preserve">energy retailers reported difficulties gaining access to public housing in some instances when trying to assist customers with appliance replacements </w:t>
      </w:r>
    </w:p>
    <w:p w14:paraId="4765BA6E" w14:textId="77777777" w:rsidR="00676882" w:rsidRDefault="00676882" w:rsidP="00676882">
      <w:pPr>
        <w:pStyle w:val="ListBullet"/>
      </w:pPr>
      <w:r>
        <w:t>for some community housing, policies are in place that specify types of fixtures approved for installation and some energy-efficient fixtures may not be on this approved list</w:t>
      </w:r>
    </w:p>
    <w:p w14:paraId="24ADE51B" w14:textId="77777777" w:rsidR="00676882" w:rsidRDefault="00676882" w:rsidP="00676882">
      <w:pPr>
        <w:pStyle w:val="ListBullet"/>
      </w:pPr>
      <w:r>
        <w:t>there is more of an imperative to increase supply of housing to meet unmet demand (with some applicants waiting two to three years) as a priority over energy efficiency or thermal comfort; therefore, energy efficiency or thermal comfort (or other quality issues) become much more of a secondary concern.</w:t>
      </w:r>
    </w:p>
    <w:p w14:paraId="3E3AF9CD" w14:textId="77777777" w:rsidR="00676882" w:rsidRDefault="00676882" w:rsidP="00676882">
      <w:pPr>
        <w:pStyle w:val="BodyText"/>
      </w:pPr>
      <w:r>
        <w:t xml:space="preserve">Governments have tried to address the lower uptake by making direct investments into public and community housing assets (for example, the ACT Government has recently invested an additional </w:t>
      </w:r>
      <w:r>
        <w:lastRenderedPageBreak/>
        <w:t xml:space="preserve">$8.9 million into general property and energy-efficiency upgrades, including new reverse-cycle heating and cooling). </w:t>
      </w:r>
    </w:p>
    <w:p w14:paraId="778E01C4" w14:textId="77777777" w:rsidR="00676882" w:rsidRDefault="00676882" w:rsidP="00676882">
      <w:pPr>
        <w:pStyle w:val="BodyText"/>
      </w:pPr>
      <w:r>
        <w:t>Furthermore, community housing providers reported that they are starting to own some of their assets and therefore starting to face stronger incentives to improve energy performance (and reduce lifecycle costs).</w:t>
      </w:r>
    </w:p>
    <w:p w14:paraId="1DE6A34F" w14:textId="77777777" w:rsidR="00676882" w:rsidRDefault="00676882" w:rsidP="00676882">
      <w:pPr>
        <w:pStyle w:val="BodyText"/>
      </w:pPr>
      <w:r>
        <w:t>While public and community housing is less affected by split incentives (particularly community housing where there is evidence of stronger uptake), lower uptake of energy saving fixtures has also arisen due to the unique barriers described above.</w:t>
      </w:r>
    </w:p>
    <w:p w14:paraId="3413BEC7" w14:textId="77777777" w:rsidR="00676882" w:rsidRDefault="00676882" w:rsidP="00676882">
      <w:pPr>
        <w:pStyle w:val="BodyText"/>
      </w:pPr>
      <w:r>
        <w:t>However, given that the beneficiary of investment in public or community housing is also ultimately the owner of the asset, these barriers can and have been overcome in this segment (through, for example, programs targeting direct investment in those assets).</w:t>
      </w:r>
    </w:p>
    <w:p w14:paraId="748AB128" w14:textId="77777777" w:rsidR="00676882" w:rsidRDefault="00676882" w:rsidP="00676882">
      <w:pPr>
        <w:pStyle w:val="BodyText"/>
      </w:pPr>
      <w:r>
        <w:t>In summary, split incentives exist but are not the only, nor necessarily the overriding, driver of lower uptake in this segment.</w:t>
      </w:r>
    </w:p>
    <w:p w14:paraId="07BB35B5" w14:textId="77777777" w:rsidR="00676882" w:rsidRDefault="00676882" w:rsidP="00676882">
      <w:pPr>
        <w:pStyle w:val="Heading3"/>
      </w:pPr>
      <w:bookmarkStart w:id="109" w:name="_Toc75339775"/>
      <w:r>
        <w:t>Multi-unit dwellings</w:t>
      </w:r>
      <w:bookmarkEnd w:id="109"/>
    </w:p>
    <w:p w14:paraId="34082311" w14:textId="77777777" w:rsidR="00676882" w:rsidRDefault="00676882" w:rsidP="00676882">
      <w:pPr>
        <w:pStyle w:val="BodyText"/>
      </w:pPr>
      <w:r>
        <w:t xml:space="preserve">In the 2016 Census, Canberra rental households mostly rented houses (either stand-alone or semi-detached) with 32 per cent renting in multi-unit properties (flats, units or apartments) </w:t>
      </w:r>
      <w:sdt>
        <w:sdtPr>
          <w:id w:val="450748181"/>
          <w:citation/>
        </w:sdtPr>
        <w:sdtContent>
          <w:r>
            <w:fldChar w:fldCharType="begin"/>
          </w:r>
          <w:r>
            <w:instrText xml:space="preserve"> CITATION ABS18 \l 3081 </w:instrText>
          </w:r>
          <w:r>
            <w:fldChar w:fldCharType="separate"/>
          </w:r>
          <w:r>
            <w:rPr>
              <w:noProof/>
            </w:rPr>
            <w:t>(ABS, 2018)</w:t>
          </w:r>
          <w:r>
            <w:fldChar w:fldCharType="end"/>
          </w:r>
        </w:sdtContent>
      </w:sdt>
      <w:r>
        <w:t>. Since this time, the proportion of multi-unit properties have continued to increase relative to the total housing stock. In the case of multi-unit dwellings, split incentives are strong but so are other barriers (technical and economic feasibility, transaction costs and sophistication required to assess business cases) – therefore split incentives only partly explain lower uptake of energy efficiency and thermal comfort improvements.</w:t>
      </w:r>
    </w:p>
    <w:p w14:paraId="37361380" w14:textId="77777777" w:rsidR="00676882" w:rsidRDefault="00676882" w:rsidP="00676882">
      <w:pPr>
        <w:pStyle w:val="BodyText"/>
      </w:pPr>
      <w:r>
        <w:t>For example, it may not be possible in some multi-unit dwellings to install ceiling insulation. Resolving the incentives for these improvements therefore may not increase their uptake significantly.</w:t>
      </w:r>
    </w:p>
    <w:p w14:paraId="3096E48D" w14:textId="77777777" w:rsidR="00676882" w:rsidRDefault="00676882" w:rsidP="00676882">
      <w:pPr>
        <w:pStyle w:val="BodyText"/>
      </w:pPr>
      <w:r>
        <w:t>Strata arrangements in multi-unit dwellings also create additional challenges for the uptake of thermal control features, including that:</w:t>
      </w:r>
    </w:p>
    <w:p w14:paraId="27CAC0E7" w14:textId="77777777" w:rsidR="00676882" w:rsidRDefault="00676882" w:rsidP="00676882">
      <w:pPr>
        <w:pStyle w:val="ListBullet"/>
      </w:pPr>
      <w:r>
        <w:t>an additional decision maker (the owners corporation) must also approve the installation through a special resolution (and a significant majority of member’s votes) for most features and therefore the incentives and costs are split amongst an even greater number of decision makers</w:t>
      </w:r>
    </w:p>
    <w:p w14:paraId="285722EE" w14:textId="77777777" w:rsidR="00676882" w:rsidRDefault="00676882" w:rsidP="00676882">
      <w:pPr>
        <w:pStyle w:val="ListBullet"/>
      </w:pPr>
      <w:r>
        <w:t>new by-laws often need to be drafted alongside the installation of a thermal control feature, which adds to transaction costs</w:t>
      </w:r>
    </w:p>
    <w:p w14:paraId="31E3C31A" w14:textId="77777777" w:rsidR="00676882" w:rsidRDefault="00676882" w:rsidP="00676882">
      <w:pPr>
        <w:pStyle w:val="ListBullet"/>
      </w:pPr>
      <w:r>
        <w:t xml:space="preserve">the </w:t>
      </w:r>
      <w:proofErr w:type="gramStart"/>
      <w:r>
        <w:t>owners</w:t>
      </w:r>
      <w:proofErr w:type="gramEnd"/>
      <w:r>
        <w:t xml:space="preserve"> corporation does not have an incentive to invest in features unless this can reduce outgoings for common areas (and therefore ultimately strata levies) </w:t>
      </w:r>
    </w:p>
    <w:p w14:paraId="09C09098" w14:textId="77777777" w:rsidR="00676882" w:rsidRDefault="00676882" w:rsidP="00676882">
      <w:pPr>
        <w:pStyle w:val="ListBullet"/>
      </w:pPr>
      <w:r>
        <w:t xml:space="preserve">the </w:t>
      </w:r>
      <w:proofErr w:type="gramStart"/>
      <w:r>
        <w:t>owners</w:t>
      </w:r>
      <w:proofErr w:type="gramEnd"/>
      <w:r>
        <w:t xml:space="preserve"> corporation often does not have the level of sophistication and know-how to evaluate proposals for such upgrades.</w:t>
      </w:r>
    </w:p>
    <w:p w14:paraId="3B77CA05" w14:textId="77777777" w:rsidR="00676882" w:rsidRDefault="00676882" w:rsidP="00676882">
      <w:pPr>
        <w:pStyle w:val="Heading3"/>
      </w:pPr>
      <w:r>
        <w:t>Property managers</w:t>
      </w:r>
    </w:p>
    <w:p w14:paraId="7D8E017F" w14:textId="77777777" w:rsidR="00676882" w:rsidRDefault="00676882" w:rsidP="00676882">
      <w:pPr>
        <w:pStyle w:val="BodyText"/>
      </w:pPr>
      <w:r>
        <w:t xml:space="preserve">While addressing split incentives is vital, that is not to say other barriers in the private market should be ignored. An important point raised by stakeholders consulted was the role of property managers. </w:t>
      </w:r>
      <w:proofErr w:type="gramStart"/>
      <w:r>
        <w:t>The majority of</w:t>
      </w:r>
      <w:proofErr w:type="gramEnd"/>
      <w:r>
        <w:t xml:space="preserve"> private rentals are managed through a real estate agency (by a property manager). In many cases where fixtures need replacing, property managers tend to only seek approval from rental providers to replace the fixture with the same model as this is a much easier conversation to have than recommending a more efficient fixture (bearing in mind that in some instances strata by-laws may also restrict a more energy-efficient solution).</w:t>
      </w:r>
    </w:p>
    <w:p w14:paraId="4BDC639E" w14:textId="77777777" w:rsidR="00676882" w:rsidRDefault="00676882" w:rsidP="00676882">
      <w:pPr>
        <w:pStyle w:val="Heading2"/>
        <w:rPr>
          <w:rFonts w:cstheme="majorBidi"/>
        </w:rPr>
      </w:pPr>
      <w:bookmarkStart w:id="110" w:name="_Toc472477988"/>
      <w:bookmarkStart w:id="111" w:name="_Toc71466295"/>
      <w:bookmarkStart w:id="112" w:name="_Toc74515422"/>
      <w:bookmarkStart w:id="113" w:name="_Toc75339647"/>
      <w:bookmarkStart w:id="114" w:name="_Toc75339738"/>
      <w:bookmarkStart w:id="115" w:name="_Toc75339751"/>
      <w:bookmarkStart w:id="116" w:name="_Toc75339776"/>
      <w:bookmarkStart w:id="117" w:name="_Toc80712585"/>
      <w:r>
        <w:lastRenderedPageBreak/>
        <w:t>Summarising the case for government action</w:t>
      </w:r>
      <w:bookmarkEnd w:id="110"/>
      <w:bookmarkEnd w:id="111"/>
      <w:bookmarkEnd w:id="112"/>
      <w:bookmarkEnd w:id="113"/>
      <w:bookmarkEnd w:id="114"/>
      <w:bookmarkEnd w:id="115"/>
      <w:bookmarkEnd w:id="116"/>
      <w:bookmarkEnd w:id="117"/>
    </w:p>
    <w:p w14:paraId="60E66F40" w14:textId="77777777" w:rsidR="00676882" w:rsidRDefault="00676882" w:rsidP="00676882">
      <w:pPr>
        <w:pStyle w:val="BodyText"/>
      </w:pPr>
      <w:r>
        <w:t xml:space="preserve">ACIL Allen’s research reveals that split incentives, particularly when combined with other market failures </w:t>
      </w:r>
      <w:r w:rsidRPr="00262668">
        <w:t>and</w:t>
      </w:r>
      <w:r>
        <w:t xml:space="preserve"> </w:t>
      </w:r>
      <w:r w:rsidRPr="00262668">
        <w:t>barriers,</w:t>
      </w:r>
      <w:r>
        <w:t xml:space="preserve"> </w:t>
      </w:r>
      <w:r w:rsidRPr="00262668">
        <w:t>inhibit</w:t>
      </w:r>
      <w:r>
        <w:t xml:space="preserve"> </w:t>
      </w:r>
      <w:r w:rsidRPr="00262668">
        <w:t>the</w:t>
      </w:r>
      <w:r>
        <w:t xml:space="preserve"> </w:t>
      </w:r>
      <w:r w:rsidRPr="00262668">
        <w:t>uptake</w:t>
      </w:r>
      <w:r>
        <w:t xml:space="preserve"> </w:t>
      </w:r>
      <w:r w:rsidRPr="00262668">
        <w:t>of</w:t>
      </w:r>
      <w:r>
        <w:t xml:space="preserve"> </w:t>
      </w:r>
      <w:r w:rsidRPr="00262668">
        <w:t>otherwise</w:t>
      </w:r>
      <w:r>
        <w:t xml:space="preserve"> </w:t>
      </w:r>
      <w:r w:rsidRPr="00262668">
        <w:t>economic</w:t>
      </w:r>
      <w:r>
        <w:t xml:space="preserve"> </w:t>
      </w:r>
      <w:r w:rsidRPr="00262668">
        <w:t>features</w:t>
      </w:r>
      <w:r>
        <w:t xml:space="preserve"> </w:t>
      </w:r>
      <w:r w:rsidRPr="00262668">
        <w:t>for</w:t>
      </w:r>
      <w:r>
        <w:t xml:space="preserve"> </w:t>
      </w:r>
      <w:r w:rsidRPr="00262668">
        <w:t>rental</w:t>
      </w:r>
      <w:r>
        <w:t xml:space="preserve"> </w:t>
      </w:r>
      <w:r w:rsidRPr="00262668">
        <w:t>households</w:t>
      </w:r>
      <w:r>
        <w:t xml:space="preserve"> </w:t>
      </w:r>
      <w:r w:rsidRPr="00262668">
        <w:t>in</w:t>
      </w:r>
      <w:r>
        <w:t xml:space="preserve"> </w:t>
      </w:r>
      <w:r w:rsidRPr="00262668">
        <w:t>the</w:t>
      </w:r>
      <w:r>
        <w:t xml:space="preserve"> </w:t>
      </w:r>
      <w:r w:rsidRPr="00262668">
        <w:t>ACT.</w:t>
      </w:r>
      <w:r>
        <w:t xml:space="preserve"> </w:t>
      </w:r>
      <w:r w:rsidRPr="00262668">
        <w:t>There</w:t>
      </w:r>
      <w:r>
        <w:t xml:space="preserve"> is strong evidence of a lower uptake of thermal control features and that split incentives are a key contributor to this outcome. This provides a case for government action justified on grounds of market failure. </w:t>
      </w:r>
    </w:p>
    <w:p w14:paraId="0346D5B4" w14:textId="77777777" w:rsidR="00676882" w:rsidRDefault="00676882" w:rsidP="00676882">
      <w:pPr>
        <w:pStyle w:val="BodyText"/>
      </w:pPr>
      <w:r>
        <w:t>The evidence examined in this chapter suggests that appropriate government policies and regulations could lead to:</w:t>
      </w:r>
    </w:p>
    <w:p w14:paraId="4F80F9A3" w14:textId="77777777" w:rsidR="00676882" w:rsidRDefault="00676882" w:rsidP="00676882">
      <w:pPr>
        <w:pStyle w:val="ListBullet"/>
      </w:pPr>
      <w:r>
        <w:t>improved comfort levels and health outcomes for tenants</w:t>
      </w:r>
    </w:p>
    <w:p w14:paraId="21F5B23E" w14:textId="77777777" w:rsidR="00676882" w:rsidRDefault="00676882" w:rsidP="00676882">
      <w:pPr>
        <w:pStyle w:val="ListBullet"/>
      </w:pPr>
      <w:r>
        <w:t>lower health system expenditures for government (and ultimately taxpayers)</w:t>
      </w:r>
    </w:p>
    <w:p w14:paraId="69C3BEB3" w14:textId="77777777" w:rsidR="00676882" w:rsidRDefault="00676882" w:rsidP="00676882">
      <w:pPr>
        <w:pStyle w:val="ListBullet"/>
      </w:pPr>
      <w:r>
        <w:t>increased asset values for rental providers (as there might be a green premium at time of sale, even if a green rental premium cannot be obtained, because the property could be sold to an owner-occupier rather than an investor)</w:t>
      </w:r>
    </w:p>
    <w:p w14:paraId="1577D27D" w14:textId="77777777" w:rsidR="00676882" w:rsidRDefault="00676882" w:rsidP="00676882">
      <w:pPr>
        <w:pStyle w:val="ListBullet"/>
      </w:pPr>
      <w:r>
        <w:t>potentially lower energy costs for Canberra rental households</w:t>
      </w:r>
    </w:p>
    <w:p w14:paraId="30D2C9BF" w14:textId="77777777" w:rsidR="00676882" w:rsidRDefault="00676882" w:rsidP="00676882">
      <w:pPr>
        <w:pStyle w:val="ListBullet"/>
      </w:pPr>
      <w:r>
        <w:t>potentially lower bad debts for energy retailers from low-income rental households, which would also benefit their remaining customer base</w:t>
      </w:r>
    </w:p>
    <w:p w14:paraId="2192710A" w14:textId="77777777" w:rsidR="00676882" w:rsidRDefault="00676882" w:rsidP="00676882">
      <w:pPr>
        <w:pStyle w:val="ListBullet"/>
      </w:pPr>
      <w:r>
        <w:t xml:space="preserve">potentially reduced need for costly investment in peak load capacity by electricity generators and network service providers </w:t>
      </w:r>
    </w:p>
    <w:p w14:paraId="0A075F82" w14:textId="77777777" w:rsidR="00676882" w:rsidRDefault="00676882" w:rsidP="00676882">
      <w:pPr>
        <w:pStyle w:val="ListBullet"/>
      </w:pPr>
      <w:r>
        <w:t>potentially lower cost of ACT’s renewable energy offsets and improve greenhouse gas performance across ACT’s economy.</w:t>
      </w:r>
    </w:p>
    <w:p w14:paraId="57E7ADA8" w14:textId="77777777" w:rsidR="00676882" w:rsidRDefault="00676882" w:rsidP="00676882">
      <w:pPr>
        <w:pStyle w:val="BodyText"/>
      </w:pPr>
    </w:p>
    <w:p w14:paraId="6DFDDF0B" w14:textId="77777777" w:rsidR="00676882" w:rsidRDefault="00676882" w:rsidP="00676882">
      <w:pPr>
        <w:pStyle w:val="BodyText"/>
        <w:sectPr w:rsidR="00676882" w:rsidSect="00F32FCC">
          <w:headerReference w:type="even" r:id="rId40"/>
          <w:footerReference w:type="even" r:id="rId41"/>
          <w:headerReference w:type="first" r:id="rId42"/>
          <w:footerReference w:type="first" r:id="rId43"/>
          <w:pgSz w:w="11906" w:h="16838" w:code="9"/>
          <w:pgMar w:top="1134" w:right="851" w:bottom="1134" w:left="3119" w:header="454" w:footer="374"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Chapter 4"/>
        <w:tblDescription w:val="Policy options"/>
      </w:tblPr>
      <w:tblGrid>
        <w:gridCol w:w="5570"/>
        <w:gridCol w:w="2366"/>
      </w:tblGrid>
      <w:tr w:rsidR="00676882" w14:paraId="27914099" w14:textId="77777777" w:rsidTr="00DF45FA">
        <w:trPr>
          <w:trHeight w:hRule="exact" w:val="382"/>
        </w:trPr>
        <w:tc>
          <w:tcPr>
            <w:tcW w:w="5570" w:type="dxa"/>
          </w:tcPr>
          <w:p w14:paraId="3F62A11B" w14:textId="77777777" w:rsidR="00676882" w:rsidRDefault="00676882" w:rsidP="00DF45FA">
            <w:pPr>
              <w:pStyle w:val="tagchapterBanner"/>
            </w:pPr>
            <w:r>
              <w:rPr>
                <w:noProof/>
              </w:rPr>
              <w:lastRenderedPageBreak/>
              <w:drawing>
                <wp:anchor distT="0" distB="0" distL="114300" distR="114300" simplePos="0" relativeHeight="251660288" behindDoc="1" locked="1" layoutInCell="1" allowOverlap="1" wp14:anchorId="5C97C297" wp14:editId="4511107E">
                  <wp:simplePos x="0" y="0"/>
                  <wp:positionH relativeFrom="page">
                    <wp:posOffset>0</wp:posOffset>
                  </wp:positionH>
                  <wp:positionV relativeFrom="page">
                    <wp:posOffset>0</wp:posOffset>
                  </wp:positionV>
                  <wp:extent cx="5039360" cy="1995170"/>
                  <wp:effectExtent l="0" t="0" r="8890" b="5080"/>
                  <wp:wrapNone/>
                  <wp:docPr id="58"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45CB693E" w14:textId="77777777" w:rsidR="00676882" w:rsidRDefault="00676882" w:rsidP="00DF45FA">
            <w:pPr>
              <w:pStyle w:val="spacer"/>
            </w:pPr>
          </w:p>
        </w:tc>
      </w:tr>
      <w:tr w:rsidR="00676882" w14:paraId="6F1AAAB1" w14:textId="77777777" w:rsidTr="00DF45FA">
        <w:trPr>
          <w:trHeight w:hRule="exact" w:val="2760"/>
        </w:trPr>
        <w:tc>
          <w:tcPr>
            <w:tcW w:w="5570" w:type="dxa"/>
            <w:vAlign w:val="bottom"/>
          </w:tcPr>
          <w:p w14:paraId="0A67F597" w14:textId="77777777" w:rsidR="00676882" w:rsidRDefault="00676882" w:rsidP="00DF45FA">
            <w:pPr>
              <w:pStyle w:val="Heading1"/>
            </w:pPr>
            <w:bookmarkStart w:id="118" w:name="_Ref75434504"/>
            <w:bookmarkStart w:id="119" w:name="_Toc80712586"/>
            <w:r>
              <w:t>Policy options</w:t>
            </w:r>
            <w:bookmarkEnd w:id="118"/>
            <w:bookmarkEnd w:id="119"/>
          </w:p>
        </w:tc>
        <w:tc>
          <w:tcPr>
            <w:tcW w:w="2366" w:type="dxa"/>
            <w:tcMar>
              <w:right w:w="224" w:type="dxa"/>
            </w:tcMar>
            <w:vAlign w:val="bottom"/>
          </w:tcPr>
          <w:p w14:paraId="51456AAF" w14:textId="77777777" w:rsidR="00676882" w:rsidRDefault="00676882" w:rsidP="00DF45FA">
            <w:pPr>
              <w:pStyle w:val="HeadingChapter"/>
            </w:pPr>
            <w:r>
              <w:fldChar w:fldCharType="begin"/>
            </w:r>
            <w:r>
              <w:instrText xml:space="preserve"> SEQ ChptNum \* ARABIC </w:instrText>
            </w:r>
            <w:r>
              <w:fldChar w:fldCharType="separate"/>
            </w:r>
            <w:r>
              <w:rPr>
                <w:noProof/>
              </w:rPr>
              <w:t>4</w:t>
            </w:r>
            <w:r>
              <w:rPr>
                <w:noProof/>
              </w:rPr>
              <w:fldChar w:fldCharType="end"/>
            </w:r>
          </w:p>
        </w:tc>
      </w:tr>
      <w:tr w:rsidR="00676882" w14:paraId="0D79B013" w14:textId="77777777" w:rsidTr="00DF45FA">
        <w:trPr>
          <w:trHeight w:hRule="exact" w:val="228"/>
        </w:trPr>
        <w:tc>
          <w:tcPr>
            <w:tcW w:w="5570" w:type="dxa"/>
          </w:tcPr>
          <w:p w14:paraId="6D133073" w14:textId="77777777" w:rsidR="00676882" w:rsidRDefault="00676882" w:rsidP="00DF45FA">
            <w:pPr>
              <w:pStyle w:val="spacer"/>
            </w:pPr>
          </w:p>
        </w:tc>
        <w:tc>
          <w:tcPr>
            <w:tcW w:w="2366" w:type="dxa"/>
          </w:tcPr>
          <w:p w14:paraId="14369834" w14:textId="77777777" w:rsidR="00676882" w:rsidRDefault="00676882" w:rsidP="00DF45FA">
            <w:pPr>
              <w:pStyle w:val="spacer"/>
            </w:pPr>
          </w:p>
        </w:tc>
      </w:tr>
    </w:tbl>
    <w:p w14:paraId="106490B0" w14:textId="77777777" w:rsidR="00676882" w:rsidRDefault="00676882" w:rsidP="00676882">
      <w:pPr>
        <w:pStyle w:val="BodyText"/>
      </w:pPr>
      <w:r>
        <w:t xml:space="preserve">This chapter considers the policy options for improving the thermal control and energy-efficiency of rental properties. It considers the broad range of options available to governments in section </w:t>
      </w:r>
      <w:r w:rsidRPr="009E4AB1">
        <w:fldChar w:fldCharType="begin"/>
      </w:r>
      <w:r w:rsidRPr="009E4AB1">
        <w:instrText xml:space="preserve"> REF _Ref75160563 \r \h  \* MERGEFORMAT </w:instrText>
      </w:r>
      <w:r w:rsidRPr="009E4AB1">
        <w:fldChar w:fldCharType="separate"/>
      </w:r>
      <w:r>
        <w:t>4.1</w:t>
      </w:r>
      <w:r w:rsidRPr="009E4AB1">
        <w:fldChar w:fldCharType="end"/>
      </w:r>
      <w:r>
        <w:t xml:space="preserve">, including what actions have already been taken. It considers what form of government intervention is best for rental properties in section </w:t>
      </w:r>
      <w:r w:rsidRPr="009E4AB1">
        <w:fldChar w:fldCharType="begin"/>
      </w:r>
      <w:r w:rsidRPr="009E4AB1">
        <w:instrText xml:space="preserve"> REF _Ref70315765 \r \h  \* MERGEFORMAT </w:instrText>
      </w:r>
      <w:r w:rsidRPr="009E4AB1">
        <w:fldChar w:fldCharType="separate"/>
      </w:r>
      <w:r>
        <w:t>4.2</w:t>
      </w:r>
      <w:r w:rsidRPr="009E4AB1">
        <w:fldChar w:fldCharType="end"/>
      </w:r>
      <w:r>
        <w:t xml:space="preserve">. Finally, it presents the options considered in detail in section </w:t>
      </w:r>
      <w:r w:rsidRPr="009E4AB1">
        <w:rPr>
          <w:highlight w:val="yellow"/>
        </w:rPr>
        <w:fldChar w:fldCharType="begin"/>
      </w:r>
      <w:r w:rsidRPr="009E4AB1">
        <w:instrText xml:space="preserve"> REF _Ref75168689 \r \h  \* MERGEFORMAT </w:instrText>
      </w:r>
      <w:r w:rsidRPr="009E4AB1">
        <w:rPr>
          <w:highlight w:val="yellow"/>
        </w:rPr>
      </w:r>
      <w:r w:rsidRPr="009E4AB1">
        <w:rPr>
          <w:highlight w:val="yellow"/>
        </w:rPr>
        <w:fldChar w:fldCharType="separate"/>
      </w:r>
      <w:r>
        <w:t>4.3</w:t>
      </w:r>
      <w:r w:rsidRPr="009E4AB1">
        <w:rPr>
          <w:highlight w:val="yellow"/>
        </w:rPr>
        <w:fldChar w:fldCharType="end"/>
      </w:r>
      <w:r>
        <w:t>.</w:t>
      </w:r>
    </w:p>
    <w:p w14:paraId="7D0F63DC" w14:textId="77777777" w:rsidR="00676882" w:rsidRDefault="00676882" w:rsidP="00676882">
      <w:pPr>
        <w:pStyle w:val="Heading2"/>
      </w:pPr>
      <w:bookmarkStart w:id="120" w:name="_Toc75339648"/>
      <w:bookmarkStart w:id="121" w:name="_Toc75339739"/>
      <w:bookmarkStart w:id="122" w:name="_Toc75339752"/>
      <w:bookmarkStart w:id="123" w:name="_Toc75339777"/>
      <w:bookmarkStart w:id="124" w:name="_Toc80712587"/>
      <w:r>
        <w:t>Spectrum of potential government action</w:t>
      </w:r>
      <w:bookmarkStart w:id="125" w:name="_Ref75160563"/>
      <w:r>
        <w:t>s</w:t>
      </w:r>
      <w:bookmarkEnd w:id="120"/>
      <w:bookmarkEnd w:id="121"/>
      <w:bookmarkEnd w:id="122"/>
      <w:bookmarkEnd w:id="123"/>
      <w:bookmarkEnd w:id="124"/>
      <w:bookmarkEnd w:id="125"/>
    </w:p>
    <w:p w14:paraId="5276EA67" w14:textId="77777777" w:rsidR="00676882" w:rsidRDefault="00676882" w:rsidP="00676882">
      <w:pPr>
        <w:pStyle w:val="BodyText"/>
      </w:pPr>
      <w:r w:rsidRPr="00271C78">
        <w:t>Government</w:t>
      </w:r>
      <w:r>
        <w:t xml:space="preserve"> </w:t>
      </w:r>
      <w:r w:rsidRPr="00271C78">
        <w:t>action</w:t>
      </w:r>
      <w:r>
        <w:t xml:space="preserve"> </w:t>
      </w:r>
      <w:r w:rsidRPr="00271C78">
        <w:t>to</w:t>
      </w:r>
      <w:r>
        <w:t xml:space="preserve"> </w:t>
      </w:r>
      <w:r w:rsidRPr="00271C78">
        <w:t>improve</w:t>
      </w:r>
      <w:r>
        <w:t xml:space="preserve"> </w:t>
      </w:r>
      <w:r w:rsidRPr="00271C78">
        <w:t>the</w:t>
      </w:r>
      <w:r>
        <w:t xml:space="preserve"> thermal control and </w:t>
      </w:r>
      <w:r w:rsidRPr="00271C78">
        <w:t>energy</w:t>
      </w:r>
      <w:r>
        <w:t>-</w:t>
      </w:r>
      <w:r w:rsidRPr="00271C78">
        <w:t>efficiency</w:t>
      </w:r>
      <w:r>
        <w:t xml:space="preserve"> </w:t>
      </w:r>
      <w:r w:rsidRPr="00271C78">
        <w:t>of</w:t>
      </w:r>
      <w:r>
        <w:t xml:space="preserve"> </w:t>
      </w:r>
      <w:r w:rsidRPr="00271C78">
        <w:t>rental</w:t>
      </w:r>
      <w:r>
        <w:t xml:space="preserve"> </w:t>
      </w:r>
      <w:r w:rsidRPr="00271C78">
        <w:t>households</w:t>
      </w:r>
      <w:r>
        <w:t xml:space="preserve"> </w:t>
      </w:r>
      <w:r w:rsidRPr="00271C78">
        <w:t>can</w:t>
      </w:r>
      <w:r>
        <w:t xml:space="preserve"> </w:t>
      </w:r>
      <w:r w:rsidRPr="00271C78">
        <w:t>take</w:t>
      </w:r>
      <w:r>
        <w:t xml:space="preserve"> </w:t>
      </w:r>
      <w:r w:rsidRPr="00271C78">
        <w:t>a</w:t>
      </w:r>
      <w:r>
        <w:t xml:space="preserve"> </w:t>
      </w:r>
      <w:r w:rsidRPr="00271C78">
        <w:t>range</w:t>
      </w:r>
      <w:r>
        <w:t xml:space="preserve"> </w:t>
      </w:r>
      <w:r w:rsidRPr="00271C78">
        <w:t>of</w:t>
      </w:r>
      <w:r>
        <w:t xml:space="preserve"> </w:t>
      </w:r>
      <w:r w:rsidRPr="00271C78">
        <w:t>forms</w:t>
      </w:r>
      <w:r>
        <w:t xml:space="preserve">, from the provision of information to prescriptive feature-based standards </w:t>
      </w:r>
      <w:r w:rsidRPr="00271C78">
        <w:t>(see</w:t>
      </w:r>
      <w:r>
        <w:t xml:space="preserve"> </w:t>
      </w:r>
      <w:r w:rsidRPr="009E4AB1">
        <w:fldChar w:fldCharType="begin"/>
      </w:r>
      <w:r w:rsidRPr="009E4AB1">
        <w:instrText xml:space="preserve"> REF _Ref80694365 \h  \* MERGEFORMAT </w:instrText>
      </w:r>
      <w:r w:rsidRPr="009E4AB1">
        <w:fldChar w:fldCharType="separate"/>
      </w:r>
      <w:r w:rsidRPr="00F32FCC">
        <w:t>Figure 4.1</w:t>
      </w:r>
      <w:r w:rsidRPr="009E4AB1">
        <w:fldChar w:fldCharType="end"/>
      </w:r>
      <w:r w:rsidRPr="00271C78">
        <w:t>).</w:t>
      </w:r>
      <w:r>
        <w:t xml:space="preserve"> These options are either:</w:t>
      </w:r>
    </w:p>
    <w:p w14:paraId="370B5872" w14:textId="77777777" w:rsidR="00676882" w:rsidRDefault="00676882" w:rsidP="00676882">
      <w:pPr>
        <w:pStyle w:val="ListBullet"/>
      </w:pPr>
      <w:r>
        <w:t>regulatory options, which enforce action and place controls over private property, and</w:t>
      </w:r>
    </w:p>
    <w:p w14:paraId="494CDDE3" w14:textId="77777777" w:rsidR="00676882" w:rsidRDefault="00676882" w:rsidP="00676882">
      <w:pPr>
        <w:pStyle w:val="ListBullet"/>
      </w:pPr>
      <w:r>
        <w:t xml:space="preserve">non-regulatory approaches, which are tools and services to help residents and owners to make improvements. </w:t>
      </w:r>
    </w:p>
    <w:p w14:paraId="24E92A74" w14:textId="77777777" w:rsidR="00676882" w:rsidRDefault="00676882" w:rsidP="00676882">
      <w:pPr>
        <w:pStyle w:val="BodyText"/>
        <w:ind w:left="-1985"/>
      </w:pPr>
      <w:bookmarkStart w:id="126" w:name="_Ref80694365"/>
      <w:bookmarkStart w:id="127" w:name="_Toc80719256"/>
      <w:r w:rsidRPr="00317FC0">
        <w:rPr>
          <w:rStyle w:val="CaptionLabel"/>
        </w:rPr>
        <w:t>Figure </w:t>
      </w:r>
      <w:r w:rsidRPr="00317FC0">
        <w:rPr>
          <w:rStyle w:val="CaptionLabel"/>
        </w:rPr>
        <w:fldChar w:fldCharType="begin"/>
      </w:r>
      <w:r w:rsidRPr="00317FC0">
        <w:rPr>
          <w:rStyle w:val="CaptionLabel"/>
        </w:rPr>
        <w:instrText xml:space="preserve"> STYLEREF 1 \S \* MERGEFORMAT </w:instrText>
      </w:r>
      <w:r w:rsidRPr="00317FC0">
        <w:rPr>
          <w:rStyle w:val="CaptionLabel"/>
        </w:rPr>
        <w:fldChar w:fldCharType="separate"/>
      </w:r>
      <w:r>
        <w:rPr>
          <w:rStyle w:val="CaptionLabel"/>
          <w:noProof/>
        </w:rPr>
        <w:t>4</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 \* ARABIC \S 1 \* MERGEFORMAT </w:instrText>
      </w:r>
      <w:r w:rsidRPr="00317FC0">
        <w:rPr>
          <w:rStyle w:val="CaptionLabel"/>
        </w:rPr>
        <w:fldChar w:fldCharType="separate"/>
      </w:r>
      <w:r>
        <w:rPr>
          <w:rStyle w:val="CaptionLabel"/>
          <w:noProof/>
        </w:rPr>
        <w:t>1</w:t>
      </w:r>
      <w:r w:rsidRPr="00317FC0">
        <w:rPr>
          <w:rStyle w:val="CaptionLabel"/>
        </w:rPr>
        <w:fldChar w:fldCharType="end"/>
      </w:r>
      <w:bookmarkEnd w:id="126"/>
      <w:r>
        <w:tab/>
        <w:t>Spectrum of potential government action</w:t>
      </w:r>
      <w:bookmarkEnd w:id="127"/>
      <w:r w:rsidDel="00277673">
        <w:t xml:space="preserve"> </w:t>
      </w:r>
    </w:p>
    <w:p w14:paraId="200E6794" w14:textId="77777777" w:rsidR="00676882" w:rsidRDefault="00676882" w:rsidP="00676882">
      <w:pPr>
        <w:pStyle w:val="BodyText"/>
        <w:ind w:left="-1985"/>
      </w:pPr>
    </w:p>
    <w:p w14:paraId="63A85E86" w14:textId="77777777" w:rsidR="00676882" w:rsidRDefault="00676882" w:rsidP="00676882">
      <w:pPr>
        <w:pStyle w:val="BodyText"/>
        <w:ind w:left="-1985"/>
      </w:pPr>
      <w:r>
        <w:rPr>
          <w:noProof/>
        </w:rPr>
        <w:drawing>
          <wp:inline distT="0" distB="0" distL="0" distR="0" wp14:anchorId="3AB2925B" wp14:editId="6FA58C11">
            <wp:extent cx="6256800" cy="1267268"/>
            <wp:effectExtent l="0" t="0" r="0" b="9525"/>
            <wp:docPr id="16" name="Picture 16" descr="This shows a spectrum of policy options from non-regulatory to regulatory.&#10;&#10;These are: no intervention, information provision, government rebates, market incentives, residential mandatory disclosure, performance-based standards, feature-based stand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This shows a spectrum of policy options from non-regulatory to regulatory.&#10;&#10;These are: no intervention, information provision, government rebates, market incentives, residential mandatory disclosure, performance-based standards, feature-based standards."/>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6256800" cy="1267268"/>
                    </a:xfrm>
                    <a:prstGeom prst="rect">
                      <a:avLst/>
                    </a:prstGeom>
                    <a:noFill/>
                  </pic:spPr>
                </pic:pic>
              </a:graphicData>
            </a:graphic>
          </wp:inline>
        </w:drawing>
      </w:r>
    </w:p>
    <w:p w14:paraId="4D3F18A4" w14:textId="77777777" w:rsidR="00676882" w:rsidRPr="006B0263" w:rsidRDefault="00676882" w:rsidP="00676882">
      <w:pPr>
        <w:pStyle w:val="BodyText"/>
        <w:keepNext/>
        <w:keepLines/>
        <w:spacing w:before="0" w:line="20" w:lineRule="atLeast"/>
        <w:ind w:left="-1985"/>
        <w:rPr>
          <w:i/>
          <w:color w:val="000100"/>
          <w:sz w:val="16"/>
        </w:rPr>
      </w:pPr>
      <w:r w:rsidRPr="006B0263">
        <w:rPr>
          <w:i/>
          <w:color w:val="000100"/>
          <w:sz w:val="16"/>
        </w:rPr>
        <w:t>Source: ACIL Allen</w:t>
      </w:r>
    </w:p>
    <w:p w14:paraId="08A11CE1" w14:textId="77777777" w:rsidR="00676882" w:rsidRDefault="00676882" w:rsidP="00676882">
      <w:pPr>
        <w:pStyle w:val="Heading3"/>
      </w:pPr>
      <w:bookmarkStart w:id="128" w:name="_Ref75169932"/>
      <w:bookmarkStart w:id="129" w:name="_Toc75339778"/>
      <w:r>
        <w:t>Existing policy</w:t>
      </w:r>
      <w:bookmarkEnd w:id="128"/>
      <w:bookmarkEnd w:id="129"/>
    </w:p>
    <w:p w14:paraId="27DD9A4A" w14:textId="77777777" w:rsidR="00676882" w:rsidRDefault="00676882" w:rsidP="00676882">
      <w:pPr>
        <w:pStyle w:val="BodyText"/>
      </w:pPr>
      <w:r>
        <w:t>The ACT has been a long-time leader in driving improvements in the thermal control and energy-efficiency of properties — both of owner-occupied and rental providers. It has implemented a wide range of non-regulatory and regulatory measures. Existing measures and initiatives include:</w:t>
      </w:r>
    </w:p>
    <w:p w14:paraId="7B74C559" w14:textId="77777777" w:rsidR="00676882" w:rsidRDefault="00676882" w:rsidP="00676882">
      <w:pPr>
        <w:pStyle w:val="ListBullet"/>
      </w:pPr>
      <w:r>
        <w:t>ACTsmart Sustainable Home Advice program – a free program which provides assessments and advice to improve the energy-efficiency of properties.</w:t>
      </w:r>
    </w:p>
    <w:p w14:paraId="49C3D793" w14:textId="77777777" w:rsidR="00676882" w:rsidRDefault="00676882" w:rsidP="00676882">
      <w:pPr>
        <w:pStyle w:val="ListBullet"/>
      </w:pPr>
      <w:r>
        <w:t>Household Sustainability Webinars – to provide generalised advice and information in support of the Sustainable Home Advice Program.</w:t>
      </w:r>
    </w:p>
    <w:p w14:paraId="79320022" w14:textId="77777777" w:rsidR="00676882" w:rsidRDefault="00676882" w:rsidP="00676882">
      <w:pPr>
        <w:pStyle w:val="ListBullet"/>
      </w:pPr>
      <w:r>
        <w:t xml:space="preserve">Renters’ Home Energy Assessment – a free program which provides </w:t>
      </w:r>
      <w:proofErr w:type="gramStart"/>
      <w:r>
        <w:t>online</w:t>
      </w:r>
      <w:proofErr w:type="gramEnd"/>
      <w:r>
        <w:t xml:space="preserve"> or in-person assessments tailored to renters.</w:t>
      </w:r>
    </w:p>
    <w:p w14:paraId="0E3C2179" w14:textId="77777777" w:rsidR="00676882" w:rsidRDefault="00676882" w:rsidP="00676882">
      <w:pPr>
        <w:pStyle w:val="ListBullet"/>
      </w:pPr>
      <w:r>
        <w:lastRenderedPageBreak/>
        <w:t>The Energy Efficiency Improvement Scheme (EEIS) – a program delivered through energy providers to provide energy savings in households and small-to-medium businesses through subsidies and rebates.</w:t>
      </w:r>
    </w:p>
    <w:p w14:paraId="33DCE205" w14:textId="77777777" w:rsidR="00676882" w:rsidRDefault="00676882" w:rsidP="00676882">
      <w:pPr>
        <w:pStyle w:val="ListBullet"/>
      </w:pPr>
      <w:r>
        <w:t>Sustainable Household Scheme zero-interest loans – loans of up to $15,000 for households to invest in solar, battery storage, energy-efficient electric appliances or electric vehicles.</w:t>
      </w:r>
    </w:p>
    <w:p w14:paraId="3BD7A319" w14:textId="77777777" w:rsidR="00676882" w:rsidRDefault="00676882" w:rsidP="00676882">
      <w:pPr>
        <w:pStyle w:val="ListBullet"/>
      </w:pPr>
      <w:r>
        <w:t>Mandatory energy efficiency rating disclosure provisions for property sales and, where they exist, for rental properties.</w:t>
      </w:r>
    </w:p>
    <w:p w14:paraId="5A98C248" w14:textId="77777777" w:rsidR="00676882" w:rsidRDefault="00676882" w:rsidP="00676882">
      <w:pPr>
        <w:pStyle w:val="ListBullet"/>
      </w:pPr>
      <w:r>
        <w:t xml:space="preserve">The </w:t>
      </w:r>
      <w:proofErr w:type="gramStart"/>
      <w:r>
        <w:t>Low Income</w:t>
      </w:r>
      <w:proofErr w:type="gramEnd"/>
      <w:r>
        <w:t xml:space="preserve"> Household Program – assessments and advice tailored for low-income households.</w:t>
      </w:r>
    </w:p>
    <w:p w14:paraId="316239F2" w14:textId="77777777" w:rsidR="00676882" w:rsidRDefault="00676882" w:rsidP="00676882">
      <w:pPr>
        <w:pStyle w:val="ListBullet"/>
      </w:pPr>
      <w:r>
        <w:t>The Solar for Low Income Program – which provides an additional subsidy of up to 50 per cent of the costs of solar systems for low-income families.</w:t>
      </w:r>
    </w:p>
    <w:p w14:paraId="2055C113" w14:textId="77777777" w:rsidR="00676882" w:rsidRDefault="00676882" w:rsidP="00676882">
      <w:pPr>
        <w:pStyle w:val="ListBullet"/>
      </w:pPr>
      <w:r>
        <w:t>The Next Gen Battery Storage Program – which provides subsidies for the installation of a battery installation to support solar systems.</w:t>
      </w:r>
    </w:p>
    <w:p w14:paraId="14DCA64F" w14:textId="77777777" w:rsidR="00676882" w:rsidRDefault="00676882" w:rsidP="00676882">
      <w:pPr>
        <w:pStyle w:val="ListBullet"/>
      </w:pPr>
      <w:r>
        <w:t>The Wood Heater Replacement Program – which provides rebates for properties to replace or decommission wood heaters.</w:t>
      </w:r>
    </w:p>
    <w:p w14:paraId="6FE4E536" w14:textId="77777777" w:rsidR="00676882" w:rsidRDefault="00676882" w:rsidP="00676882">
      <w:pPr>
        <w:pStyle w:val="Heading2"/>
      </w:pPr>
      <w:bookmarkStart w:id="130" w:name="_Toc80481658"/>
      <w:bookmarkStart w:id="131" w:name="_Toc80700295"/>
      <w:bookmarkStart w:id="132" w:name="_Toc80700543"/>
      <w:bookmarkStart w:id="133" w:name="_Ref70315765"/>
      <w:bookmarkStart w:id="134" w:name="_Toc71466298"/>
      <w:bookmarkStart w:id="135" w:name="_Toc75339649"/>
      <w:bookmarkStart w:id="136" w:name="_Toc75339740"/>
      <w:bookmarkStart w:id="137" w:name="_Toc75339753"/>
      <w:bookmarkStart w:id="138" w:name="_Toc75339779"/>
      <w:bookmarkStart w:id="139" w:name="_Toc80712588"/>
      <w:bookmarkEnd w:id="130"/>
      <w:bookmarkEnd w:id="131"/>
      <w:bookmarkEnd w:id="132"/>
      <w:r>
        <w:t>How best can government intervene?</w:t>
      </w:r>
      <w:bookmarkEnd w:id="133"/>
      <w:bookmarkEnd w:id="134"/>
      <w:bookmarkEnd w:id="135"/>
      <w:bookmarkEnd w:id="136"/>
      <w:bookmarkEnd w:id="137"/>
      <w:bookmarkEnd w:id="138"/>
      <w:bookmarkEnd w:id="139"/>
    </w:p>
    <w:p w14:paraId="3B3A3184" w14:textId="77777777" w:rsidR="00676882" w:rsidRDefault="00676882" w:rsidP="00676882">
      <w:pPr>
        <w:pStyle w:val="BodyText"/>
      </w:pPr>
      <w:r>
        <w:t xml:space="preserve">As illustrated in </w:t>
      </w:r>
      <w:r w:rsidRPr="009E4AB1">
        <w:fldChar w:fldCharType="begin"/>
      </w:r>
      <w:r w:rsidRPr="009E4AB1">
        <w:instrText xml:space="preserve"> REF _Ref80694365 \h  \* MERGEFORMAT </w:instrText>
      </w:r>
      <w:r w:rsidRPr="009E4AB1">
        <w:fldChar w:fldCharType="separate"/>
      </w:r>
      <w:r w:rsidRPr="00F32FCC">
        <w:t>Figure 4.1</w:t>
      </w:r>
      <w:r w:rsidRPr="009E4AB1">
        <w:fldChar w:fldCharType="end"/>
      </w:r>
      <w:r>
        <w:t xml:space="preserve">, there </w:t>
      </w:r>
      <w:proofErr w:type="gramStart"/>
      <w:r>
        <w:t>a number of</w:t>
      </w:r>
      <w:proofErr w:type="gramEnd"/>
      <w:r>
        <w:t xml:space="preserve"> potential solutions to address poor thermal control and energy efficiency in rental properties in the ACT, including:</w:t>
      </w:r>
    </w:p>
    <w:p w14:paraId="428A7A2E" w14:textId="77777777" w:rsidR="00676882" w:rsidRDefault="00676882" w:rsidP="00676882">
      <w:pPr>
        <w:pStyle w:val="ListBullet"/>
      </w:pPr>
      <w:r>
        <w:t>information provision</w:t>
      </w:r>
    </w:p>
    <w:p w14:paraId="557E1FC2" w14:textId="77777777" w:rsidR="00676882" w:rsidRDefault="00676882" w:rsidP="00676882">
      <w:pPr>
        <w:pStyle w:val="ListBullet"/>
      </w:pPr>
      <w:r>
        <w:t>government rebates and market incentives</w:t>
      </w:r>
    </w:p>
    <w:p w14:paraId="629548A4" w14:textId="77777777" w:rsidR="00676882" w:rsidRDefault="00676882" w:rsidP="00676882">
      <w:pPr>
        <w:pStyle w:val="ListBullet"/>
      </w:pPr>
      <w:r>
        <w:t>regulation of information provision</w:t>
      </w:r>
    </w:p>
    <w:p w14:paraId="14109C63" w14:textId="77777777" w:rsidR="00676882" w:rsidRDefault="00676882" w:rsidP="00676882">
      <w:pPr>
        <w:pStyle w:val="ListBullet"/>
      </w:pPr>
      <w:r>
        <w:t>regulating performance standards</w:t>
      </w:r>
    </w:p>
    <w:p w14:paraId="5C4C4F84" w14:textId="77777777" w:rsidR="00676882" w:rsidRDefault="00676882" w:rsidP="00676882">
      <w:pPr>
        <w:pStyle w:val="ListBullet"/>
      </w:pPr>
      <w:r>
        <w:t>regulating features standards.</w:t>
      </w:r>
    </w:p>
    <w:p w14:paraId="769354B7" w14:textId="77777777" w:rsidR="00676882" w:rsidRDefault="00676882" w:rsidP="00676882">
      <w:pPr>
        <w:pStyle w:val="BodyText"/>
      </w:pPr>
      <w:r>
        <w:t xml:space="preserve">Each of these solutions will improve thermal comfort and energy efficiency in some sections of the community. However, each of these solutions is not necessarily appropriate for rental households in terms of the efficiency and effectiveness of those solutions — especially in the context of the market segment under consideration and the split incentive problem. For example, educating tenants or rental providers on the benefits of installing thermal control features in rental properties will only be effective where the tenant or rental providers </w:t>
      </w:r>
      <w:proofErr w:type="gramStart"/>
      <w:r>
        <w:t>has the ability to</w:t>
      </w:r>
      <w:proofErr w:type="gramEnd"/>
      <w:r>
        <w:t xml:space="preserve"> absorb that information and take action. While providing incentives and grants will reduce the capital cost associated with installing thermal control features, it does not overcome the split incentive problem. </w:t>
      </w:r>
    </w:p>
    <w:p w14:paraId="0D25E18D" w14:textId="77777777" w:rsidR="00676882" w:rsidRDefault="00676882" w:rsidP="00676882">
      <w:pPr>
        <w:pStyle w:val="BodyText"/>
      </w:pPr>
      <w:r>
        <w:t>ACIL Allen recently developed a strategic framework for Energy Consumers Australia to support households to manage their energy bills, including by choosing to improve the building fabric and fixed appliances, and choosing more energy efficient equipment and appliances. This framework can be applied to identify the most appropriate solutions to address the energy efficiency barriers that have been identified.</w:t>
      </w:r>
    </w:p>
    <w:p w14:paraId="014A9573" w14:textId="77777777" w:rsidR="00676882" w:rsidRDefault="00676882" w:rsidP="00676882">
      <w:pPr>
        <w:pStyle w:val="BodyText"/>
      </w:pPr>
      <w:r>
        <w:t xml:space="preserve">The strategic framework comprises three elements, as illustrated in </w:t>
      </w:r>
      <w:r w:rsidRPr="009E4AB1">
        <w:fldChar w:fldCharType="begin"/>
      </w:r>
      <w:r w:rsidRPr="009E4AB1">
        <w:instrText xml:space="preserve"> REF _Ref80694388 \h  \* MERGEFORMAT </w:instrText>
      </w:r>
      <w:r w:rsidRPr="009E4AB1">
        <w:fldChar w:fldCharType="separate"/>
      </w:r>
      <w:r w:rsidRPr="00F32FCC">
        <w:t>Figure 4.2</w:t>
      </w:r>
      <w:r w:rsidRPr="009E4AB1">
        <w:fldChar w:fldCharType="end"/>
      </w:r>
      <w:r>
        <w:t>:</w:t>
      </w:r>
    </w:p>
    <w:p w14:paraId="25540B3C" w14:textId="77777777" w:rsidR="00676882" w:rsidRDefault="00676882" w:rsidP="00676882">
      <w:pPr>
        <w:pStyle w:val="Caption"/>
        <w:keepNext w:val="0"/>
        <w:numPr>
          <w:ilvl w:val="0"/>
          <w:numId w:val="38"/>
        </w:numPr>
        <w:spacing w:before="70" w:after="70" w:line="280" w:lineRule="atLeast"/>
      </w:pPr>
      <w:r>
        <w:t>the range of choices available to households to manage their energy bills</w:t>
      </w:r>
    </w:p>
    <w:p w14:paraId="243FC7F4" w14:textId="77777777" w:rsidR="00676882" w:rsidRDefault="00676882" w:rsidP="00676882">
      <w:pPr>
        <w:pStyle w:val="Caption"/>
        <w:keepNext w:val="0"/>
        <w:numPr>
          <w:ilvl w:val="0"/>
          <w:numId w:val="38"/>
        </w:numPr>
        <w:spacing w:before="70" w:after="70" w:line="280" w:lineRule="atLeast"/>
      </w:pPr>
      <w:r>
        <w:t>the different types of Australian households and their diverse motivations, abilities and opportunities to manage their energy bills</w:t>
      </w:r>
    </w:p>
    <w:p w14:paraId="3DE6A1BD" w14:textId="77777777" w:rsidR="00676882" w:rsidRDefault="00676882" w:rsidP="00676882">
      <w:pPr>
        <w:pStyle w:val="Caption"/>
        <w:keepNext w:val="0"/>
        <w:numPr>
          <w:ilvl w:val="0"/>
          <w:numId w:val="38"/>
        </w:numPr>
        <w:spacing w:before="70" w:after="70" w:line="280" w:lineRule="atLeast"/>
      </w:pPr>
      <w:r>
        <w:t>the range of tools and services that could support different types of Australian households to make different choices to manage their energy bills.</w:t>
      </w:r>
    </w:p>
    <w:p w14:paraId="53D7936F" w14:textId="77777777" w:rsidR="00676882" w:rsidRDefault="00676882" w:rsidP="00676882">
      <w:pPr>
        <w:pStyle w:val="BodyText"/>
        <w:keepNext/>
        <w:keepLines/>
      </w:pPr>
      <w:bookmarkStart w:id="140" w:name="_Ref80694388"/>
      <w:bookmarkStart w:id="141" w:name="_Toc80719257"/>
      <w:r>
        <w:rPr>
          <w:rStyle w:val="CaptionLabel"/>
        </w:rPr>
        <w:lastRenderedPageBreak/>
        <w:t>Figure </w:t>
      </w:r>
      <w:r>
        <w:fldChar w:fldCharType="begin"/>
      </w:r>
      <w:r>
        <w:rPr>
          <w:rStyle w:val="CaptionLabel"/>
        </w:rPr>
        <w:instrText xml:space="preserve"> STYLEREF 1 \S \* MERGEFORMAT </w:instrText>
      </w:r>
      <w:r>
        <w:fldChar w:fldCharType="separate"/>
      </w:r>
      <w:r>
        <w:rPr>
          <w:rStyle w:val="CaptionLabel"/>
          <w:noProof/>
        </w:rPr>
        <w:t>4</w:t>
      </w:r>
      <w:r>
        <w:fldChar w:fldCharType="end"/>
      </w:r>
      <w:r>
        <w:rPr>
          <w:rStyle w:val="CaptionLabel"/>
        </w:rPr>
        <w:t>.</w:t>
      </w:r>
      <w:r>
        <w:fldChar w:fldCharType="begin"/>
      </w:r>
      <w:r>
        <w:rPr>
          <w:rStyle w:val="CaptionLabel"/>
        </w:rPr>
        <w:instrText xml:space="preserve"> SEQ Figure \* ARABIC \S 1 \* MERGEFORMAT </w:instrText>
      </w:r>
      <w:r>
        <w:fldChar w:fldCharType="separate"/>
      </w:r>
      <w:r>
        <w:rPr>
          <w:rStyle w:val="CaptionLabel"/>
          <w:noProof/>
        </w:rPr>
        <w:t>2</w:t>
      </w:r>
      <w:r>
        <w:fldChar w:fldCharType="end"/>
      </w:r>
      <w:bookmarkEnd w:id="140"/>
      <w:r>
        <w:tab/>
        <w:t>Elements of the strategic framework to support households to improve thermal control and manage energy use</w:t>
      </w:r>
      <w:bookmarkEnd w:id="141"/>
    </w:p>
    <w:p w14:paraId="103FDB4D" w14:textId="77777777" w:rsidR="00676882" w:rsidRDefault="00676882" w:rsidP="00676882">
      <w:pPr>
        <w:pStyle w:val="BodyText"/>
        <w:keepNext/>
        <w:keepLines/>
      </w:pPr>
      <w:r>
        <w:rPr>
          <w:noProof/>
        </w:rPr>
        <w:drawing>
          <wp:inline distT="0" distB="0" distL="0" distR="0" wp14:anchorId="3CFB4E4E" wp14:editId="0FF7CFFE">
            <wp:extent cx="5010150" cy="1863991"/>
            <wp:effectExtent l="0" t="0" r="0" b="0"/>
            <wp:docPr id="571" name="Picture 571" descr="This shows the three elements:&#10;1. Types of households&#10;2. Choices available to households&#10;3. Tools and support for househol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 name="Picture 571" descr="This shows the three elements:&#10;1. Types of households&#10;2. Choices available to households&#10;3. Tools and support for households."/>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022457" cy="1868570"/>
                    </a:xfrm>
                    <a:prstGeom prst="rect">
                      <a:avLst/>
                    </a:prstGeom>
                    <a:noFill/>
                    <a:ln>
                      <a:noFill/>
                    </a:ln>
                  </pic:spPr>
                </pic:pic>
              </a:graphicData>
            </a:graphic>
          </wp:inline>
        </w:drawing>
      </w:r>
    </w:p>
    <w:p w14:paraId="7CCCC181" w14:textId="77777777" w:rsidR="00676882" w:rsidRPr="006B0263" w:rsidRDefault="00676882" w:rsidP="00676882">
      <w:pPr>
        <w:pStyle w:val="BodyText"/>
        <w:keepNext/>
        <w:keepLines/>
        <w:spacing w:before="0" w:line="20" w:lineRule="atLeast"/>
        <w:rPr>
          <w:i/>
          <w:sz w:val="16"/>
        </w:rPr>
      </w:pPr>
      <w:r w:rsidRPr="006B0263">
        <w:rPr>
          <w:i/>
          <w:color w:val="000100"/>
          <w:sz w:val="16"/>
        </w:rPr>
        <w:t>Source: ACIL Allen</w:t>
      </w:r>
    </w:p>
    <w:p w14:paraId="56287C54" w14:textId="77777777" w:rsidR="00676882" w:rsidRDefault="00676882" w:rsidP="00676882">
      <w:pPr>
        <w:pStyle w:val="Heading3"/>
        <w:rPr>
          <w:szCs w:val="22"/>
        </w:rPr>
      </w:pPr>
      <w:bookmarkStart w:id="142" w:name="_Toc75339780"/>
      <w:r>
        <w:t>Different types of Australian households</w:t>
      </w:r>
      <w:bookmarkEnd w:id="142"/>
    </w:p>
    <w:p w14:paraId="6A369621" w14:textId="77777777" w:rsidR="00676882" w:rsidRDefault="00676882" w:rsidP="00676882">
      <w:pPr>
        <w:pStyle w:val="BodyText"/>
      </w:pPr>
      <w:r>
        <w:t xml:space="preserve">The strategic framework categorised households based on three dimensions — their motivation, ability and opportunity to manage their energy bills — to identify nine different types of Australian households, as illustrated in </w:t>
      </w:r>
      <w:r w:rsidRPr="009E4AB1">
        <w:fldChar w:fldCharType="begin"/>
      </w:r>
      <w:r w:rsidRPr="009E4AB1">
        <w:instrText xml:space="preserve"> REF _Ref80694405 \h  \* MERGEFORMAT </w:instrText>
      </w:r>
      <w:r w:rsidRPr="009E4AB1">
        <w:fldChar w:fldCharType="separate"/>
      </w:r>
      <w:r w:rsidRPr="00F32FCC">
        <w:t>Figure 4.3</w:t>
      </w:r>
      <w:r w:rsidRPr="009E4AB1">
        <w:fldChar w:fldCharType="end"/>
      </w:r>
      <w:r>
        <w:t xml:space="preserve">. </w:t>
      </w:r>
    </w:p>
    <w:p w14:paraId="4B2A543E" w14:textId="77777777" w:rsidR="00676882" w:rsidRDefault="00676882" w:rsidP="00676882">
      <w:pPr>
        <w:pStyle w:val="BodyText"/>
        <w:ind w:left="-1985"/>
      </w:pPr>
      <w:bookmarkStart w:id="143" w:name="_Ref80694405"/>
      <w:bookmarkStart w:id="144" w:name="_Toc80719258"/>
      <w:r>
        <w:rPr>
          <w:rStyle w:val="CaptionLabel"/>
        </w:rPr>
        <w:t>Figure </w:t>
      </w:r>
      <w:r>
        <w:fldChar w:fldCharType="begin"/>
      </w:r>
      <w:r>
        <w:rPr>
          <w:rStyle w:val="CaptionLabel"/>
        </w:rPr>
        <w:instrText xml:space="preserve"> STYLEREF 1 \S \* MERGEFORMAT </w:instrText>
      </w:r>
      <w:r>
        <w:fldChar w:fldCharType="separate"/>
      </w:r>
      <w:r>
        <w:rPr>
          <w:rStyle w:val="CaptionLabel"/>
          <w:noProof/>
        </w:rPr>
        <w:t>4</w:t>
      </w:r>
      <w:r>
        <w:fldChar w:fldCharType="end"/>
      </w:r>
      <w:r>
        <w:rPr>
          <w:rStyle w:val="CaptionLabel"/>
        </w:rPr>
        <w:t>.</w:t>
      </w:r>
      <w:r>
        <w:fldChar w:fldCharType="begin"/>
      </w:r>
      <w:r>
        <w:rPr>
          <w:rStyle w:val="CaptionLabel"/>
        </w:rPr>
        <w:instrText xml:space="preserve"> SEQ Figure \* ARABIC \S 1 \* MERGEFORMAT </w:instrText>
      </w:r>
      <w:r>
        <w:fldChar w:fldCharType="separate"/>
      </w:r>
      <w:r>
        <w:rPr>
          <w:rStyle w:val="CaptionLabel"/>
          <w:noProof/>
        </w:rPr>
        <w:t>3</w:t>
      </w:r>
      <w:r>
        <w:fldChar w:fldCharType="end"/>
      </w:r>
      <w:bookmarkEnd w:id="143"/>
      <w:r>
        <w:tab/>
        <w:t>Different types of Australian households</w:t>
      </w:r>
      <w:bookmarkEnd w:id="144"/>
    </w:p>
    <w:p w14:paraId="31EEA9B6" w14:textId="77777777" w:rsidR="00676882" w:rsidRDefault="00676882" w:rsidP="00676882">
      <w:pPr>
        <w:pStyle w:val="BodyText"/>
        <w:ind w:left="-1985"/>
      </w:pPr>
      <w:r>
        <w:rPr>
          <w:noProof/>
        </w:rPr>
        <w:drawing>
          <wp:inline distT="0" distB="0" distL="0" distR="0" wp14:anchorId="30F30BF5" wp14:editId="771E70D2">
            <wp:extent cx="6273756" cy="2762250"/>
            <wp:effectExtent l="0" t="0" r="0" b="0"/>
            <wp:docPr id="574" name="Picture 574" descr="This figure shows a breakdown of types of household, based on incentives, ability and opportunity. It shows types of households for high or low ratings against each of these categories.&#10;&#10;It shows enthusiasts who have high incentives, ability, and opportunity; Middle Australia who have middle for all; complacent with low incentives, high ability and high opportunity; and hard to help who have low motivation, low ability and low opportun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Picture 574" descr="This figure shows a breakdown of types of household, based on incentives, ability and opportunity. It shows types of households for high or low ratings against each of these categories.&#10;&#10;It shows enthusiasts who have high incentives, ability, and opportunity; Middle Australia who have middle for all; complacent with low incentives, high ability and high opportunity; and hard to help who have low motivation, low ability and low opportunity."/>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281908" cy="2765839"/>
                    </a:xfrm>
                    <a:prstGeom prst="rect">
                      <a:avLst/>
                    </a:prstGeom>
                    <a:noFill/>
                    <a:ln>
                      <a:noFill/>
                    </a:ln>
                  </pic:spPr>
                </pic:pic>
              </a:graphicData>
            </a:graphic>
          </wp:inline>
        </w:drawing>
      </w:r>
    </w:p>
    <w:p w14:paraId="2BF18721" w14:textId="77777777" w:rsidR="00676882" w:rsidRDefault="00676882" w:rsidP="00676882">
      <w:pPr>
        <w:pStyle w:val="Note"/>
        <w:spacing w:before="0" w:line="240" w:lineRule="auto"/>
        <w:ind w:left="-1985"/>
      </w:pPr>
      <w:r>
        <w:t>Note: 1 = Middle Australia; 2 = Enthusiasts; 3 = Completers; 4 = Dependent; 5 = Stuck; 6 = Complacent; 7 = Competent; 8 = Cautious; 9 = Hard to help</w:t>
      </w:r>
    </w:p>
    <w:p w14:paraId="6BD9D8EC" w14:textId="77777777" w:rsidR="00676882" w:rsidRPr="006B0263" w:rsidRDefault="00676882" w:rsidP="00676882">
      <w:pPr>
        <w:pStyle w:val="BodyText"/>
        <w:spacing w:before="0" w:after="0" w:line="240" w:lineRule="auto"/>
        <w:ind w:left="-1985"/>
        <w:rPr>
          <w:i/>
          <w:color w:val="000100"/>
          <w:sz w:val="16"/>
        </w:rPr>
      </w:pPr>
      <w:r w:rsidRPr="006B0263">
        <w:rPr>
          <w:i/>
          <w:color w:val="000100"/>
          <w:sz w:val="16"/>
        </w:rPr>
        <w:t xml:space="preserve">Source: ACIL Allen </w:t>
      </w:r>
    </w:p>
    <w:p w14:paraId="1F63D112" w14:textId="77777777" w:rsidR="00676882" w:rsidRDefault="00676882" w:rsidP="00676882">
      <w:pPr>
        <w:pStyle w:val="BodyText"/>
      </w:pPr>
      <w:r>
        <w:t xml:space="preserve">The factors that influence a households’ motivation, ability and opportunity to manage their energy bills are summarised in </w:t>
      </w:r>
      <w:r w:rsidRPr="009E4AB1">
        <w:fldChar w:fldCharType="begin"/>
      </w:r>
      <w:r w:rsidRPr="009E4AB1">
        <w:instrText xml:space="preserve"> REF _Ref70252315 \h  \* MERGEFORMAT </w:instrText>
      </w:r>
      <w:r w:rsidRPr="009E4AB1">
        <w:fldChar w:fldCharType="separate"/>
      </w:r>
      <w:r w:rsidRPr="00F32FCC">
        <w:t>Table 4.1</w:t>
      </w:r>
      <w:r w:rsidRPr="009E4AB1">
        <w:fldChar w:fldCharType="end"/>
      </w:r>
      <w:r>
        <w:t xml:space="preserve">. The factors that are relevant vary by the type of choice that can be made. For example, whether a household lives in rental accommodation is relevant to improving the building fabric by installing ceiling insulation but not to choosing an energy deal from their energy retailer. </w:t>
      </w:r>
    </w:p>
    <w:p w14:paraId="5358526A" w14:textId="77777777" w:rsidR="00676882" w:rsidRDefault="00676882" w:rsidP="00676882">
      <w:pPr>
        <w:pStyle w:val="Caption"/>
        <w:ind w:left="-709" w:hanging="992"/>
      </w:pPr>
      <w:bookmarkStart w:id="145" w:name="_Ref70252315"/>
      <w:bookmarkStart w:id="146" w:name="_Toc71466361"/>
      <w:bookmarkStart w:id="147" w:name="_Toc80719325"/>
      <w:r>
        <w:rPr>
          <w:rStyle w:val="CaptionLabel"/>
        </w:rPr>
        <w:lastRenderedPageBreak/>
        <w:t>Table </w:t>
      </w:r>
      <w:r>
        <w:fldChar w:fldCharType="begin"/>
      </w:r>
      <w:r>
        <w:rPr>
          <w:rStyle w:val="CaptionLabel"/>
        </w:rPr>
        <w:instrText xml:space="preserve"> STYLEREF 1 \S \* MERGEFORMAT </w:instrText>
      </w:r>
      <w:r>
        <w:fldChar w:fldCharType="separate"/>
      </w:r>
      <w:r>
        <w:rPr>
          <w:rStyle w:val="CaptionLabel"/>
          <w:noProof/>
        </w:rPr>
        <w:t>4</w:t>
      </w:r>
      <w:r>
        <w:fldChar w:fldCharType="end"/>
      </w:r>
      <w:r>
        <w:rPr>
          <w:rStyle w:val="CaptionLabel"/>
        </w:rPr>
        <w:t>.</w:t>
      </w:r>
      <w:r>
        <w:fldChar w:fldCharType="begin"/>
      </w:r>
      <w:r>
        <w:rPr>
          <w:rStyle w:val="CaptionLabel"/>
        </w:rPr>
        <w:instrText xml:space="preserve"> SEQ Table \* ARABIC \S 1 \* MERGEFORMAT </w:instrText>
      </w:r>
      <w:r>
        <w:fldChar w:fldCharType="separate"/>
      </w:r>
      <w:r>
        <w:rPr>
          <w:rStyle w:val="CaptionLabel"/>
          <w:noProof/>
        </w:rPr>
        <w:t>1</w:t>
      </w:r>
      <w:r>
        <w:fldChar w:fldCharType="end"/>
      </w:r>
      <w:bookmarkEnd w:id="145"/>
      <w:r>
        <w:tab/>
        <w:t>Summary of factors that influence a household’s motivation, ability and opportunity</w:t>
      </w:r>
      <w:bookmarkEnd w:id="146"/>
      <w:bookmarkEnd w:id="147"/>
    </w:p>
    <w:tbl>
      <w:tblPr>
        <w:tblW w:w="10380" w:type="dxa"/>
        <w:tblInd w:w="-2207" w:type="dxa"/>
        <w:tblLayout w:type="fixed"/>
        <w:tblCellMar>
          <w:left w:w="0" w:type="dxa"/>
          <w:bottom w:w="40" w:type="dxa"/>
          <w:right w:w="0" w:type="dxa"/>
        </w:tblCellMar>
        <w:tblLook w:val="04A0" w:firstRow="1" w:lastRow="0" w:firstColumn="1" w:lastColumn="0" w:noHBand="0" w:noVBand="1"/>
        <w:tblCaption w:val="Table 4.1"/>
        <w:tblDescription w:val="Summary of factors that influence a household’s motivation, ability and opportunity"/>
      </w:tblPr>
      <w:tblGrid>
        <w:gridCol w:w="455"/>
        <w:gridCol w:w="3309"/>
        <w:gridCol w:w="3309"/>
        <w:gridCol w:w="3307"/>
      </w:tblGrid>
      <w:tr w:rsidR="00676882" w14:paraId="4252D5E2" w14:textId="77777777" w:rsidTr="00DF45FA">
        <w:trPr>
          <w:cantSplit/>
          <w:tblHeader/>
        </w:trPr>
        <w:tc>
          <w:tcPr>
            <w:tcW w:w="1813" w:type="pct"/>
            <w:gridSpan w:val="2"/>
            <w:shd w:val="clear" w:color="auto" w:fill="E7E6E6" w:themeFill="background2"/>
            <w:tcMar>
              <w:top w:w="0" w:type="dxa"/>
              <w:left w:w="454" w:type="dxa"/>
              <w:bottom w:w="0" w:type="dxa"/>
              <w:right w:w="0" w:type="dxa"/>
            </w:tcMar>
            <w:hideMark/>
          </w:tcPr>
          <w:p w14:paraId="7E5E9328" w14:textId="77777777" w:rsidR="00676882" w:rsidRDefault="00676882" w:rsidP="00DF45FA">
            <w:pPr>
              <w:pStyle w:val="Tablecolumnheadings"/>
            </w:pPr>
            <w:r>
              <w:t>Motivation</w:t>
            </w:r>
          </w:p>
        </w:tc>
        <w:tc>
          <w:tcPr>
            <w:tcW w:w="1594" w:type="pct"/>
            <w:shd w:val="clear" w:color="auto" w:fill="E7E6E6" w:themeFill="background2"/>
            <w:tcMar>
              <w:top w:w="0" w:type="dxa"/>
              <w:left w:w="0" w:type="dxa"/>
              <w:bottom w:w="0" w:type="dxa"/>
              <w:right w:w="0" w:type="dxa"/>
            </w:tcMar>
            <w:hideMark/>
          </w:tcPr>
          <w:p w14:paraId="0D405FE4" w14:textId="77777777" w:rsidR="00676882" w:rsidRDefault="00676882" w:rsidP="00DF45FA">
            <w:pPr>
              <w:pStyle w:val="Tablecolumnheadings"/>
            </w:pPr>
            <w:r>
              <w:t>Ability</w:t>
            </w:r>
          </w:p>
        </w:tc>
        <w:tc>
          <w:tcPr>
            <w:tcW w:w="1593" w:type="pct"/>
            <w:shd w:val="clear" w:color="auto" w:fill="E7E6E6" w:themeFill="background2"/>
            <w:tcMar>
              <w:top w:w="0" w:type="dxa"/>
              <w:left w:w="0" w:type="dxa"/>
              <w:bottom w:w="0" w:type="dxa"/>
              <w:right w:w="0" w:type="dxa"/>
            </w:tcMar>
            <w:hideMark/>
          </w:tcPr>
          <w:p w14:paraId="79AB7921" w14:textId="77777777" w:rsidR="00676882" w:rsidRDefault="00676882" w:rsidP="00DF45FA">
            <w:pPr>
              <w:pStyle w:val="Tablecolumnheadings"/>
            </w:pPr>
            <w:r>
              <w:t>Opportunity</w:t>
            </w:r>
          </w:p>
        </w:tc>
      </w:tr>
      <w:tr w:rsidR="00676882" w14:paraId="3AE1101F" w14:textId="77777777" w:rsidTr="00DF45FA">
        <w:trPr>
          <w:gridBefore w:val="1"/>
          <w:wBefore w:w="219" w:type="pct"/>
          <w:cantSplit/>
        </w:trPr>
        <w:tc>
          <w:tcPr>
            <w:tcW w:w="1594" w:type="pct"/>
            <w:tcBorders>
              <w:top w:val="nil"/>
              <w:left w:val="nil"/>
              <w:bottom w:val="single" w:sz="4" w:space="0" w:color="auto"/>
              <w:right w:val="nil"/>
            </w:tcBorders>
            <w:hideMark/>
          </w:tcPr>
          <w:p w14:paraId="7EE41258" w14:textId="77777777" w:rsidR="00676882" w:rsidRDefault="00676882" w:rsidP="00676882">
            <w:pPr>
              <w:pStyle w:val="Tablelistbullet"/>
              <w:numPr>
                <w:ilvl w:val="0"/>
                <w:numId w:val="37"/>
              </w:numPr>
              <w:ind w:left="278" w:hanging="278"/>
            </w:pPr>
            <w:r>
              <w:t>Attitude towards the behaviour, for example, the perceived costs and benefits, the importance of energy, and cultural considerations</w:t>
            </w:r>
          </w:p>
          <w:p w14:paraId="0EA0B29B" w14:textId="77777777" w:rsidR="00676882" w:rsidRDefault="00676882" w:rsidP="00676882">
            <w:pPr>
              <w:pStyle w:val="Tablelistbullet"/>
              <w:numPr>
                <w:ilvl w:val="0"/>
                <w:numId w:val="37"/>
              </w:numPr>
              <w:ind w:left="278" w:hanging="278"/>
            </w:pPr>
            <w:r>
              <w:t>Alignment with choices made within the household’s circle of influence</w:t>
            </w:r>
          </w:p>
          <w:p w14:paraId="45F0A8DE" w14:textId="77777777" w:rsidR="00676882" w:rsidRDefault="00676882" w:rsidP="00676882">
            <w:pPr>
              <w:pStyle w:val="Tablelistbullet"/>
              <w:numPr>
                <w:ilvl w:val="0"/>
                <w:numId w:val="37"/>
              </w:numPr>
              <w:ind w:left="278" w:hanging="278"/>
            </w:pPr>
            <w:r>
              <w:t>Likelihood of success</w:t>
            </w:r>
          </w:p>
          <w:p w14:paraId="3C8B2E35" w14:textId="77777777" w:rsidR="00676882" w:rsidRDefault="00676882" w:rsidP="00676882">
            <w:pPr>
              <w:pStyle w:val="Tablelistbullet"/>
              <w:numPr>
                <w:ilvl w:val="0"/>
                <w:numId w:val="37"/>
              </w:numPr>
              <w:ind w:left="278" w:hanging="278"/>
            </w:pPr>
            <w:r>
              <w:t>Unwillingness to create disharmony/conflict</w:t>
            </w:r>
          </w:p>
        </w:tc>
        <w:tc>
          <w:tcPr>
            <w:tcW w:w="1594" w:type="pct"/>
            <w:tcBorders>
              <w:top w:val="nil"/>
              <w:left w:val="nil"/>
              <w:bottom w:val="single" w:sz="4" w:space="0" w:color="auto"/>
              <w:right w:val="nil"/>
            </w:tcBorders>
            <w:hideMark/>
          </w:tcPr>
          <w:p w14:paraId="42786DC3" w14:textId="77777777" w:rsidR="00676882" w:rsidRDefault="00676882" w:rsidP="00676882">
            <w:pPr>
              <w:pStyle w:val="Tablelistbullet"/>
              <w:numPr>
                <w:ilvl w:val="0"/>
                <w:numId w:val="37"/>
              </w:numPr>
              <w:ind w:left="278" w:hanging="278"/>
            </w:pPr>
            <w:r>
              <w:t>Ability to self-advocate, negotiate</w:t>
            </w:r>
          </w:p>
          <w:p w14:paraId="2117A8C2" w14:textId="77777777" w:rsidR="00676882" w:rsidRDefault="00676882" w:rsidP="00676882">
            <w:pPr>
              <w:pStyle w:val="Tablelistbullet"/>
              <w:numPr>
                <w:ilvl w:val="0"/>
                <w:numId w:val="37"/>
              </w:numPr>
              <w:ind w:left="278" w:hanging="278"/>
            </w:pPr>
            <w:r>
              <w:t>Belief in the ability to succeed</w:t>
            </w:r>
          </w:p>
          <w:p w14:paraId="23B1E8EE" w14:textId="77777777" w:rsidR="00676882" w:rsidRDefault="00676882" w:rsidP="00676882">
            <w:pPr>
              <w:pStyle w:val="Tablelistbullet"/>
              <w:numPr>
                <w:ilvl w:val="0"/>
                <w:numId w:val="37"/>
              </w:numPr>
              <w:ind w:left="278" w:hanging="278"/>
            </w:pPr>
            <w:r>
              <w:t>Trust in others</w:t>
            </w:r>
          </w:p>
          <w:p w14:paraId="7B41ACC0" w14:textId="77777777" w:rsidR="00676882" w:rsidRDefault="00676882" w:rsidP="00676882">
            <w:pPr>
              <w:pStyle w:val="Tablelistbullet"/>
              <w:numPr>
                <w:ilvl w:val="0"/>
                <w:numId w:val="37"/>
              </w:numPr>
              <w:ind w:left="278" w:hanging="278"/>
            </w:pPr>
            <w:r>
              <w:t>Ability to influence behaviour of all household members</w:t>
            </w:r>
          </w:p>
          <w:p w14:paraId="218D4E18" w14:textId="77777777" w:rsidR="00676882" w:rsidRDefault="00676882" w:rsidP="00676882">
            <w:pPr>
              <w:pStyle w:val="Tablelistbullet"/>
              <w:numPr>
                <w:ilvl w:val="0"/>
                <w:numId w:val="37"/>
              </w:numPr>
              <w:ind w:left="278" w:hanging="278"/>
            </w:pPr>
            <w:r>
              <w:t>General interest in, and capability using, technology</w:t>
            </w:r>
          </w:p>
          <w:p w14:paraId="44F9AA70" w14:textId="77777777" w:rsidR="00676882" w:rsidRDefault="00676882" w:rsidP="00676882">
            <w:pPr>
              <w:pStyle w:val="Tablelistbullet"/>
              <w:numPr>
                <w:ilvl w:val="0"/>
                <w:numId w:val="37"/>
              </w:numPr>
              <w:ind w:left="278" w:hanging="278"/>
            </w:pPr>
            <w:r>
              <w:t>Literacy, numeracy, problem solving and research skills</w:t>
            </w:r>
          </w:p>
          <w:p w14:paraId="390C5B9C" w14:textId="77777777" w:rsidR="00676882" w:rsidRDefault="00676882" w:rsidP="00676882">
            <w:pPr>
              <w:pStyle w:val="Tablelistbullet"/>
              <w:numPr>
                <w:ilvl w:val="0"/>
                <w:numId w:val="37"/>
              </w:numPr>
              <w:ind w:left="278" w:hanging="278"/>
            </w:pPr>
            <w:r>
              <w:t>Language barriers</w:t>
            </w:r>
          </w:p>
        </w:tc>
        <w:tc>
          <w:tcPr>
            <w:tcW w:w="1593" w:type="pct"/>
            <w:tcBorders>
              <w:top w:val="nil"/>
              <w:left w:val="nil"/>
              <w:bottom w:val="single" w:sz="4" w:space="0" w:color="auto"/>
              <w:right w:val="nil"/>
            </w:tcBorders>
            <w:hideMark/>
          </w:tcPr>
          <w:p w14:paraId="2A23501B" w14:textId="77777777" w:rsidR="00676882" w:rsidRDefault="00676882" w:rsidP="00676882">
            <w:pPr>
              <w:pStyle w:val="Tablelistbullet"/>
              <w:numPr>
                <w:ilvl w:val="0"/>
                <w:numId w:val="37"/>
              </w:numPr>
              <w:ind w:left="278" w:hanging="278"/>
            </w:pPr>
            <w:r>
              <w:t>Type of housing</w:t>
            </w:r>
          </w:p>
          <w:p w14:paraId="27C4ECE2" w14:textId="77777777" w:rsidR="00676882" w:rsidRDefault="00676882" w:rsidP="00676882">
            <w:pPr>
              <w:pStyle w:val="Tablelistbullet"/>
              <w:numPr>
                <w:ilvl w:val="0"/>
                <w:numId w:val="37"/>
              </w:numPr>
              <w:ind w:left="278" w:hanging="278"/>
            </w:pPr>
            <w:r>
              <w:t>Home ownership status</w:t>
            </w:r>
          </w:p>
          <w:p w14:paraId="48C0621C" w14:textId="77777777" w:rsidR="00676882" w:rsidRDefault="00676882" w:rsidP="00676882">
            <w:pPr>
              <w:pStyle w:val="Tablelistbullet"/>
              <w:numPr>
                <w:ilvl w:val="0"/>
                <w:numId w:val="37"/>
              </w:numPr>
              <w:ind w:left="278" w:hanging="278"/>
            </w:pPr>
            <w:r>
              <w:t xml:space="preserve">Scope to manage the energy bill – for example, to improve the building fabric or to install more energy-efficient appliances </w:t>
            </w:r>
          </w:p>
          <w:p w14:paraId="17809501" w14:textId="77777777" w:rsidR="00676882" w:rsidRDefault="00676882" w:rsidP="00676882">
            <w:pPr>
              <w:pStyle w:val="Tablelistbullet"/>
              <w:numPr>
                <w:ilvl w:val="0"/>
                <w:numId w:val="37"/>
              </w:numPr>
              <w:ind w:left="278" w:hanging="278"/>
            </w:pPr>
            <w:r>
              <w:t>Access to liquid funds</w:t>
            </w:r>
          </w:p>
        </w:tc>
      </w:tr>
      <w:tr w:rsidR="00676882" w14:paraId="5930B3A1" w14:textId="77777777" w:rsidTr="00DF45FA">
        <w:trPr>
          <w:gridBefore w:val="1"/>
          <w:wBefore w:w="219" w:type="pct"/>
          <w:cantSplit/>
        </w:trPr>
        <w:tc>
          <w:tcPr>
            <w:tcW w:w="4781" w:type="pct"/>
            <w:gridSpan w:val="3"/>
            <w:tcBorders>
              <w:top w:val="nil"/>
              <w:left w:val="nil"/>
              <w:bottom w:val="single" w:sz="4" w:space="0" w:color="auto"/>
              <w:right w:val="nil"/>
            </w:tcBorders>
            <w:hideMark/>
          </w:tcPr>
          <w:p w14:paraId="6734370C" w14:textId="77777777" w:rsidR="00676882" w:rsidRDefault="00676882" w:rsidP="00DF45FA">
            <w:pPr>
              <w:pStyle w:val="Source"/>
              <w:spacing w:line="254" w:lineRule="auto"/>
            </w:pPr>
            <w:r>
              <w:t>Source: ACIL Allen</w:t>
            </w:r>
          </w:p>
        </w:tc>
      </w:tr>
      <w:tr w:rsidR="00676882" w14:paraId="7FBC8604" w14:textId="77777777" w:rsidTr="00DF45FA">
        <w:trPr>
          <w:gridBefore w:val="1"/>
          <w:wBefore w:w="219" w:type="pct"/>
          <w:cantSplit/>
          <w:trHeight w:val="120"/>
        </w:trPr>
        <w:tc>
          <w:tcPr>
            <w:tcW w:w="4781" w:type="pct"/>
            <w:gridSpan w:val="3"/>
            <w:tcBorders>
              <w:top w:val="single" w:sz="4" w:space="0" w:color="auto"/>
              <w:left w:val="nil"/>
              <w:bottom w:val="nil"/>
              <w:right w:val="nil"/>
            </w:tcBorders>
          </w:tcPr>
          <w:p w14:paraId="3C681363" w14:textId="77777777" w:rsidR="00676882" w:rsidRDefault="00676882" w:rsidP="00DF45FA">
            <w:pPr>
              <w:pStyle w:val="spacertbl"/>
              <w:spacing w:line="254" w:lineRule="auto"/>
            </w:pPr>
          </w:p>
        </w:tc>
      </w:tr>
    </w:tbl>
    <w:p w14:paraId="7E6E4B79" w14:textId="77777777" w:rsidR="00676882" w:rsidRDefault="00676882" w:rsidP="00676882">
      <w:pPr>
        <w:pStyle w:val="BodyText"/>
      </w:pPr>
      <w:r>
        <w:t>The factors that influence a particular household’s motivation and opportunity to control their thermal comfort and invest in energy efficiency will also vary depending on the choice that is to be made. For example, a particular household may have the opportunity to choose more energy-efficient equipment but may not have the opportunity to choose to improve the building fabric of their home because they are a tenant.</w:t>
      </w:r>
    </w:p>
    <w:p w14:paraId="68526341" w14:textId="77777777" w:rsidR="00676882" w:rsidRDefault="00676882" w:rsidP="00676882">
      <w:pPr>
        <w:pStyle w:val="BodyText"/>
      </w:pPr>
      <w:r>
        <w:t xml:space="preserve">There is no set proportion of people in each segment, the size of each segment is dynamic — it will vary depending on the choice being made by the household and will also vary over time. </w:t>
      </w:r>
    </w:p>
    <w:p w14:paraId="3BB6B005" w14:textId="77777777" w:rsidR="00676882" w:rsidRDefault="00676882" w:rsidP="00676882">
      <w:pPr>
        <w:pStyle w:val="BodyText"/>
      </w:pPr>
      <w:r>
        <w:t xml:space="preserve">For instance, a household may have the opportunity to choose more energy-efficient appliances but may not have the opportunity to choose alternative energy sources because they rent their home. The household will be in one segment for choices relating to choosing energy efficient appliances and another segment for choices relating to alternative energy sources. </w:t>
      </w:r>
    </w:p>
    <w:p w14:paraId="6A8B8FDF" w14:textId="77777777" w:rsidR="00676882" w:rsidRDefault="00676882" w:rsidP="00676882">
      <w:pPr>
        <w:pStyle w:val="BodyText"/>
      </w:pPr>
      <w:r>
        <w:t>The factors that influence a household’s motivation and opportunity to manage their energy bills will also vary over time. For example, a household may not have the opportunity to choose to improve the building fabric of their home in the short term because they are a tenant but will have the opportunity if they purchase their own home.</w:t>
      </w:r>
    </w:p>
    <w:p w14:paraId="071B58F9" w14:textId="77777777" w:rsidR="00676882" w:rsidRDefault="00676882" w:rsidP="00676882">
      <w:pPr>
        <w:pStyle w:val="BodyText"/>
      </w:pPr>
      <w:r>
        <w:t xml:space="preserve">Tenants generally have a low opportunity to make substantial changes to the building structure and fittings because of the split incentive barrier discussed in Chapter </w:t>
      </w:r>
      <w:r w:rsidRPr="009E4AB1">
        <w:fldChar w:fldCharType="begin"/>
      </w:r>
      <w:r w:rsidRPr="009E4AB1">
        <w:instrText xml:space="preserve"> REF _Ref80698894 \r \h  \* MERGEFORMAT </w:instrText>
      </w:r>
      <w:r w:rsidRPr="009E4AB1">
        <w:fldChar w:fldCharType="separate"/>
      </w:r>
      <w:r>
        <w:t>2</w:t>
      </w:r>
      <w:r w:rsidRPr="009E4AB1">
        <w:fldChar w:fldCharType="end"/>
      </w:r>
      <w:r>
        <w:t>. Accordingly, they have low motivation to make up-front investments in energy-efficiency as the perceived costs and effort exceed the perceived benefits, particularly if their tenure is relatively short or uncertain. Tenants are therefore generally categorised as Competent or Hard to Help in the consumer segmentation framework.</w:t>
      </w:r>
    </w:p>
    <w:p w14:paraId="3F30FEB5" w14:textId="77777777" w:rsidR="00676882" w:rsidRDefault="00676882" w:rsidP="00676882">
      <w:pPr>
        <w:pStyle w:val="BodyText"/>
      </w:pPr>
      <w:r>
        <w:t>Rental providers have low motivation to install ceiling insulation and to draught proof because of the split incentive barrier — the perceived costs are high relative to the benefits. Rental providers are therefore generally categorised as Complacent, Competent, Cautious or Hard to Help in the consumer segmentation framework.</w:t>
      </w:r>
    </w:p>
    <w:p w14:paraId="55A82CB6" w14:textId="77777777" w:rsidR="00676882" w:rsidRDefault="00676882" w:rsidP="00676882">
      <w:pPr>
        <w:pStyle w:val="Heading3"/>
      </w:pPr>
      <w:bookmarkStart w:id="148" w:name="_Toc75339781"/>
      <w:r>
        <w:t>Non-regulatory approaches and tools to help improve the thermal control of rental premises</w:t>
      </w:r>
      <w:bookmarkEnd w:id="148"/>
    </w:p>
    <w:p w14:paraId="2FC81C7B" w14:textId="77777777" w:rsidR="00676882" w:rsidRDefault="00676882" w:rsidP="00676882">
      <w:pPr>
        <w:pStyle w:val="BodyText"/>
      </w:pPr>
      <w:r>
        <w:t xml:space="preserve">There is a range of non-regulatory tools and services that can help tenants and rental providers to manage the thermal control and energy-efficiency of their properties without relying on regulation. These tools help decision making or lower barriers to action. These can be categorised broadly as: </w:t>
      </w:r>
    </w:p>
    <w:p w14:paraId="2AF976C6" w14:textId="77777777" w:rsidR="00676882" w:rsidRDefault="00676882" w:rsidP="00676882">
      <w:pPr>
        <w:pStyle w:val="Caption"/>
        <w:keepNext w:val="0"/>
        <w:numPr>
          <w:ilvl w:val="0"/>
          <w:numId w:val="39"/>
        </w:numPr>
        <w:spacing w:before="70" w:after="70" w:line="280" w:lineRule="atLeast"/>
      </w:pPr>
      <w:r>
        <w:t xml:space="preserve">information, advice and non-financial support </w:t>
      </w:r>
    </w:p>
    <w:p w14:paraId="3F4E4679" w14:textId="77777777" w:rsidR="00676882" w:rsidRDefault="00676882" w:rsidP="00676882">
      <w:pPr>
        <w:pStyle w:val="Caption"/>
        <w:keepNext w:val="0"/>
        <w:numPr>
          <w:ilvl w:val="0"/>
          <w:numId w:val="39"/>
        </w:numPr>
        <w:spacing w:before="70" w:after="70" w:line="280" w:lineRule="atLeast"/>
      </w:pPr>
      <w:r>
        <w:t>incentives</w:t>
      </w:r>
    </w:p>
    <w:p w14:paraId="38F260CE" w14:textId="77777777" w:rsidR="00676882" w:rsidRDefault="00676882" w:rsidP="00676882">
      <w:pPr>
        <w:pStyle w:val="Caption"/>
        <w:keepNext w:val="0"/>
        <w:numPr>
          <w:ilvl w:val="0"/>
          <w:numId w:val="39"/>
        </w:numPr>
        <w:spacing w:before="70" w:after="70" w:line="280" w:lineRule="atLeast"/>
      </w:pPr>
      <w:r>
        <w:t xml:space="preserve">financial support </w:t>
      </w:r>
    </w:p>
    <w:p w14:paraId="4578984D" w14:textId="77777777" w:rsidR="00676882" w:rsidRDefault="00676882" w:rsidP="00676882">
      <w:pPr>
        <w:pStyle w:val="Caption"/>
        <w:keepNext w:val="0"/>
        <w:numPr>
          <w:ilvl w:val="0"/>
          <w:numId w:val="39"/>
        </w:numPr>
        <w:spacing w:before="70" w:after="70" w:line="280" w:lineRule="atLeast"/>
      </w:pPr>
      <w:r>
        <w:lastRenderedPageBreak/>
        <w:t xml:space="preserve">support services. </w:t>
      </w:r>
    </w:p>
    <w:p w14:paraId="3E77972B" w14:textId="77777777" w:rsidR="00676882" w:rsidRDefault="00676882" w:rsidP="00676882">
      <w:pPr>
        <w:pStyle w:val="BodyText"/>
      </w:pPr>
      <w:r>
        <w:t xml:space="preserve">Broad examples of the types of initiatives in each of these categories are illustrated in </w:t>
      </w:r>
      <w:r w:rsidRPr="009E4AB1">
        <w:fldChar w:fldCharType="begin"/>
      </w:r>
      <w:r w:rsidRPr="009E4AB1">
        <w:instrText xml:space="preserve"> REF _Ref80694418 \h  \* MERGEFORMAT </w:instrText>
      </w:r>
      <w:r w:rsidRPr="009E4AB1">
        <w:fldChar w:fldCharType="separate"/>
      </w:r>
      <w:r w:rsidRPr="00F32FCC">
        <w:t>Figure 4.4</w:t>
      </w:r>
      <w:r w:rsidRPr="009E4AB1">
        <w:fldChar w:fldCharType="end"/>
      </w:r>
      <w:r>
        <w:t xml:space="preserve">. As noted in section </w:t>
      </w:r>
      <w:r w:rsidRPr="009E4AB1">
        <w:fldChar w:fldCharType="begin"/>
      </w:r>
      <w:r w:rsidRPr="009E4AB1">
        <w:instrText xml:space="preserve"> REF _Ref75169932 \r \h  \* MERGEFORMAT </w:instrText>
      </w:r>
      <w:r w:rsidRPr="009E4AB1">
        <w:fldChar w:fldCharType="separate"/>
      </w:r>
      <w:r>
        <w:t>4.1.1</w:t>
      </w:r>
      <w:r w:rsidRPr="009E4AB1">
        <w:fldChar w:fldCharType="end"/>
      </w:r>
      <w:r>
        <w:t>, the ACT Government is already providing many of these tools and services.</w:t>
      </w:r>
    </w:p>
    <w:p w14:paraId="0CEF1442" w14:textId="77777777" w:rsidR="00676882" w:rsidRDefault="00676882" w:rsidP="00676882">
      <w:pPr>
        <w:pStyle w:val="BodyText"/>
        <w:ind w:left="-1985"/>
      </w:pPr>
      <w:bookmarkStart w:id="149" w:name="_Ref80694418"/>
      <w:bookmarkStart w:id="150" w:name="_Toc80719259"/>
      <w:r>
        <w:rPr>
          <w:rStyle w:val="CaptionLabel"/>
        </w:rPr>
        <w:t>Figure </w:t>
      </w:r>
      <w:r>
        <w:fldChar w:fldCharType="begin"/>
      </w:r>
      <w:r>
        <w:rPr>
          <w:rStyle w:val="CaptionLabel"/>
        </w:rPr>
        <w:instrText xml:space="preserve"> STYLEREF 1 \S \* MERGEFORMAT </w:instrText>
      </w:r>
      <w:r>
        <w:fldChar w:fldCharType="separate"/>
      </w:r>
      <w:r>
        <w:rPr>
          <w:rStyle w:val="CaptionLabel"/>
          <w:noProof/>
        </w:rPr>
        <w:t>4</w:t>
      </w:r>
      <w:r>
        <w:fldChar w:fldCharType="end"/>
      </w:r>
      <w:r>
        <w:rPr>
          <w:rStyle w:val="CaptionLabel"/>
        </w:rPr>
        <w:t>.</w:t>
      </w:r>
      <w:r>
        <w:fldChar w:fldCharType="begin"/>
      </w:r>
      <w:r>
        <w:rPr>
          <w:rStyle w:val="CaptionLabel"/>
        </w:rPr>
        <w:instrText xml:space="preserve"> SEQ Figure \* ARABIC \S 1 \* MERGEFORMAT </w:instrText>
      </w:r>
      <w:r>
        <w:fldChar w:fldCharType="separate"/>
      </w:r>
      <w:r>
        <w:rPr>
          <w:rStyle w:val="CaptionLabel"/>
          <w:noProof/>
        </w:rPr>
        <w:t>4</w:t>
      </w:r>
      <w:r>
        <w:fldChar w:fldCharType="end"/>
      </w:r>
      <w:bookmarkEnd w:id="149"/>
      <w:r>
        <w:tab/>
        <w:t>Tools and services to help households improve thermal control and manage energy bills</w:t>
      </w:r>
      <w:bookmarkEnd w:id="150"/>
    </w:p>
    <w:p w14:paraId="4AE8CDF7" w14:textId="77777777" w:rsidR="00676882" w:rsidRDefault="00676882" w:rsidP="00676882">
      <w:pPr>
        <w:pStyle w:val="BodyText"/>
        <w:spacing w:after="0"/>
        <w:ind w:left="-1985"/>
      </w:pPr>
      <w:r>
        <w:rPr>
          <w:noProof/>
        </w:rPr>
        <w:drawing>
          <wp:inline distT="0" distB="0" distL="0" distR="0" wp14:anchorId="65DB18AE" wp14:editId="214EB6BC">
            <wp:extent cx="6278495" cy="2752725"/>
            <wp:effectExtent l="0" t="0" r="8255" b="0"/>
            <wp:docPr id="575" name="Picture 575" descr="Information, advice and non-financial support including: Awareness campaigns; Word of mouth communication, role models, or exemplars; General, tailored, or personalised information; Market-based tools and services.&#10;Incentives including: Feedback on an outcome – general, specific and timely; Incentivise desired, or penalise undesired choices; Market structuring.&#10;Financial support including: EEIS financial support, other grants and subsidies; Loans; Government investment in public housing upgrades; Funding for community organisations to provide services.&#10;Support services including: Access to community support services that can assist households; Access to government resources and knowledge.&#10;&#10;&#10;&#10;&#10;&#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 name="Picture 575" descr="Information, advice and non-financial support including: Awareness campaigns; Word of mouth communication, role models, or exemplars; General, tailored, or personalised information; Market-based tools and services.&#10;Incentives including: Feedback on an outcome – general, specific and timely; Incentivise desired, or penalise undesired choices; Market structuring.&#10;Financial support including: EEIS financial support, other grants and subsidies; Loans; Government investment in public housing upgrades; Funding for community organisations to provide services.&#10;Support services including: Access to community support services that can assist households; Access to government resources and knowledge.&#10;&#10;&#10;&#10;&#10;&#10;&#1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285790" cy="2755924"/>
                    </a:xfrm>
                    <a:prstGeom prst="rect">
                      <a:avLst/>
                    </a:prstGeom>
                    <a:noFill/>
                  </pic:spPr>
                </pic:pic>
              </a:graphicData>
            </a:graphic>
          </wp:inline>
        </w:drawing>
      </w:r>
    </w:p>
    <w:p w14:paraId="60325A17" w14:textId="77777777" w:rsidR="00676882" w:rsidRPr="006B0263" w:rsidRDefault="00676882" w:rsidP="00676882">
      <w:pPr>
        <w:pStyle w:val="BodyText"/>
        <w:spacing w:before="0"/>
        <w:ind w:left="-1985"/>
        <w:rPr>
          <w:i/>
          <w:color w:val="000100"/>
          <w:sz w:val="16"/>
        </w:rPr>
      </w:pPr>
      <w:r w:rsidRPr="006B0263">
        <w:rPr>
          <w:i/>
          <w:color w:val="000100"/>
          <w:sz w:val="16"/>
        </w:rPr>
        <w:t>Source: ACIL Allen</w:t>
      </w:r>
    </w:p>
    <w:p w14:paraId="06B70AA3" w14:textId="77777777" w:rsidR="00676882" w:rsidRDefault="00676882" w:rsidP="00676882">
      <w:pPr>
        <w:pStyle w:val="Heading4"/>
      </w:pPr>
      <w:r>
        <w:t>Initiatives that are the most appropriate for the different types of households</w:t>
      </w:r>
    </w:p>
    <w:p w14:paraId="371FC05E" w14:textId="77777777" w:rsidR="00676882" w:rsidRDefault="00676882" w:rsidP="00676882">
      <w:pPr>
        <w:pStyle w:val="BodyText"/>
      </w:pPr>
      <w:r>
        <w:t xml:space="preserve">This section considers which of the types of initiatives illustrated in </w:t>
      </w:r>
      <w:r w:rsidRPr="009E4AB1">
        <w:fldChar w:fldCharType="begin"/>
      </w:r>
      <w:r w:rsidRPr="009E4AB1">
        <w:instrText xml:space="preserve"> REF _Ref80694418 \h  \* MERGEFORMAT </w:instrText>
      </w:r>
      <w:r w:rsidRPr="009E4AB1">
        <w:fldChar w:fldCharType="separate"/>
      </w:r>
      <w:r w:rsidRPr="00F32FCC">
        <w:t>Figure 4.4</w:t>
      </w:r>
      <w:r w:rsidRPr="009E4AB1">
        <w:fldChar w:fldCharType="end"/>
      </w:r>
      <w:r>
        <w:t xml:space="preserve"> would be appropriate to address the barriers to investment in thermal control for rental premises.</w:t>
      </w:r>
    </w:p>
    <w:p w14:paraId="5823B5FB" w14:textId="77777777" w:rsidR="00676882" w:rsidRDefault="00676882" w:rsidP="00676882">
      <w:pPr>
        <w:pStyle w:val="Heading5"/>
      </w:pPr>
      <w:r>
        <w:t>Information, advice and non-financial support</w:t>
      </w:r>
    </w:p>
    <w:p w14:paraId="6D09443C" w14:textId="77777777" w:rsidR="00676882" w:rsidRDefault="00676882" w:rsidP="00676882">
      <w:pPr>
        <w:pStyle w:val="BodyText"/>
      </w:pPr>
      <w:r>
        <w:t>The types of information, advice and non-financial support that can be provided are:</w:t>
      </w:r>
    </w:p>
    <w:p w14:paraId="178B9AC6" w14:textId="77777777" w:rsidR="00676882" w:rsidRDefault="00676882" w:rsidP="00676882">
      <w:pPr>
        <w:pStyle w:val="Caption"/>
        <w:keepNext w:val="0"/>
        <w:numPr>
          <w:ilvl w:val="0"/>
          <w:numId w:val="40"/>
        </w:numPr>
        <w:spacing w:before="70" w:after="70" w:line="280" w:lineRule="atLeast"/>
      </w:pPr>
      <w:r>
        <w:t>educate users on energy consumption and the benefits of improved thermal control</w:t>
      </w:r>
    </w:p>
    <w:p w14:paraId="61BD63D6" w14:textId="77777777" w:rsidR="00676882" w:rsidRDefault="00676882" w:rsidP="00676882">
      <w:pPr>
        <w:pStyle w:val="Caption"/>
        <w:keepNext w:val="0"/>
        <w:numPr>
          <w:ilvl w:val="0"/>
          <w:numId w:val="40"/>
        </w:numPr>
        <w:spacing w:before="70" w:after="70" w:line="280" w:lineRule="atLeast"/>
      </w:pPr>
      <w:r>
        <w:t>promote thermal control disclosure</w:t>
      </w:r>
    </w:p>
    <w:p w14:paraId="39ABF4A4" w14:textId="77777777" w:rsidR="00676882" w:rsidRDefault="00676882" w:rsidP="00676882">
      <w:pPr>
        <w:pStyle w:val="Caption"/>
        <w:keepNext w:val="0"/>
        <w:numPr>
          <w:ilvl w:val="0"/>
          <w:numId w:val="40"/>
        </w:numPr>
        <w:spacing w:before="70" w:after="70" w:line="280" w:lineRule="atLeast"/>
      </w:pPr>
      <w:r>
        <w:t>support development of a national consistent rating scheme for existing homes.</w:t>
      </w:r>
    </w:p>
    <w:p w14:paraId="14D500A3" w14:textId="77777777" w:rsidR="00676882" w:rsidRDefault="00676882" w:rsidP="00676882">
      <w:pPr>
        <w:pStyle w:val="BodyText"/>
      </w:pPr>
      <w:r>
        <w:t>This can be provided in the form of general information or advice (</w:t>
      </w:r>
      <w:proofErr w:type="gramStart"/>
      <w:r>
        <w:t>i.e.</w:t>
      </w:r>
      <w:proofErr w:type="gramEnd"/>
      <w:r>
        <w:t xml:space="preserve"> more specific information).</w:t>
      </w:r>
    </w:p>
    <w:p w14:paraId="4A862483" w14:textId="77777777" w:rsidR="00676882" w:rsidRDefault="00676882" w:rsidP="00676882">
      <w:pPr>
        <w:pStyle w:val="Heading6"/>
      </w:pPr>
      <w:r>
        <w:t>General information</w:t>
      </w:r>
    </w:p>
    <w:p w14:paraId="17339161" w14:textId="77777777" w:rsidR="00676882" w:rsidRDefault="00676882" w:rsidP="00676882">
      <w:pPr>
        <w:pStyle w:val="BodyText"/>
        <w:keepNext/>
      </w:pPr>
      <w:r>
        <w:t xml:space="preserve">General information initiatives include awareness campaigns and the provision of general information. </w:t>
      </w:r>
    </w:p>
    <w:p w14:paraId="305CFD46" w14:textId="77777777" w:rsidR="00676882" w:rsidRDefault="00676882" w:rsidP="00676882">
      <w:pPr>
        <w:pStyle w:val="BodyText"/>
      </w:pPr>
      <w:r>
        <w:t>Information can be used to engage with households to increase their level of motivation to make a choice. That is, to move them from a low or medium level of motivation to a high level of motivation.</w:t>
      </w:r>
    </w:p>
    <w:p w14:paraId="7A6D2165" w14:textId="77777777" w:rsidR="00676882" w:rsidRDefault="00676882" w:rsidP="00676882">
      <w:pPr>
        <w:pStyle w:val="BodyText"/>
      </w:pPr>
      <w:r>
        <w:t xml:space="preserve">Awareness campaigns are generally a low cost means of communicating a simple message to </w:t>
      </w:r>
      <w:proofErr w:type="gramStart"/>
      <w:r>
        <w:t>a large number of</w:t>
      </w:r>
      <w:proofErr w:type="gramEnd"/>
      <w:r>
        <w:t xml:space="preserve"> households. However, the message from an awareness campaign is most likely to resonate with households that already have a high level of motivation (Enthusiasts and Completers) and may assist those with a medium level of motivation (Middle Australia) to increase their level of motivation. </w:t>
      </w:r>
    </w:p>
    <w:p w14:paraId="47A71E05" w14:textId="77777777" w:rsidR="00676882" w:rsidRDefault="00676882" w:rsidP="00676882">
      <w:pPr>
        <w:pStyle w:val="BodyText"/>
      </w:pPr>
      <w:r>
        <w:t xml:space="preserve">Awareness campaigns are unlikely to be effective in motivating tenants and rental providers to improving thermal control and improving energy-efficiency given the presence of the split </w:t>
      </w:r>
      <w:proofErr w:type="gramStart"/>
      <w:r>
        <w:t>incentives</w:t>
      </w:r>
      <w:proofErr w:type="gramEnd"/>
      <w:r>
        <w:t xml:space="preserve"> barrier. </w:t>
      </w:r>
    </w:p>
    <w:p w14:paraId="7137893E" w14:textId="77777777" w:rsidR="00676882" w:rsidRDefault="00676882" w:rsidP="00676882">
      <w:pPr>
        <w:pStyle w:val="Heading6"/>
      </w:pPr>
      <w:r>
        <w:lastRenderedPageBreak/>
        <w:t xml:space="preserve">Advice </w:t>
      </w:r>
    </w:p>
    <w:p w14:paraId="7A991125" w14:textId="77777777" w:rsidR="00676882" w:rsidRDefault="00676882" w:rsidP="00676882">
      <w:pPr>
        <w:pStyle w:val="BodyText"/>
      </w:pPr>
      <w:r>
        <w:t>Advice or non-financial support can be provided in the form of simple personalised information and tailored information.</w:t>
      </w:r>
    </w:p>
    <w:p w14:paraId="5D33C1EF" w14:textId="77777777" w:rsidR="00676882" w:rsidRDefault="00676882" w:rsidP="00676882">
      <w:pPr>
        <w:pStyle w:val="BodyText"/>
      </w:pPr>
      <w:r>
        <w:t>Tailored information is required by those households that have a high ability level but a low level of motivation (Complacent and Competent), and high level of motivation but a low ability level (Dependent and Stuck), as well as Middle Australia. These households either do not have the motivation to seek out the information but have the skills to understand the information or have the motivation to seek out the information but will not necessarily understand the information and so they are not able to act upon that information. The tailored information needs to be proactively provided to these households who may not otherwise seek the information.</w:t>
      </w:r>
    </w:p>
    <w:p w14:paraId="25A3D3A7" w14:textId="77777777" w:rsidR="00676882" w:rsidRDefault="00676882" w:rsidP="00676882">
      <w:pPr>
        <w:pStyle w:val="BodyText"/>
      </w:pPr>
      <w:r>
        <w:t>The provision of simple personalised information through a trusted source is required by those households with a low ability level and a low level of motivation (Cautious and Hard to help). The trusted source is required to communicate the information because these households have a low level of trust and skills. Unless the information is provided proactively in this way, these households will not seek out the information and increase their level of motivation to make a choice to improve the energy efficiency of their homes.</w:t>
      </w:r>
    </w:p>
    <w:p w14:paraId="18FB81BD" w14:textId="77777777" w:rsidR="00676882" w:rsidRDefault="00676882" w:rsidP="00676882">
      <w:pPr>
        <w:pStyle w:val="BodyText"/>
      </w:pPr>
      <w:r>
        <w:t xml:space="preserve">The provision of simple personalised information and tailored information may be effective for some tenants and rental providers, but not all. However, it would be a high-cost policy initiative to be able to tailor or personalise the information for </w:t>
      </w:r>
      <w:proofErr w:type="gramStart"/>
      <w:r>
        <w:t>each and every</w:t>
      </w:r>
      <w:proofErr w:type="gramEnd"/>
      <w:r>
        <w:t xml:space="preserve"> rental property, and ultimately provides no certainty that the thermal comfort of rented properties will be improved.</w:t>
      </w:r>
    </w:p>
    <w:p w14:paraId="03AD01DC" w14:textId="77777777" w:rsidR="00676882" w:rsidRDefault="00676882" w:rsidP="00676882">
      <w:pPr>
        <w:pStyle w:val="Heading5"/>
      </w:pPr>
      <w:r>
        <w:t>Incentives</w:t>
      </w:r>
    </w:p>
    <w:p w14:paraId="1F2D125E" w14:textId="77777777" w:rsidR="00676882" w:rsidRDefault="00676882" w:rsidP="00676882">
      <w:pPr>
        <w:pStyle w:val="BodyText"/>
      </w:pPr>
      <w:r>
        <w:t xml:space="preserve">The provision of some form of incentive for the installation of energy-efficiency features for rented premises (other than in the form of financial support which is discussed below) would be particularly effective for rental providers and tenants with a moderate to high level of ability and motivation (Enthusiasts, Completers and Middle Australia). As tenants and rental providers generally have a low level of motivation, due to the split </w:t>
      </w:r>
      <w:proofErr w:type="gramStart"/>
      <w:r>
        <w:t>incentives</w:t>
      </w:r>
      <w:proofErr w:type="gramEnd"/>
      <w:r>
        <w:t xml:space="preserve"> barrier discussed in Chapter </w:t>
      </w:r>
      <w:r w:rsidRPr="009E4AB1">
        <w:fldChar w:fldCharType="begin"/>
      </w:r>
      <w:r w:rsidRPr="009E4AB1">
        <w:instrText xml:space="preserve"> REF _Ref80698894 \r \h  \* MERGEFORMAT </w:instrText>
      </w:r>
      <w:r w:rsidRPr="009E4AB1">
        <w:fldChar w:fldCharType="separate"/>
      </w:r>
      <w:r>
        <w:t>2</w:t>
      </w:r>
      <w:r w:rsidRPr="009E4AB1">
        <w:fldChar w:fldCharType="end"/>
      </w:r>
      <w:r>
        <w:t>, the provision of incentives is unlikely to be effective in motivating tenants and rental providers to invest in energy efficiency and thermal control features.</w:t>
      </w:r>
    </w:p>
    <w:p w14:paraId="1F265187" w14:textId="77777777" w:rsidR="00676882" w:rsidRDefault="00676882" w:rsidP="00676882">
      <w:pPr>
        <w:pStyle w:val="Heading5"/>
      </w:pPr>
      <w:r>
        <w:t xml:space="preserve">Financial support </w:t>
      </w:r>
    </w:p>
    <w:p w14:paraId="1C12766C" w14:textId="77777777" w:rsidR="00676882" w:rsidRDefault="00676882" w:rsidP="00676882">
      <w:pPr>
        <w:pStyle w:val="BodyText"/>
      </w:pPr>
      <w:r>
        <w:t>The solutions identified that involve financial support are:</w:t>
      </w:r>
    </w:p>
    <w:p w14:paraId="0B55C090" w14:textId="77777777" w:rsidR="00676882" w:rsidRDefault="00676882" w:rsidP="00676882">
      <w:pPr>
        <w:pStyle w:val="Caption"/>
        <w:keepNext w:val="0"/>
        <w:numPr>
          <w:ilvl w:val="0"/>
          <w:numId w:val="41"/>
        </w:numPr>
        <w:spacing w:before="70" w:after="70" w:line="280" w:lineRule="atLeast"/>
      </w:pPr>
      <w:r>
        <w:t>providing grants</w:t>
      </w:r>
    </w:p>
    <w:p w14:paraId="73C9180B" w14:textId="77777777" w:rsidR="00676882" w:rsidRDefault="00676882" w:rsidP="00676882">
      <w:pPr>
        <w:pStyle w:val="Caption"/>
        <w:keepNext w:val="0"/>
        <w:numPr>
          <w:ilvl w:val="0"/>
          <w:numId w:val="41"/>
        </w:numPr>
        <w:spacing w:before="70" w:after="70" w:line="280" w:lineRule="atLeast"/>
      </w:pPr>
      <w:r>
        <w:t>facilitating/enabling increased availability of innovative funding vehicles</w:t>
      </w:r>
    </w:p>
    <w:p w14:paraId="04AC65FF" w14:textId="77777777" w:rsidR="00676882" w:rsidRDefault="00676882" w:rsidP="00676882">
      <w:pPr>
        <w:pStyle w:val="Caption"/>
        <w:keepNext w:val="0"/>
        <w:numPr>
          <w:ilvl w:val="0"/>
          <w:numId w:val="41"/>
        </w:numPr>
        <w:spacing w:before="70" w:after="70" w:line="280" w:lineRule="atLeast"/>
      </w:pPr>
      <w:r>
        <w:t>funding energy savings measures in social housing.</w:t>
      </w:r>
    </w:p>
    <w:p w14:paraId="64D18ED3" w14:textId="77777777" w:rsidR="00676882" w:rsidRDefault="00676882" w:rsidP="00676882">
      <w:pPr>
        <w:pStyle w:val="BodyText"/>
      </w:pPr>
      <w:r>
        <w:t xml:space="preserve">The provision of financial support is an effective policy option where access to funds is the key barrier to </w:t>
      </w:r>
      <w:proofErr w:type="gramStart"/>
      <w:r>
        <w:t>making a decision</w:t>
      </w:r>
      <w:proofErr w:type="gramEnd"/>
      <w:r>
        <w:t xml:space="preserve"> to install ceiling insulation or draught proof, and where the access to funds increases the perceived benefits relative to the costs. It is effective where households have low opportunity due to a lack of liquid funds, but have the ability and motivation to </w:t>
      </w:r>
      <w:proofErr w:type="gramStart"/>
      <w:r>
        <w:t>take action</w:t>
      </w:r>
      <w:proofErr w:type="gramEnd"/>
      <w:r>
        <w:t xml:space="preserve">, or low motivation but high ability and opportunity. </w:t>
      </w:r>
    </w:p>
    <w:p w14:paraId="56610E6A" w14:textId="77777777" w:rsidR="00676882" w:rsidRDefault="00676882" w:rsidP="00676882">
      <w:pPr>
        <w:pStyle w:val="BodyText"/>
      </w:pPr>
      <w:r>
        <w:t xml:space="preserve">However, the provision of financial support is a high-cost policy option to install ceiling insulation and draught proofing in all rented premises in the ACT and provides no certainty that it will be done in each rented property. </w:t>
      </w:r>
    </w:p>
    <w:p w14:paraId="6472E993" w14:textId="77777777" w:rsidR="00676882" w:rsidRDefault="00676882" w:rsidP="00676882">
      <w:pPr>
        <w:pStyle w:val="BodyText"/>
      </w:pPr>
      <w:r>
        <w:t>Regardless of which policy option is pursued, government funding will be required to improve energy-efficiency and thermal control in social housing.</w:t>
      </w:r>
    </w:p>
    <w:p w14:paraId="277789EA" w14:textId="77777777" w:rsidR="00676882" w:rsidRDefault="00676882" w:rsidP="00676882">
      <w:pPr>
        <w:pStyle w:val="Heading5"/>
      </w:pPr>
      <w:r>
        <w:lastRenderedPageBreak/>
        <w:t>Support services</w:t>
      </w:r>
    </w:p>
    <w:p w14:paraId="2FF2A3DC" w14:textId="77777777" w:rsidR="00676882" w:rsidRDefault="00676882" w:rsidP="00676882">
      <w:pPr>
        <w:pStyle w:val="BodyText"/>
      </w:pPr>
      <w:r>
        <w:t>Support services are a very high-cost policy option in which community organisations provide one on one support to help households make choices. These services would most benefit those households with a low level of ability (Cautious, Hard to Help, Dependent and Stuck). Given the high cost, it is not an appropriate policy option for assisting a large cohort such as tenants and ensuring that no tenants are ‘left behind’.</w:t>
      </w:r>
    </w:p>
    <w:p w14:paraId="0A84FE33" w14:textId="77777777" w:rsidR="00676882" w:rsidRDefault="00676882" w:rsidP="00676882">
      <w:pPr>
        <w:pStyle w:val="Heading3"/>
      </w:pPr>
      <w:bookmarkStart w:id="151" w:name="_Toc75339782"/>
      <w:r>
        <w:t>Identifying the appropriate initiative</w:t>
      </w:r>
      <w:bookmarkEnd w:id="151"/>
    </w:p>
    <w:p w14:paraId="2B18A4C0" w14:textId="77777777" w:rsidR="00676882" w:rsidRDefault="00676882" w:rsidP="00676882">
      <w:pPr>
        <w:pStyle w:val="BodyText"/>
      </w:pPr>
      <w:r>
        <w:t xml:space="preserve">Tenants fall into a naturally limited group of households. They inherently have limited rights and significant barriers </w:t>
      </w:r>
      <w:proofErr w:type="gramStart"/>
      <w:r>
        <w:t>with regard to</w:t>
      </w:r>
      <w:proofErr w:type="gramEnd"/>
      <w:r>
        <w:t xml:space="preserve"> investments in their homes, as a result of the split incentive problem. </w:t>
      </w:r>
      <w:proofErr w:type="gramStart"/>
      <w:r>
        <w:t>As a consequence</w:t>
      </w:r>
      <w:proofErr w:type="gramEnd"/>
      <w:r>
        <w:t>, while they may be motivated to improve thermal control in their homes, and manage energy use and costs, they are not motivated or able to invest in thermal control and energy-efficiency of their homes.</w:t>
      </w:r>
    </w:p>
    <w:p w14:paraId="6B751265" w14:textId="77777777" w:rsidR="00676882" w:rsidRPr="00317FC0" w:rsidRDefault="00676882" w:rsidP="00676882">
      <w:pPr>
        <w:pStyle w:val="BodyText"/>
      </w:pPr>
      <w:r>
        <w:t xml:space="preserve">The only policy option that would be effective in ensuring a minimum level of thermal comfort for all rental households is through regulation. Other policy options have either been tested already, are either likely to be ineffective, for example general awareness campaigns, or come at a very high cost, for example, funding the installation of ceiling insulation for all rented premises. </w:t>
      </w:r>
    </w:p>
    <w:p w14:paraId="054F92D3" w14:textId="77777777" w:rsidR="00676882" w:rsidRDefault="00676882" w:rsidP="00676882">
      <w:pPr>
        <w:pStyle w:val="Heading3"/>
      </w:pPr>
      <w:bookmarkStart w:id="152" w:name="_Toc75339783"/>
      <w:bookmarkStart w:id="153" w:name="_Toc74515424"/>
      <w:r>
        <w:t>Regulatory approaches</w:t>
      </w:r>
      <w:bookmarkEnd w:id="152"/>
    </w:p>
    <w:p w14:paraId="58C04BF1" w14:textId="77777777" w:rsidR="00676882" w:rsidRDefault="00676882" w:rsidP="00676882">
      <w:pPr>
        <w:pStyle w:val="BodyText"/>
        <w:keepNext/>
      </w:pPr>
      <w:r>
        <w:t xml:space="preserve">There are </w:t>
      </w:r>
      <w:proofErr w:type="gramStart"/>
      <w:r>
        <w:t>a number of</w:t>
      </w:r>
      <w:proofErr w:type="gramEnd"/>
      <w:r>
        <w:t xml:space="preserve"> ways in which regulation can assist households to improve the thermal comfort of rented homes. These include to:</w:t>
      </w:r>
    </w:p>
    <w:p w14:paraId="642E4B98" w14:textId="77777777" w:rsidR="00676882" w:rsidRDefault="00676882" w:rsidP="00676882">
      <w:pPr>
        <w:pStyle w:val="ListBullet"/>
      </w:pPr>
      <w:r>
        <w:t>mandate energy efficiency disclosure</w:t>
      </w:r>
    </w:p>
    <w:p w14:paraId="5F16E766" w14:textId="77777777" w:rsidR="00676882" w:rsidRDefault="00676882" w:rsidP="00676882">
      <w:pPr>
        <w:pStyle w:val="ListBullet"/>
      </w:pPr>
      <w:r>
        <w:t>enforce an energy-efficiency standard on rental properties</w:t>
      </w:r>
    </w:p>
    <w:p w14:paraId="0CB82473" w14:textId="77777777" w:rsidR="00676882" w:rsidRDefault="00676882" w:rsidP="00676882">
      <w:pPr>
        <w:pStyle w:val="ListBullet"/>
      </w:pPr>
      <w:r>
        <w:t>enforce the provision of energy-efficiency features in rental properties.</w:t>
      </w:r>
    </w:p>
    <w:p w14:paraId="0F5B14F1" w14:textId="77777777" w:rsidR="00676882" w:rsidRDefault="00676882" w:rsidP="00676882">
      <w:pPr>
        <w:pStyle w:val="BodyText"/>
      </w:pPr>
      <w:r>
        <w:t xml:space="preserve">The ACT already mandates disclosure of energy-efficiency for rental properties where a rating already exists — though the existing mandate could be strengthened — it is not considered as an additional approach here. Regulatory approaches which drive improvements to thermal comfort and energy-efficiency typically take the form of prescribed minimum standards. For rental properties, the obligation to meet these standards typically falls on rental providers to provide thermal control features. </w:t>
      </w:r>
    </w:p>
    <w:p w14:paraId="343F07C4" w14:textId="77777777" w:rsidR="00676882" w:rsidRDefault="00676882" w:rsidP="00676882">
      <w:pPr>
        <w:pStyle w:val="BodyText"/>
      </w:pPr>
      <w:r>
        <w:t>Two types of minimum standards exist for thermal control and energy-efficiency:</w:t>
      </w:r>
    </w:p>
    <w:p w14:paraId="7119B61A" w14:textId="77777777" w:rsidR="00676882" w:rsidRDefault="00676882" w:rsidP="00676882">
      <w:pPr>
        <w:pStyle w:val="ListBullet"/>
      </w:pPr>
      <w:r>
        <w:rPr>
          <w:b/>
          <w:bCs/>
        </w:rPr>
        <w:t xml:space="preserve">Performance-based standards </w:t>
      </w:r>
      <w:r>
        <w:t>require rental providers to upgrade their properties’ overall energy efficiency performance to a specified level, as measured by a tool or system chosen by the government. These standards allow rental providers to select the upgrades that will contribute towards the achievement of the mandated standard.</w:t>
      </w:r>
    </w:p>
    <w:p w14:paraId="026C03BA" w14:textId="77777777" w:rsidR="00676882" w:rsidRDefault="00676882" w:rsidP="00676882">
      <w:pPr>
        <w:pStyle w:val="ListBullet"/>
      </w:pPr>
      <w:r>
        <w:rPr>
          <w:b/>
          <w:bCs/>
        </w:rPr>
        <w:t xml:space="preserve">Features-based standards </w:t>
      </w:r>
      <w:r>
        <w:t xml:space="preserve">mandate the types of upgrades that must be undertaken for a property to be legally eligible for lease to potential tenants (or alternatively, the standard that must be complied with at the point of repair or replacement). With each type of upgrade, the rental provider can still choose the </w:t>
      </w:r>
      <w:proofErr w:type="gramStart"/>
      <w:r>
        <w:t>particular brand</w:t>
      </w:r>
      <w:proofErr w:type="gramEnd"/>
      <w:r>
        <w:t>, model or product, as long as it meets the required standard set by the government.</w:t>
      </w:r>
    </w:p>
    <w:p w14:paraId="04D7A8DA" w14:textId="77777777" w:rsidR="00676882" w:rsidRDefault="00676882" w:rsidP="00676882">
      <w:pPr>
        <w:pStyle w:val="BodyText"/>
      </w:pPr>
      <w:r>
        <w:t xml:space="preserve">Both performance-based and features-based approaches have been taken in other jurisdictions. A review of minimum standards for rental properties in other jurisdictions is provided in Appendix </w:t>
      </w:r>
      <w:r w:rsidRPr="009E4AB1">
        <w:fldChar w:fldCharType="begin"/>
      </w:r>
      <w:r w:rsidRPr="009E4AB1">
        <w:instrText xml:space="preserve"> REF _Ref75435033 \r \h  \* MERGEFORMAT </w:instrText>
      </w:r>
      <w:r w:rsidRPr="009E4AB1">
        <w:fldChar w:fldCharType="separate"/>
      </w:r>
      <w:r>
        <w:t>A</w:t>
      </w:r>
      <w:r w:rsidRPr="009E4AB1">
        <w:fldChar w:fldCharType="end"/>
      </w:r>
      <w:r>
        <w:t>.</w:t>
      </w:r>
    </w:p>
    <w:p w14:paraId="6075621A" w14:textId="77777777" w:rsidR="00676882" w:rsidRDefault="00676882" w:rsidP="00676882">
      <w:pPr>
        <w:pStyle w:val="BodyText"/>
      </w:pPr>
      <w:r>
        <w:t xml:space="preserve">Performance-based standards are relatively more complicated than features-based standards, and typically have higher administration and compliance costs. However, given the holistic nature of thermal control in households, they allow more flexibility for rental providers (and households generally) to improve thermal control and energy efficiency in ways that best suit their conditions — potentially improving outcomes and lowering costs. </w:t>
      </w:r>
    </w:p>
    <w:p w14:paraId="1241650B" w14:textId="77777777" w:rsidR="00676882" w:rsidRDefault="00676882" w:rsidP="00676882">
      <w:pPr>
        <w:pStyle w:val="BodyText"/>
      </w:pPr>
      <w:r>
        <w:lastRenderedPageBreak/>
        <w:t xml:space="preserve">While all households will be able to improve the energy efficiency of their homes through raising mandatory codes and standards, those households for which these types of initiatives are most appropriate are those that have low ability (Dependent, Stuck, Cautious and Hard to help) and would not </w:t>
      </w:r>
      <w:proofErr w:type="gramStart"/>
      <w:r>
        <w:t>take action</w:t>
      </w:r>
      <w:proofErr w:type="gramEnd"/>
      <w:r>
        <w:t xml:space="preserve"> in the absence of regulation. They are also appropriate initiatives for middle Australia and for households with a high ability level but have a low level of motivation and/or are tenants (Complacent and Competent). </w:t>
      </w:r>
    </w:p>
    <w:p w14:paraId="71CE06DF" w14:textId="77777777" w:rsidR="00676882" w:rsidRDefault="00676882" w:rsidP="00676882">
      <w:pPr>
        <w:pStyle w:val="BodyText"/>
      </w:pPr>
      <w:r>
        <w:t>Households that have high ability and high motivation (Enthusiasts and Completers) can benefit from the availability of energy ratings and energy efficiency disclosure without the necessity to mandate them. However, as discussed above, tenants and rental providers generally do not have high motivation to invest in thermal control and energy-efficiency.</w:t>
      </w:r>
    </w:p>
    <w:p w14:paraId="07EA9BD7" w14:textId="77777777" w:rsidR="00676882" w:rsidRPr="00003719" w:rsidRDefault="00676882" w:rsidP="00676882">
      <w:pPr>
        <w:pStyle w:val="Heading2"/>
      </w:pPr>
      <w:bookmarkStart w:id="154" w:name="_Ref75168689"/>
      <w:bookmarkStart w:id="155" w:name="_Toc75339650"/>
      <w:bookmarkStart w:id="156" w:name="_Toc75339741"/>
      <w:bookmarkStart w:id="157" w:name="_Toc75339754"/>
      <w:bookmarkStart w:id="158" w:name="_Toc75339784"/>
      <w:bookmarkStart w:id="159" w:name="_Toc80712589"/>
      <w:r>
        <w:t>Options considered</w:t>
      </w:r>
      <w:bookmarkEnd w:id="154"/>
      <w:bookmarkEnd w:id="155"/>
      <w:bookmarkEnd w:id="156"/>
      <w:bookmarkEnd w:id="157"/>
      <w:bookmarkEnd w:id="158"/>
      <w:bookmarkEnd w:id="159"/>
    </w:p>
    <w:p w14:paraId="4E694046" w14:textId="77777777" w:rsidR="00676882" w:rsidRDefault="00676882" w:rsidP="00676882">
      <w:pPr>
        <w:pStyle w:val="BodyText"/>
      </w:pPr>
      <w:r>
        <w:t xml:space="preserve">This section outlines the approaches considered in detail in the remainder of this RIS. The options comprise one performance-based option and two features-based options. A </w:t>
      </w:r>
      <w:proofErr w:type="gramStart"/>
      <w:r>
        <w:t>business as usual</w:t>
      </w:r>
      <w:proofErr w:type="gramEnd"/>
      <w:r>
        <w:t xml:space="preserve"> option (no additional regulation) has also been considered and is used as a comparison for the other options. </w:t>
      </w:r>
    </w:p>
    <w:p w14:paraId="36D3ADF9" w14:textId="77777777" w:rsidR="00676882" w:rsidRDefault="00676882" w:rsidP="00676882">
      <w:pPr>
        <w:pStyle w:val="BodyText"/>
      </w:pPr>
      <w:r>
        <w:t>Two standards have been considered for each of ceiling insulation and performance standards. These are additional sub-options.</w:t>
      </w:r>
    </w:p>
    <w:p w14:paraId="71C5FC8D" w14:textId="77777777" w:rsidR="00676882" w:rsidRDefault="00676882" w:rsidP="00676882">
      <w:pPr>
        <w:pStyle w:val="BodyText"/>
      </w:pPr>
      <w:r>
        <w:t xml:space="preserve">For each of the three regulatory options considered, a two-year and a four-year phase in period has been considered as sub-options. For each option, a rental provider must meet the standards at the start of a new tenancy or at the cut-off date of each phase-in period. </w:t>
      </w:r>
    </w:p>
    <w:p w14:paraId="537697EB" w14:textId="77777777" w:rsidR="00676882" w:rsidRDefault="00676882" w:rsidP="00676882">
      <w:pPr>
        <w:pStyle w:val="BodyText"/>
      </w:pPr>
      <w:r>
        <w:t xml:space="preserve">In total, three options with two additional stringency standards, with two phase-in periods each have been considered for a total of ten modelled options considered — in addition to business as usual (see </w:t>
      </w:r>
      <w:r w:rsidRPr="009E4AB1">
        <w:fldChar w:fldCharType="begin"/>
      </w:r>
      <w:r w:rsidRPr="009E4AB1">
        <w:instrText xml:space="preserve"> REF _Ref80694428 \h  \* MERGEFORMAT </w:instrText>
      </w:r>
      <w:r w:rsidRPr="009E4AB1">
        <w:fldChar w:fldCharType="separate"/>
      </w:r>
      <w:r w:rsidRPr="00F32FCC">
        <w:t>Figure 4.5</w:t>
      </w:r>
      <w:r w:rsidRPr="009E4AB1">
        <w:fldChar w:fldCharType="end"/>
      </w:r>
      <w:r>
        <w:t>).</w:t>
      </w:r>
    </w:p>
    <w:p w14:paraId="07AF0564" w14:textId="77777777" w:rsidR="00676882" w:rsidRDefault="00676882" w:rsidP="00676882">
      <w:pPr>
        <w:pStyle w:val="BodyText"/>
      </w:pPr>
      <w:bookmarkStart w:id="160" w:name="_Ref80694428"/>
      <w:bookmarkStart w:id="161" w:name="_Toc80719260"/>
      <w:r w:rsidRPr="00723E89">
        <w:rPr>
          <w:rStyle w:val="CaptionLabel"/>
        </w:rPr>
        <w:t>Figure </w:t>
      </w:r>
      <w:r w:rsidRPr="00723E89">
        <w:rPr>
          <w:rStyle w:val="CaptionLabel"/>
        </w:rPr>
        <w:fldChar w:fldCharType="begin"/>
      </w:r>
      <w:r w:rsidRPr="00723E89">
        <w:rPr>
          <w:rStyle w:val="CaptionLabel"/>
        </w:rPr>
        <w:instrText xml:space="preserve"> STYLEREF 1 \S \* MERGEFORMAT </w:instrText>
      </w:r>
      <w:r w:rsidRPr="00723E89">
        <w:rPr>
          <w:rStyle w:val="CaptionLabel"/>
        </w:rPr>
        <w:fldChar w:fldCharType="separate"/>
      </w:r>
      <w:r>
        <w:rPr>
          <w:rStyle w:val="CaptionLabel"/>
          <w:noProof/>
        </w:rPr>
        <w:t>4</w:t>
      </w:r>
      <w:r w:rsidRPr="00723E89">
        <w:rPr>
          <w:rStyle w:val="CaptionLabel"/>
        </w:rPr>
        <w:fldChar w:fldCharType="end"/>
      </w:r>
      <w:r w:rsidRPr="00723E89">
        <w:rPr>
          <w:rStyle w:val="CaptionLabel"/>
        </w:rPr>
        <w:t>.</w:t>
      </w:r>
      <w:r w:rsidRPr="00723E89">
        <w:rPr>
          <w:rStyle w:val="CaptionLabel"/>
        </w:rPr>
        <w:fldChar w:fldCharType="begin"/>
      </w:r>
      <w:r w:rsidRPr="00723E89">
        <w:rPr>
          <w:rStyle w:val="CaptionLabel"/>
        </w:rPr>
        <w:instrText xml:space="preserve"> SEQ Figure \* ARABIC \S 1 \* MERGEFORMAT </w:instrText>
      </w:r>
      <w:r w:rsidRPr="00723E89">
        <w:rPr>
          <w:rStyle w:val="CaptionLabel"/>
        </w:rPr>
        <w:fldChar w:fldCharType="separate"/>
      </w:r>
      <w:r>
        <w:rPr>
          <w:rStyle w:val="CaptionLabel"/>
          <w:noProof/>
        </w:rPr>
        <w:t>5</w:t>
      </w:r>
      <w:r w:rsidRPr="00723E89">
        <w:rPr>
          <w:rStyle w:val="CaptionLabel"/>
        </w:rPr>
        <w:fldChar w:fldCharType="end"/>
      </w:r>
      <w:bookmarkEnd w:id="160"/>
      <w:r>
        <w:tab/>
        <w:t>Modelled options</w:t>
      </w:r>
      <w:bookmarkEnd w:id="161"/>
    </w:p>
    <w:p w14:paraId="606E79D5" w14:textId="77777777" w:rsidR="00676882" w:rsidRDefault="00676882" w:rsidP="00676882">
      <w:pPr>
        <w:pStyle w:val="BodyText"/>
        <w:spacing w:after="0" w:line="0" w:lineRule="atLeast"/>
      </w:pPr>
      <w:r>
        <w:rPr>
          <w:noProof/>
        </w:rPr>
        <w:drawing>
          <wp:inline distT="0" distB="0" distL="0" distR="0" wp14:anchorId="63C516DF" wp14:editId="1B0B5B48">
            <wp:extent cx="5010150" cy="2405565"/>
            <wp:effectExtent l="0" t="0" r="0" b="0"/>
            <wp:docPr id="576" name="Picture 576" descr="a) Insulation R3 - 2 year phase-in&#10;b) Insulation R3 - 4 year phase-in&#10;c) Insulation R5 - 2 year phase-in&#10;d) Insulation R5 - 4 year phase-in&#10;e) Heater - 2 year phase-in&#10;f) Heater - 4 year phase-in&#10;g) Performance 2S - 2 year phase-in&#10;h) Performance 2S - 4 year phase-in&#10;i) Performance 3S - 2 year phase-in&#10;j) Performance 3S - 4 year phase-i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Picture 576" descr="a) Insulation R3 - 2 year phase-in&#10;b) Insulation R3 - 4 year phase-in&#10;c) Insulation R5 - 2 year phase-in&#10;d) Insulation R5 - 4 year phase-in&#10;e) Heater - 2 year phase-in&#10;f) Heater - 4 year phase-in&#10;g) Performance 2S - 2 year phase-in&#10;h) Performance 2S - 4 year phase-in&#10;i) Performance 3S - 2 year phase-in&#10;j) Performance 3S - 4 year phase-in&#10;"/>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017038" cy="2408872"/>
                    </a:xfrm>
                    <a:prstGeom prst="rect">
                      <a:avLst/>
                    </a:prstGeom>
                    <a:noFill/>
                  </pic:spPr>
                </pic:pic>
              </a:graphicData>
            </a:graphic>
          </wp:inline>
        </w:drawing>
      </w:r>
    </w:p>
    <w:p w14:paraId="0944DC8A" w14:textId="77777777" w:rsidR="00676882" w:rsidRPr="006B0263" w:rsidRDefault="00676882" w:rsidP="00676882">
      <w:pPr>
        <w:pStyle w:val="BodyText"/>
        <w:keepNext/>
        <w:keepLines/>
        <w:spacing w:before="0" w:line="20" w:lineRule="atLeast"/>
        <w:rPr>
          <w:i/>
          <w:color w:val="000100"/>
          <w:sz w:val="16"/>
        </w:rPr>
      </w:pPr>
      <w:r w:rsidRPr="006B0263">
        <w:rPr>
          <w:i/>
          <w:color w:val="000100"/>
          <w:sz w:val="16"/>
        </w:rPr>
        <w:t>Source: ACIL Allen</w:t>
      </w:r>
    </w:p>
    <w:p w14:paraId="31CD4CC9" w14:textId="77777777" w:rsidR="00676882" w:rsidRDefault="00676882" w:rsidP="00676882">
      <w:pPr>
        <w:pStyle w:val="Heading4"/>
      </w:pPr>
      <w:r>
        <w:t>Stakeholder perspectives</w:t>
      </w:r>
    </w:p>
    <w:p w14:paraId="2C078CC5" w14:textId="77777777" w:rsidR="00676882" w:rsidRDefault="00676882" w:rsidP="00676882">
      <w:pPr>
        <w:pStyle w:val="BodyText"/>
      </w:pPr>
      <w:r>
        <w:t xml:space="preserve">Stakeholder opinions on the proposed options were mixed. From consultation with groups representing tenants, rental providers, industry and the community, no consensus preference emerged for one option over the other two. Some stakeholders believe that draught proofing should be included in place, or in addition to the features-based options to make them more effective. Stakeholder opinions on the proposed options are described in Appendix </w:t>
      </w:r>
      <w:r w:rsidRPr="009E4AB1">
        <w:fldChar w:fldCharType="begin"/>
      </w:r>
      <w:r w:rsidRPr="009E4AB1">
        <w:instrText xml:space="preserve"> REF _Ref75435056 \r \h  \* MERGEFORMAT </w:instrText>
      </w:r>
      <w:r w:rsidRPr="009E4AB1">
        <w:fldChar w:fldCharType="separate"/>
      </w:r>
      <w:r>
        <w:t>E</w:t>
      </w:r>
      <w:r w:rsidRPr="009E4AB1">
        <w:fldChar w:fldCharType="end"/>
      </w:r>
      <w:r>
        <w:t xml:space="preserve">. </w:t>
      </w:r>
    </w:p>
    <w:p w14:paraId="38B01B90" w14:textId="77777777" w:rsidR="00676882" w:rsidRPr="00003719" w:rsidRDefault="00676882" w:rsidP="00676882">
      <w:pPr>
        <w:pStyle w:val="BodyText"/>
      </w:pPr>
      <w:r>
        <w:lastRenderedPageBreak/>
        <w:t xml:space="preserve">Rental providers, tenants and owner-occupiers were asked about their preferences over the proposed options. Rental providers and owner-occupiers preferred a performance-standard most, and an energy-efficient heater least. Tenants preferred an energy-efficient heater most, and a performance-standard least. Details of the survey results are described in section </w:t>
      </w:r>
      <w:r w:rsidRPr="009E4AB1">
        <w:fldChar w:fldCharType="begin"/>
      </w:r>
      <w:r w:rsidRPr="009E4AB1">
        <w:instrText xml:space="preserve"> REF _Ref75344658 \r \h  \* MERGEFORMAT </w:instrText>
      </w:r>
      <w:r w:rsidRPr="009E4AB1">
        <w:fldChar w:fldCharType="separate"/>
      </w:r>
      <w:r>
        <w:t>F.2</w:t>
      </w:r>
      <w:r w:rsidRPr="009E4AB1">
        <w:fldChar w:fldCharType="end"/>
      </w:r>
      <w:r>
        <w:t>.</w:t>
      </w:r>
    </w:p>
    <w:p w14:paraId="571E2D6A" w14:textId="77777777" w:rsidR="00676882" w:rsidRDefault="00676882" w:rsidP="00676882">
      <w:pPr>
        <w:pStyle w:val="Heading3"/>
      </w:pPr>
      <w:bookmarkStart w:id="162" w:name="_Toc75339785"/>
      <w:r>
        <w:t>Business as usual</w:t>
      </w:r>
      <w:bookmarkEnd w:id="162"/>
    </w:p>
    <w:p w14:paraId="3BC12E00" w14:textId="77777777" w:rsidR="00676882" w:rsidRPr="00FD76D4" w:rsidRDefault="00676882" w:rsidP="00676882">
      <w:pPr>
        <w:pStyle w:val="BodyText"/>
      </w:pPr>
      <w:r>
        <w:t xml:space="preserve">This option provides a baseline, against which the other options are compared. The </w:t>
      </w:r>
      <w:proofErr w:type="gramStart"/>
      <w:r>
        <w:t>business as usual</w:t>
      </w:r>
      <w:proofErr w:type="gramEnd"/>
      <w:r>
        <w:t xml:space="preserve"> case is a potentially preferred option if the positive impacts of regulation are not commensurate with the costs.</w:t>
      </w:r>
    </w:p>
    <w:p w14:paraId="7D0E7E74" w14:textId="77777777" w:rsidR="00676882" w:rsidRDefault="00676882" w:rsidP="00676882">
      <w:pPr>
        <w:pStyle w:val="Heading3"/>
      </w:pPr>
      <w:bookmarkStart w:id="163" w:name="_Toc75339786"/>
      <w:r>
        <w:t>Ceiling insulation</w:t>
      </w:r>
      <w:bookmarkEnd w:id="163"/>
    </w:p>
    <w:p w14:paraId="30161AC8" w14:textId="77777777" w:rsidR="00676882" w:rsidRPr="0031552A" w:rsidRDefault="00676882" w:rsidP="00676882">
      <w:pPr>
        <w:pStyle w:val="BodyText"/>
        <w:rPr>
          <w:lang w:eastAsia="ja-JP"/>
        </w:rPr>
      </w:pPr>
      <w:r>
        <w:rPr>
          <w:lang w:eastAsia="ja-JP"/>
        </w:rPr>
        <w:t>Two ceiling insulation standard options are being considered:</w:t>
      </w:r>
    </w:p>
    <w:p w14:paraId="5B0E4132" w14:textId="77777777" w:rsidR="00676882" w:rsidRDefault="00676882" w:rsidP="00676882">
      <w:pPr>
        <w:pStyle w:val="ListBullet"/>
        <w:rPr>
          <w:rFonts w:asciiTheme="minorHAnsi" w:hAnsiTheme="minorHAnsi" w:cstheme="minorBidi"/>
          <w:lang w:eastAsia="ja-JP"/>
        </w:rPr>
      </w:pPr>
      <w:r>
        <w:rPr>
          <w:lang w:eastAsia="ja-JP"/>
        </w:rPr>
        <w:t xml:space="preserve">Rental homes with less than R2 ceiling insulation (see </w:t>
      </w:r>
      <w:r w:rsidRPr="009E4AB1">
        <w:fldChar w:fldCharType="begin"/>
      </w:r>
      <w:r w:rsidRPr="009E4AB1">
        <w:instrText xml:space="preserve"> REF _Ref75170962 \h  \* MERGEFORMAT </w:instrText>
      </w:r>
      <w:r w:rsidRPr="009E4AB1">
        <w:fldChar w:fldCharType="separate"/>
      </w:r>
      <w:r w:rsidRPr="00F32FCC">
        <w:t>Box 4.1</w:t>
      </w:r>
      <w:r w:rsidRPr="009E4AB1">
        <w:fldChar w:fldCharType="end"/>
      </w:r>
      <w:r>
        <w:rPr>
          <w:lang w:eastAsia="ja-JP"/>
        </w:rPr>
        <w:t>) are required to install/upgrade to a minimum of R3 with a phase in period.</w:t>
      </w:r>
    </w:p>
    <w:p w14:paraId="4CE81380" w14:textId="77777777" w:rsidR="00676882" w:rsidRDefault="00676882" w:rsidP="00676882">
      <w:pPr>
        <w:pStyle w:val="ListBullet"/>
      </w:pPr>
      <w:r>
        <w:rPr>
          <w:lang w:eastAsia="ja-JP"/>
        </w:rPr>
        <w:t>Rental homes with less than R2 ceiling insulation are required to install/upgrade to a minimum of R5 (or maximum possible where R5 is not possible) with a phase in period.</w:t>
      </w:r>
    </w:p>
    <w:tbl>
      <w:tblPr>
        <w:tblW w:w="0" w:type="auto"/>
        <w:tblLayout w:type="fixed"/>
        <w:tblCellMar>
          <w:left w:w="0" w:type="dxa"/>
          <w:right w:w="0" w:type="dxa"/>
        </w:tblCellMar>
        <w:tblLook w:val="0000" w:firstRow="0" w:lastRow="0" w:firstColumn="0" w:lastColumn="0" w:noHBand="0" w:noVBand="0"/>
        <w:tblCaption w:val="Box 4.1"/>
        <w:tblDescription w:val="R-value for insulation"/>
      </w:tblPr>
      <w:tblGrid>
        <w:gridCol w:w="7936"/>
      </w:tblGrid>
      <w:tr w:rsidR="00676882" w14:paraId="1A870129" w14:textId="77777777" w:rsidTr="00DF45FA">
        <w:tc>
          <w:tcPr>
            <w:tcW w:w="7936" w:type="dxa"/>
            <w:shd w:val="clear" w:color="auto" w:fill="auto"/>
            <w:tcMar>
              <w:top w:w="160" w:type="dxa"/>
              <w:bottom w:w="8" w:type="dxa"/>
            </w:tcMar>
          </w:tcPr>
          <w:p w14:paraId="7E40E465" w14:textId="77777777" w:rsidR="00676882" w:rsidRDefault="00676882" w:rsidP="00DF45FA">
            <w:pPr>
              <w:pStyle w:val="Caption"/>
            </w:pPr>
            <w:bookmarkStart w:id="164" w:name="_Ref75170962"/>
            <w:bookmarkStart w:id="165" w:name="_Toc80694208"/>
            <w:bookmarkStart w:id="166" w:name="_Toc80719357"/>
            <w:r w:rsidRPr="0031552A">
              <w:rPr>
                <w:rStyle w:val="CaptionLabel"/>
              </w:rPr>
              <w:t>Box </w:t>
            </w:r>
            <w:r w:rsidRPr="0031552A">
              <w:rPr>
                <w:rStyle w:val="CaptionLabel"/>
              </w:rPr>
              <w:fldChar w:fldCharType="begin"/>
            </w:r>
            <w:r w:rsidRPr="0031552A">
              <w:rPr>
                <w:rStyle w:val="CaptionLabel"/>
              </w:rPr>
              <w:instrText xml:space="preserve"> STYLEREF 1 \S \* MERGEFORMAT </w:instrText>
            </w:r>
            <w:r w:rsidRPr="0031552A">
              <w:rPr>
                <w:rStyle w:val="CaptionLabel"/>
              </w:rPr>
              <w:fldChar w:fldCharType="separate"/>
            </w:r>
            <w:r>
              <w:rPr>
                <w:rStyle w:val="CaptionLabel"/>
                <w:noProof/>
              </w:rPr>
              <w:t>4</w:t>
            </w:r>
            <w:r w:rsidRPr="0031552A">
              <w:rPr>
                <w:rStyle w:val="CaptionLabel"/>
              </w:rPr>
              <w:fldChar w:fldCharType="end"/>
            </w:r>
            <w:r w:rsidRPr="0031552A">
              <w:rPr>
                <w:rStyle w:val="CaptionLabel"/>
              </w:rPr>
              <w:t>.</w:t>
            </w:r>
            <w:r w:rsidRPr="0031552A">
              <w:rPr>
                <w:rStyle w:val="CaptionLabel"/>
              </w:rPr>
              <w:fldChar w:fldCharType="begin"/>
            </w:r>
            <w:r w:rsidRPr="0031552A">
              <w:rPr>
                <w:rStyle w:val="CaptionLabel"/>
              </w:rPr>
              <w:instrText xml:space="preserve"> SEQ Box \* ARABIC \S 1 \* MERGEFORMAT </w:instrText>
            </w:r>
            <w:r w:rsidRPr="0031552A">
              <w:rPr>
                <w:rStyle w:val="CaptionLabel"/>
              </w:rPr>
              <w:fldChar w:fldCharType="separate"/>
            </w:r>
            <w:r>
              <w:rPr>
                <w:rStyle w:val="CaptionLabel"/>
                <w:noProof/>
              </w:rPr>
              <w:t>1</w:t>
            </w:r>
            <w:r w:rsidRPr="0031552A">
              <w:rPr>
                <w:rStyle w:val="CaptionLabel"/>
              </w:rPr>
              <w:fldChar w:fldCharType="end"/>
            </w:r>
            <w:bookmarkEnd w:id="164"/>
            <w:r>
              <w:tab/>
              <w:t>R-value for insulation</w:t>
            </w:r>
            <w:bookmarkEnd w:id="165"/>
            <w:bookmarkEnd w:id="166"/>
          </w:p>
        </w:tc>
      </w:tr>
      <w:tr w:rsidR="00676882" w14:paraId="78F573A8" w14:textId="77777777" w:rsidTr="00DF45FA">
        <w:tc>
          <w:tcPr>
            <w:tcW w:w="7936" w:type="dxa"/>
            <w:shd w:val="clear" w:color="auto" w:fill="E5E5E5"/>
            <w:tcMar>
              <w:top w:w="112" w:type="dxa"/>
              <w:bottom w:w="184" w:type="dxa"/>
              <w:right w:w="120" w:type="dxa"/>
            </w:tcMar>
          </w:tcPr>
          <w:p w14:paraId="48444F25" w14:textId="77777777" w:rsidR="00676882" w:rsidRDefault="00676882" w:rsidP="00DF45FA">
            <w:pPr>
              <w:pStyle w:val="BoxText"/>
            </w:pPr>
            <w:r>
              <w:t xml:space="preserve">The R-value of ceiling insulation is a measure of the ability of insulation to resist heat flow. It is given as R, followed by a number. </w:t>
            </w:r>
          </w:p>
          <w:p w14:paraId="7F9D22B1" w14:textId="77777777" w:rsidR="00676882" w:rsidRDefault="00676882" w:rsidP="00DF45FA">
            <w:pPr>
              <w:pStyle w:val="BoxText"/>
            </w:pPr>
            <w:r>
              <w:t xml:space="preserve">The R-value is a measured value of insulation material or of an installation of insulation materials. It is a function of the type of material, the thickness, and the way it is fitted. A higher R-value indicates a higher degree of thermal resistance, and therefore improved thermal control. </w:t>
            </w:r>
          </w:p>
          <w:p w14:paraId="4A48E1DA" w14:textId="77777777" w:rsidR="00676882" w:rsidRDefault="00676882" w:rsidP="00DF45FA">
            <w:pPr>
              <w:pStyle w:val="BoxText"/>
            </w:pPr>
            <w:r>
              <w:t>Newer buildings in Canberra require a minimum rooftop R-value of 4.1, and wall insulation R-value or 2.8. Meeting minimum whole-of-house energy efficiency standards often mean that R-values above this level are used, though the R-value varies from house to house.</w:t>
            </w:r>
          </w:p>
          <w:p w14:paraId="690D4448" w14:textId="77777777" w:rsidR="00676882" w:rsidRDefault="00676882" w:rsidP="00DF45FA">
            <w:pPr>
              <w:pStyle w:val="BoxText"/>
            </w:pPr>
            <w:r>
              <w:t xml:space="preserve">While a material may have an R-value, the quality of the installation can affect the actual benefit. For example, even small gaps in the insulation may dramatically decrease performance. Accordingly, the National Construction Code </w:t>
            </w:r>
            <w:proofErr w:type="gramStart"/>
            <w:r>
              <w:t>makes adjustments</w:t>
            </w:r>
            <w:proofErr w:type="gramEnd"/>
            <w:r>
              <w:t xml:space="preserve"> for the minimum R-value of new constructions for the per cent of ceiling area uninsulated. For example, for a property to meet an R2.5 rating with between </w:t>
            </w:r>
            <w:r>
              <w:br/>
              <w:t xml:space="preserve">4-5 per cent of the ceiling area uninsulated, the adjusted requirement is R5 materials to compensate. There is no adjustment possible with ceiling gaps of over 5 per cent </w:t>
            </w:r>
            <w:sdt>
              <w:sdtPr>
                <w:id w:val="-36813202"/>
                <w:citation/>
              </w:sdtPr>
              <w:sdtContent>
                <w:r>
                  <w:fldChar w:fldCharType="begin"/>
                </w:r>
                <w:r>
                  <w:instrText xml:space="preserve"> CITATION ABC19 \l 3081 </w:instrText>
                </w:r>
                <w:r>
                  <w:fldChar w:fldCharType="separate"/>
                </w:r>
                <w:r>
                  <w:rPr>
                    <w:noProof/>
                  </w:rPr>
                  <w:t>(ABCB, 2019)</w:t>
                </w:r>
                <w:r>
                  <w:fldChar w:fldCharType="end"/>
                </w:r>
              </w:sdtContent>
            </w:sdt>
            <w:r>
              <w:t xml:space="preserve"> – section 3.12.1.3. Likewise, materials may degrade over time which can affect the R-value. </w:t>
            </w:r>
          </w:p>
          <w:p w14:paraId="3D016110" w14:textId="77777777" w:rsidR="00676882" w:rsidRDefault="00676882" w:rsidP="00DF45FA">
            <w:pPr>
              <w:pStyle w:val="BoxText"/>
            </w:pPr>
            <w:r>
              <w:t>The degree to which a particular R-value is appropriate depends on the climate. Warmer climates may require a lower R-value to provide thermal comfort, while alpine climates (like parts of the ACT) may only be comfortable at high R-values of R6 or more.</w:t>
            </w:r>
          </w:p>
        </w:tc>
      </w:tr>
      <w:tr w:rsidR="00676882" w14:paraId="1E321445" w14:textId="77777777" w:rsidTr="00DF45FA">
        <w:tc>
          <w:tcPr>
            <w:tcW w:w="7936" w:type="dxa"/>
            <w:shd w:val="clear" w:color="auto" w:fill="auto"/>
            <w:tcMar>
              <w:top w:w="12" w:type="dxa"/>
              <w:bottom w:w="113" w:type="dxa"/>
            </w:tcMar>
          </w:tcPr>
          <w:p w14:paraId="7B62F3DB" w14:textId="77777777" w:rsidR="00676882" w:rsidRDefault="00676882" w:rsidP="00DF45FA">
            <w:pPr>
              <w:pStyle w:val="Source"/>
            </w:pPr>
            <w:r>
              <w:t>Source: ACIL Allen</w:t>
            </w:r>
          </w:p>
        </w:tc>
      </w:tr>
    </w:tbl>
    <w:p w14:paraId="02404A5A" w14:textId="77777777" w:rsidR="00676882" w:rsidRDefault="00676882" w:rsidP="00676882">
      <w:pPr>
        <w:pStyle w:val="Heading3"/>
      </w:pPr>
      <w:bookmarkStart w:id="167" w:name="_Toc75339787"/>
      <w:r>
        <w:t>Energy-efficient heater</w:t>
      </w:r>
      <w:bookmarkEnd w:id="167"/>
    </w:p>
    <w:p w14:paraId="77710368" w14:textId="77777777" w:rsidR="00676882" w:rsidRPr="00A86300" w:rsidRDefault="00676882" w:rsidP="00676882">
      <w:pPr>
        <w:pStyle w:val="BodyText"/>
      </w:pPr>
      <w:r>
        <w:t>The energy efficient heater standard being considered is:</w:t>
      </w:r>
    </w:p>
    <w:p w14:paraId="459CAD23" w14:textId="77777777" w:rsidR="00676882" w:rsidRDefault="00676882" w:rsidP="00676882">
      <w:pPr>
        <w:pStyle w:val="ListBullet"/>
        <w:rPr>
          <w:rFonts w:asciiTheme="minorHAnsi" w:hAnsiTheme="minorHAnsi" w:cstheme="minorBidi"/>
        </w:rPr>
      </w:pPr>
      <w:r>
        <w:t>Rental homes without a fixed heater must install a minimum 1.5 star fixed electric heat pump heater that can heat the living area with a phase in period.</w:t>
      </w:r>
      <w:r>
        <w:rPr>
          <w:rStyle w:val="FootnoteReference"/>
        </w:rPr>
        <w:footnoteReference w:id="4"/>
      </w:r>
    </w:p>
    <w:p w14:paraId="26AAE7F7" w14:textId="77777777" w:rsidR="00676882" w:rsidRDefault="00676882" w:rsidP="00676882">
      <w:pPr>
        <w:pStyle w:val="ListBullet"/>
      </w:pPr>
      <w:r>
        <w:lastRenderedPageBreak/>
        <w:t>Rental homes with fixed resistance electric heater/s or a resistance electric concrete slab heater must be replaced with a minimum 1.5 star fixed electric heat pump heater that can heat the living area with a phase in period.</w:t>
      </w:r>
    </w:p>
    <w:p w14:paraId="0591B6D1" w14:textId="77777777" w:rsidR="00676882" w:rsidRDefault="00676882" w:rsidP="00676882">
      <w:pPr>
        <w:pStyle w:val="ListBullet"/>
      </w:pPr>
      <w:r>
        <w:t xml:space="preserve">Other heaters in rental homes must be replaced at end of life or, if demonstrably older than 20 years, within the phase in period, by a minimum 1.5 star fixed electric heat pump heater that can heat the living area. </w:t>
      </w:r>
    </w:p>
    <w:p w14:paraId="421F195D" w14:textId="77777777" w:rsidR="00676882" w:rsidRDefault="00676882" w:rsidP="00676882">
      <w:pPr>
        <w:pStyle w:val="Heading3"/>
      </w:pPr>
      <w:bookmarkStart w:id="168" w:name="_Toc75339788"/>
      <w:r>
        <w:t>Performance standard</w:t>
      </w:r>
      <w:bookmarkEnd w:id="168"/>
    </w:p>
    <w:p w14:paraId="3E1CC96B" w14:textId="77777777" w:rsidR="00676882" w:rsidRPr="00A86300" w:rsidRDefault="00676882" w:rsidP="00676882">
      <w:pPr>
        <w:pStyle w:val="BodyText"/>
      </w:pPr>
      <w:bookmarkStart w:id="169" w:name="_Hlk75980551"/>
      <w:r>
        <w:t>The performance standard options being considered are:</w:t>
      </w:r>
    </w:p>
    <w:p w14:paraId="7167F665" w14:textId="77777777" w:rsidR="00676882" w:rsidRDefault="00676882" w:rsidP="00676882">
      <w:pPr>
        <w:pStyle w:val="ListBullet"/>
        <w:rPr>
          <w:rFonts w:asciiTheme="minorHAnsi" w:hAnsiTheme="minorHAnsi" w:cstheme="minorBidi"/>
        </w:rPr>
      </w:pPr>
      <w:r>
        <w:t>rental properties rated as 1 star or less must be upgraded to at least 2 stars with a phase in period, or</w:t>
      </w:r>
    </w:p>
    <w:p w14:paraId="3C646971" w14:textId="77777777" w:rsidR="00676882" w:rsidRDefault="00676882" w:rsidP="00676882">
      <w:pPr>
        <w:pStyle w:val="ListBullet"/>
      </w:pPr>
      <w:r>
        <w:t>rental properties rated as 2 stars or less must be upgraded to at least 3 stars with a phase in period.</w:t>
      </w:r>
    </w:p>
    <w:bookmarkEnd w:id="169"/>
    <w:p w14:paraId="732DEB7D" w14:textId="77777777" w:rsidR="00676882" w:rsidRDefault="00676882" w:rsidP="00676882">
      <w:pPr>
        <w:pStyle w:val="BodyText"/>
        <w:rPr>
          <w:rFonts w:asciiTheme="minorHAnsi" w:hAnsiTheme="minorHAnsi" w:cstheme="minorBidi"/>
        </w:rPr>
      </w:pPr>
      <w:r>
        <w:t>A delayed start may be required as a suitable rating tool is not currently available (the current EER is not considered to be a suitable rating scheme for this purpose).</w:t>
      </w:r>
    </w:p>
    <w:p w14:paraId="43B019A3" w14:textId="77777777" w:rsidR="00676882" w:rsidRPr="0042631B" w:rsidRDefault="00676882" w:rsidP="00676882">
      <w:pPr>
        <w:pStyle w:val="FootnoteText"/>
        <w:rPr>
          <w:rFonts w:asciiTheme="minorHAnsi" w:hAnsiTheme="minorHAnsi"/>
          <w:sz w:val="22"/>
          <w:szCs w:val="22"/>
        </w:rPr>
      </w:pPr>
      <w:bookmarkStart w:id="170" w:name="_Hlk75980642"/>
      <w:r w:rsidRPr="0042631B">
        <w:rPr>
          <w:sz w:val="22"/>
          <w:szCs w:val="22"/>
        </w:rPr>
        <w:t xml:space="preserve">For the purposes of this analysis, the Victorian Scorecard will be assumed to be the rating tool. Using this tool, a 3-star rating corresponds to a dwelling having average energy costs </w:t>
      </w:r>
      <w:r w:rsidRPr="0042631B">
        <w:rPr>
          <w:rFonts w:asciiTheme="minorHAnsi" w:hAnsiTheme="minorHAnsi"/>
          <w:sz w:val="22"/>
          <w:szCs w:val="22"/>
        </w:rPr>
        <w:t>and a 2</w:t>
      </w:r>
      <w:r w:rsidRPr="0042631B">
        <w:rPr>
          <w:rFonts w:asciiTheme="minorHAnsi" w:hAnsiTheme="minorHAnsi"/>
          <w:sz w:val="22"/>
          <w:szCs w:val="22"/>
        </w:rPr>
        <w:noBreakHyphen/>
        <w:t>star rating corresponds to a dwelling having energy costs twice the average.</w:t>
      </w:r>
    </w:p>
    <w:p w14:paraId="55D46C89" w14:textId="77777777" w:rsidR="00676882" w:rsidRDefault="00676882" w:rsidP="00676882">
      <w:pPr>
        <w:pStyle w:val="BodyText"/>
      </w:pPr>
    </w:p>
    <w:bookmarkEnd w:id="153"/>
    <w:bookmarkEnd w:id="170"/>
    <w:p w14:paraId="5154BA4E" w14:textId="77777777" w:rsidR="00676882" w:rsidRDefault="00676882" w:rsidP="00676882">
      <w:pPr>
        <w:pStyle w:val="BodyText"/>
      </w:pPr>
    </w:p>
    <w:p w14:paraId="3A7C29D0" w14:textId="77777777" w:rsidR="00676882" w:rsidRDefault="00676882" w:rsidP="00676882">
      <w:pPr>
        <w:pStyle w:val="BodyText"/>
        <w:sectPr w:rsidR="00676882" w:rsidSect="00F32FCC">
          <w:headerReference w:type="even" r:id="rId49"/>
          <w:footerReference w:type="even" r:id="rId50"/>
          <w:headerReference w:type="first" r:id="rId51"/>
          <w:footerReference w:type="first" r:id="rId52"/>
          <w:pgSz w:w="11906" w:h="16838" w:code="9"/>
          <w:pgMar w:top="1134" w:right="851" w:bottom="1134" w:left="3119" w:header="454" w:footer="374"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Chapter 5"/>
        <w:tblDescription w:val="Impact analysis"/>
      </w:tblPr>
      <w:tblGrid>
        <w:gridCol w:w="5570"/>
        <w:gridCol w:w="2366"/>
      </w:tblGrid>
      <w:tr w:rsidR="00676882" w14:paraId="1DF4F563" w14:textId="77777777" w:rsidTr="00DF45FA">
        <w:trPr>
          <w:trHeight w:hRule="exact" w:val="382"/>
        </w:trPr>
        <w:tc>
          <w:tcPr>
            <w:tcW w:w="5570" w:type="dxa"/>
          </w:tcPr>
          <w:p w14:paraId="485CE47B" w14:textId="77777777" w:rsidR="00676882" w:rsidRDefault="00676882" w:rsidP="00DF45FA">
            <w:pPr>
              <w:pStyle w:val="tagchapterBanner"/>
            </w:pPr>
            <w:r>
              <w:rPr>
                <w:noProof/>
              </w:rPr>
              <w:lastRenderedPageBreak/>
              <w:drawing>
                <wp:anchor distT="0" distB="0" distL="114300" distR="114300" simplePos="0" relativeHeight="251659264" behindDoc="1" locked="1" layoutInCell="1" allowOverlap="1" wp14:anchorId="1DB98CB6" wp14:editId="7257D464">
                  <wp:simplePos x="0" y="0"/>
                  <wp:positionH relativeFrom="page">
                    <wp:posOffset>0</wp:posOffset>
                  </wp:positionH>
                  <wp:positionV relativeFrom="page">
                    <wp:posOffset>0</wp:posOffset>
                  </wp:positionV>
                  <wp:extent cx="5039360" cy="1995170"/>
                  <wp:effectExtent l="0" t="0" r="8890" b="5080"/>
                  <wp:wrapNone/>
                  <wp:docPr id="50"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2EB62D4F" w14:textId="77777777" w:rsidR="00676882" w:rsidRDefault="00676882" w:rsidP="00DF45FA">
            <w:pPr>
              <w:pStyle w:val="spacer"/>
            </w:pPr>
          </w:p>
        </w:tc>
      </w:tr>
      <w:tr w:rsidR="00676882" w14:paraId="38F7F4C1" w14:textId="77777777" w:rsidTr="00DF45FA">
        <w:trPr>
          <w:trHeight w:hRule="exact" w:val="2760"/>
        </w:trPr>
        <w:tc>
          <w:tcPr>
            <w:tcW w:w="5570" w:type="dxa"/>
            <w:vAlign w:val="bottom"/>
          </w:tcPr>
          <w:p w14:paraId="59768798" w14:textId="77777777" w:rsidR="00676882" w:rsidRDefault="00676882" w:rsidP="00DF45FA">
            <w:pPr>
              <w:pStyle w:val="Heading1"/>
            </w:pPr>
            <w:bookmarkStart w:id="171" w:name="_Ref75434567"/>
            <w:bookmarkStart w:id="172" w:name="_Ref75435461"/>
            <w:bookmarkStart w:id="173" w:name="_Ref75435481"/>
            <w:bookmarkStart w:id="174" w:name="_Toc80712590"/>
            <w:r>
              <w:t>Impact analysis</w:t>
            </w:r>
            <w:bookmarkEnd w:id="171"/>
            <w:bookmarkEnd w:id="172"/>
            <w:bookmarkEnd w:id="173"/>
            <w:bookmarkEnd w:id="174"/>
          </w:p>
        </w:tc>
        <w:tc>
          <w:tcPr>
            <w:tcW w:w="2366" w:type="dxa"/>
            <w:tcMar>
              <w:right w:w="224" w:type="dxa"/>
            </w:tcMar>
            <w:vAlign w:val="bottom"/>
          </w:tcPr>
          <w:p w14:paraId="333CA7A3" w14:textId="77777777" w:rsidR="00676882" w:rsidRDefault="00676882" w:rsidP="00DF45FA">
            <w:pPr>
              <w:pStyle w:val="HeadingChapter"/>
            </w:pPr>
            <w:r>
              <w:fldChar w:fldCharType="begin"/>
            </w:r>
            <w:r>
              <w:instrText xml:space="preserve"> SEQ ChptNum \* ARABIC </w:instrText>
            </w:r>
            <w:r>
              <w:fldChar w:fldCharType="separate"/>
            </w:r>
            <w:r>
              <w:rPr>
                <w:noProof/>
              </w:rPr>
              <w:t>5</w:t>
            </w:r>
            <w:r>
              <w:rPr>
                <w:noProof/>
              </w:rPr>
              <w:fldChar w:fldCharType="end"/>
            </w:r>
          </w:p>
        </w:tc>
      </w:tr>
      <w:tr w:rsidR="00676882" w14:paraId="48652D2C" w14:textId="77777777" w:rsidTr="00DF45FA">
        <w:trPr>
          <w:trHeight w:hRule="exact" w:val="228"/>
        </w:trPr>
        <w:tc>
          <w:tcPr>
            <w:tcW w:w="5570" w:type="dxa"/>
          </w:tcPr>
          <w:p w14:paraId="1B75501B" w14:textId="77777777" w:rsidR="00676882" w:rsidRDefault="00676882" w:rsidP="00DF45FA">
            <w:pPr>
              <w:pStyle w:val="spacer"/>
            </w:pPr>
          </w:p>
        </w:tc>
        <w:tc>
          <w:tcPr>
            <w:tcW w:w="2366" w:type="dxa"/>
          </w:tcPr>
          <w:p w14:paraId="7E8ED3ED" w14:textId="77777777" w:rsidR="00676882" w:rsidRDefault="00676882" w:rsidP="00DF45FA">
            <w:pPr>
              <w:pStyle w:val="spacer"/>
            </w:pPr>
          </w:p>
        </w:tc>
      </w:tr>
    </w:tbl>
    <w:p w14:paraId="6C82D769" w14:textId="77777777" w:rsidR="00676882" w:rsidRDefault="00676882" w:rsidP="00676882">
      <w:pPr>
        <w:pStyle w:val="BodyText"/>
      </w:pPr>
      <w:bookmarkStart w:id="175" w:name="_Toc75283747"/>
      <w:r>
        <w:t xml:space="preserve">This chapter provides the impact analysis of the policy options. Following best practice, it primarily considers the results of a cost-benefit analysis (CBA) of each of the options. The method of the cost-benefit analysis is described in detail in Appendix </w:t>
      </w:r>
      <w:r w:rsidRPr="009E4AB1">
        <w:fldChar w:fldCharType="begin"/>
      </w:r>
      <w:r w:rsidRPr="009E4AB1">
        <w:instrText xml:space="preserve"> REF _Ref75766708 \r \h  \* MERGEFORMAT </w:instrText>
      </w:r>
      <w:r w:rsidRPr="009E4AB1">
        <w:fldChar w:fldCharType="separate"/>
      </w:r>
      <w:r>
        <w:t>B</w:t>
      </w:r>
      <w:r w:rsidRPr="009E4AB1">
        <w:fldChar w:fldCharType="end"/>
      </w:r>
      <w:r>
        <w:t xml:space="preserve">. It considers the net impact on the ACT of each option — see section </w:t>
      </w:r>
      <w:r w:rsidRPr="009E4AB1">
        <w:fldChar w:fldCharType="begin"/>
      </w:r>
      <w:r w:rsidRPr="009E4AB1">
        <w:instrText xml:space="preserve"> REF _Ref75287181 \r \h  \* MERGEFORMAT </w:instrText>
      </w:r>
      <w:r w:rsidRPr="009E4AB1">
        <w:fldChar w:fldCharType="separate"/>
      </w:r>
      <w:r>
        <w:t>5.2</w:t>
      </w:r>
      <w:r w:rsidRPr="009E4AB1">
        <w:fldChar w:fldCharType="end"/>
      </w:r>
      <w:r>
        <w:t xml:space="preserve"> — then describes the impacts on the primary stakeholders — see section </w:t>
      </w:r>
      <w:r w:rsidRPr="009E4AB1">
        <w:fldChar w:fldCharType="begin"/>
      </w:r>
      <w:r w:rsidRPr="009E4AB1">
        <w:instrText xml:space="preserve"> REF _Ref76308283 \r \h  \* MERGEFORMAT </w:instrText>
      </w:r>
      <w:r w:rsidRPr="009E4AB1">
        <w:fldChar w:fldCharType="separate"/>
      </w:r>
      <w:r>
        <w:t>5.2.3</w:t>
      </w:r>
      <w:r w:rsidRPr="009E4AB1">
        <w:fldChar w:fldCharType="end"/>
      </w:r>
      <w:r w:rsidRPr="00C67BE2">
        <w:t>.</w:t>
      </w:r>
      <w:r>
        <w:t xml:space="preserve"> </w:t>
      </w:r>
      <w:r w:rsidRPr="00C67BE2">
        <w:t>It</w:t>
      </w:r>
      <w:r>
        <w:t xml:space="preserve"> </w:t>
      </w:r>
      <w:r w:rsidRPr="00C67BE2">
        <w:t>explores</w:t>
      </w:r>
      <w:r>
        <w:t xml:space="preserve"> </w:t>
      </w:r>
      <w:r w:rsidRPr="00C67BE2">
        <w:t>the</w:t>
      </w:r>
      <w:r>
        <w:t xml:space="preserve"> </w:t>
      </w:r>
      <w:r w:rsidRPr="00C67BE2">
        <w:t>unintended</w:t>
      </w:r>
      <w:r>
        <w:t xml:space="preserve"> </w:t>
      </w:r>
      <w:r w:rsidRPr="00C67BE2">
        <w:t>impacts</w:t>
      </w:r>
      <w:r>
        <w:t xml:space="preserve"> </w:t>
      </w:r>
      <w:r w:rsidRPr="00C67BE2">
        <w:t>potentially</w:t>
      </w:r>
      <w:r>
        <w:t xml:space="preserve"> </w:t>
      </w:r>
      <w:r w:rsidRPr="00C67BE2">
        <w:t>attributable</w:t>
      </w:r>
      <w:r>
        <w:t xml:space="preserve"> </w:t>
      </w:r>
      <w:r w:rsidRPr="00C67BE2">
        <w:t>to</w:t>
      </w:r>
      <w:r>
        <w:t xml:space="preserve"> </w:t>
      </w:r>
      <w:r w:rsidRPr="00C67BE2">
        <w:t>the</w:t>
      </w:r>
      <w:r>
        <w:t xml:space="preserve"> </w:t>
      </w:r>
      <w:r w:rsidRPr="00C67BE2">
        <w:t>proposed</w:t>
      </w:r>
      <w:r>
        <w:t xml:space="preserve"> </w:t>
      </w:r>
      <w:r w:rsidRPr="00C67BE2">
        <w:t>policy</w:t>
      </w:r>
      <w:r>
        <w:t xml:space="preserve"> </w:t>
      </w:r>
      <w:r w:rsidRPr="00C67BE2">
        <w:t>options</w:t>
      </w:r>
      <w:r>
        <w:t xml:space="preserve"> </w:t>
      </w:r>
      <w:r w:rsidRPr="00C67BE2">
        <w:t>in</w:t>
      </w:r>
      <w:r>
        <w:t xml:space="preserve"> </w:t>
      </w:r>
      <w:r w:rsidRPr="00C67BE2">
        <w:t>section</w:t>
      </w:r>
      <w:r>
        <w:t xml:space="preserve"> </w:t>
      </w:r>
      <w:r w:rsidRPr="009E4AB1">
        <w:fldChar w:fldCharType="begin"/>
      </w:r>
      <w:r w:rsidRPr="009E4AB1">
        <w:instrText xml:space="preserve"> REF _Ref75897882 \r \h  \* MERGEFORMAT </w:instrText>
      </w:r>
      <w:r w:rsidRPr="009E4AB1">
        <w:fldChar w:fldCharType="separate"/>
      </w:r>
      <w:r>
        <w:t>5.3</w:t>
      </w:r>
      <w:r w:rsidRPr="009E4AB1">
        <w:fldChar w:fldCharType="end"/>
      </w:r>
      <w:r w:rsidRPr="00C67BE2">
        <w:t>.</w:t>
      </w:r>
      <w:r>
        <w:t xml:space="preserve"> </w:t>
      </w:r>
      <w:r w:rsidRPr="00C67BE2">
        <w:t>Finally,</w:t>
      </w:r>
      <w:r>
        <w:t xml:space="preserve"> </w:t>
      </w:r>
      <w:r w:rsidRPr="00C67BE2">
        <w:t>it</w:t>
      </w:r>
      <w:r>
        <w:t xml:space="preserve"> </w:t>
      </w:r>
      <w:r w:rsidRPr="00C67BE2">
        <w:t>provides</w:t>
      </w:r>
      <w:r>
        <w:t xml:space="preserve"> </w:t>
      </w:r>
      <w:r w:rsidRPr="00C67BE2">
        <w:t>an</w:t>
      </w:r>
      <w:r>
        <w:t xml:space="preserve"> </w:t>
      </w:r>
      <w:r w:rsidRPr="00C67BE2">
        <w:t>analys</w:t>
      </w:r>
      <w:r>
        <w:t xml:space="preserve">is of the sensitivity </w:t>
      </w:r>
      <w:r w:rsidRPr="00C67BE2">
        <w:t>of</w:t>
      </w:r>
      <w:r>
        <w:t xml:space="preserve"> </w:t>
      </w:r>
      <w:r w:rsidRPr="00C67BE2">
        <w:t>the</w:t>
      </w:r>
      <w:r>
        <w:t xml:space="preserve"> </w:t>
      </w:r>
      <w:r w:rsidRPr="00C67BE2">
        <w:t>major</w:t>
      </w:r>
      <w:r>
        <w:t xml:space="preserve"> </w:t>
      </w:r>
      <w:r w:rsidRPr="00C67BE2">
        <w:t>impacts</w:t>
      </w:r>
      <w:r>
        <w:t xml:space="preserve"> to changes in key assumptions </w:t>
      </w:r>
      <w:r w:rsidRPr="00C67BE2">
        <w:t>in</w:t>
      </w:r>
      <w:r>
        <w:t xml:space="preserve"> </w:t>
      </w:r>
      <w:r w:rsidRPr="00C67BE2">
        <w:t>section</w:t>
      </w:r>
      <w:r>
        <w:t xml:space="preserve"> </w:t>
      </w:r>
      <w:r w:rsidRPr="009E4AB1">
        <w:fldChar w:fldCharType="begin"/>
      </w:r>
      <w:r w:rsidRPr="009E4AB1">
        <w:instrText xml:space="preserve"> REF _Ref75814528 \r \h  \* MERGEFORMAT </w:instrText>
      </w:r>
      <w:r w:rsidRPr="009E4AB1">
        <w:fldChar w:fldCharType="separate"/>
      </w:r>
      <w:r>
        <w:t>5.4</w:t>
      </w:r>
      <w:r w:rsidRPr="009E4AB1">
        <w:fldChar w:fldCharType="end"/>
      </w:r>
      <w:r>
        <w:t>.</w:t>
      </w:r>
    </w:p>
    <w:p w14:paraId="728EBC98" w14:textId="77777777" w:rsidR="00676882" w:rsidRDefault="00676882" w:rsidP="00676882">
      <w:pPr>
        <w:pStyle w:val="Heading2"/>
      </w:pPr>
      <w:bookmarkStart w:id="176" w:name="_Ref76309240"/>
      <w:bookmarkStart w:id="177" w:name="_Ref76311295"/>
      <w:bookmarkStart w:id="178" w:name="_Toc80712591"/>
      <w:r>
        <w:t>Impacts included in the analysis</w:t>
      </w:r>
      <w:bookmarkEnd w:id="176"/>
      <w:bookmarkEnd w:id="177"/>
      <w:bookmarkEnd w:id="178"/>
    </w:p>
    <w:p w14:paraId="68E61152" w14:textId="77777777" w:rsidR="00676882" w:rsidRDefault="00676882" w:rsidP="00676882">
      <w:pPr>
        <w:pStyle w:val="BodyText"/>
      </w:pPr>
      <w:r>
        <w:t>The CBA is conducted by estimating a series of benefits and costs to the residents of the ACT. They are measured as the additional costs and benefits against a business-as-usual baseline scenario.</w:t>
      </w:r>
    </w:p>
    <w:p w14:paraId="5D336B9A" w14:textId="77777777" w:rsidR="00676882" w:rsidRDefault="00676882" w:rsidP="00676882">
      <w:pPr>
        <w:pStyle w:val="BodyText"/>
      </w:pPr>
      <w:r>
        <w:t xml:space="preserve"> These costs are primarily the costs of upgrades and the ongoing administration of the prescribed standards. The benefits are primarily the net reduced energy costs associated with the thermal control and energy-efficiency upgrades, as well as other benefits stemming from changes to the energy mix and health benefits (see </w:t>
      </w:r>
      <w:r w:rsidRPr="009E4AB1">
        <w:fldChar w:fldCharType="begin"/>
      </w:r>
      <w:r w:rsidRPr="009E4AB1">
        <w:instrText xml:space="preserve"> REF _Ref80369483 \h  \* MERGEFORMAT </w:instrText>
      </w:r>
      <w:r w:rsidRPr="009E4AB1">
        <w:fldChar w:fldCharType="separate"/>
      </w:r>
      <w:r w:rsidRPr="00F32FCC">
        <w:t>Figure 5.1</w:t>
      </w:r>
      <w:r w:rsidRPr="009E4AB1">
        <w:fldChar w:fldCharType="end"/>
      </w:r>
      <w:r>
        <w:t xml:space="preserve">). </w:t>
      </w:r>
    </w:p>
    <w:p w14:paraId="18B3D39B" w14:textId="77777777" w:rsidR="00676882" w:rsidRDefault="00676882" w:rsidP="00676882">
      <w:pPr>
        <w:pStyle w:val="BodyText"/>
        <w:ind w:left="-1985"/>
      </w:pPr>
      <w:bookmarkStart w:id="179" w:name="_Ref80369483"/>
      <w:bookmarkStart w:id="180" w:name="_Toc80719261"/>
      <w:r w:rsidRPr="00D36FFB">
        <w:rPr>
          <w:rStyle w:val="CaptionLabel"/>
        </w:rPr>
        <w:t>Figure </w:t>
      </w:r>
      <w:r w:rsidRPr="00D36FFB">
        <w:rPr>
          <w:rStyle w:val="CaptionLabel"/>
        </w:rPr>
        <w:fldChar w:fldCharType="begin"/>
      </w:r>
      <w:r w:rsidRPr="00D36FFB">
        <w:rPr>
          <w:rStyle w:val="CaptionLabel"/>
        </w:rPr>
        <w:instrText xml:space="preserve"> STYLEREF 1 \S \* MERGEFORMAT </w:instrText>
      </w:r>
      <w:r w:rsidRPr="00D36FFB">
        <w:rPr>
          <w:rStyle w:val="CaptionLabel"/>
        </w:rPr>
        <w:fldChar w:fldCharType="separate"/>
      </w:r>
      <w:r>
        <w:rPr>
          <w:rStyle w:val="CaptionLabel"/>
          <w:noProof/>
        </w:rPr>
        <w:t>5</w:t>
      </w:r>
      <w:r w:rsidRPr="00D36FFB">
        <w:rPr>
          <w:rStyle w:val="CaptionLabel"/>
        </w:rPr>
        <w:fldChar w:fldCharType="end"/>
      </w:r>
      <w:r w:rsidRPr="00D36FFB">
        <w:rPr>
          <w:rStyle w:val="CaptionLabel"/>
        </w:rPr>
        <w:t>.</w:t>
      </w:r>
      <w:r w:rsidRPr="00D36FFB">
        <w:rPr>
          <w:rStyle w:val="CaptionLabel"/>
        </w:rPr>
        <w:fldChar w:fldCharType="begin"/>
      </w:r>
      <w:r w:rsidRPr="00D36FFB">
        <w:rPr>
          <w:rStyle w:val="CaptionLabel"/>
        </w:rPr>
        <w:instrText xml:space="preserve"> SEQ Figure \* ARABIC \S 1 \* MERGEFORMAT </w:instrText>
      </w:r>
      <w:r w:rsidRPr="00D36FFB">
        <w:rPr>
          <w:rStyle w:val="CaptionLabel"/>
        </w:rPr>
        <w:fldChar w:fldCharType="separate"/>
      </w:r>
      <w:r>
        <w:rPr>
          <w:rStyle w:val="CaptionLabel"/>
          <w:noProof/>
        </w:rPr>
        <w:t>1</w:t>
      </w:r>
      <w:r w:rsidRPr="00D36FFB">
        <w:rPr>
          <w:rStyle w:val="CaptionLabel"/>
        </w:rPr>
        <w:fldChar w:fldCharType="end"/>
      </w:r>
      <w:bookmarkEnd w:id="179"/>
      <w:r>
        <w:tab/>
        <w:t>Modelled impacts of the proposed options</w:t>
      </w:r>
      <w:bookmarkEnd w:id="180"/>
    </w:p>
    <w:p w14:paraId="45C9A0EC" w14:textId="77777777" w:rsidR="00676882" w:rsidRDefault="00676882" w:rsidP="00676882">
      <w:pPr>
        <w:pStyle w:val="BodyText"/>
        <w:ind w:left="-1985"/>
      </w:pPr>
      <w:r>
        <w:rPr>
          <w:noProof/>
        </w:rPr>
        <w:drawing>
          <wp:inline distT="0" distB="0" distL="0" distR="0" wp14:anchorId="2E7BFBF6" wp14:editId="657DDB1D">
            <wp:extent cx="6080166" cy="2723223"/>
            <wp:effectExtent l="0" t="0" r="0" b="0"/>
            <wp:docPr id="97" name="Picture 97" descr="Positive impacts, including: reduced energy costs, tenant health benefits, reduced domestic greenhouse gas emissions, reduced renewable energy offsets, reduced energy cost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icture 97" descr="Positive impacts, including: reduced energy costs, tenant health benefits, reduced domestic greenhouse gas emissions, reduced renewable energy offsets, reduced energy costs.&#10;"/>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087336" cy="2726434"/>
                    </a:xfrm>
                    <a:prstGeom prst="rect">
                      <a:avLst/>
                    </a:prstGeom>
                    <a:noFill/>
                  </pic:spPr>
                </pic:pic>
              </a:graphicData>
            </a:graphic>
          </wp:inline>
        </w:drawing>
      </w:r>
    </w:p>
    <w:p w14:paraId="632F5FBD" w14:textId="77777777" w:rsidR="00676882" w:rsidRPr="006B0263" w:rsidRDefault="00676882" w:rsidP="00676882">
      <w:pPr>
        <w:pStyle w:val="BodyText"/>
        <w:ind w:left="-1985"/>
        <w:rPr>
          <w:i/>
          <w:iCs/>
          <w:sz w:val="16"/>
          <w:szCs w:val="16"/>
        </w:rPr>
      </w:pPr>
      <w:r w:rsidRPr="006B0263">
        <w:rPr>
          <w:i/>
          <w:iCs/>
          <w:sz w:val="16"/>
          <w:szCs w:val="16"/>
        </w:rPr>
        <w:t>Source: ACIL Allen</w:t>
      </w:r>
    </w:p>
    <w:p w14:paraId="2B78C5FB" w14:textId="77777777" w:rsidR="00676882" w:rsidRDefault="00676882" w:rsidP="00676882">
      <w:pPr>
        <w:pStyle w:val="BodyText"/>
      </w:pPr>
      <w:r>
        <w:t xml:space="preserve">A full description of these benefits and costs are given in section </w:t>
      </w:r>
      <w:r w:rsidRPr="009E4AB1">
        <w:fldChar w:fldCharType="begin"/>
      </w:r>
      <w:r w:rsidRPr="009E4AB1">
        <w:instrText xml:space="preserve"> REF _Ref75768799 \r \h  \* MERGEFORMAT </w:instrText>
      </w:r>
      <w:r w:rsidRPr="009E4AB1">
        <w:fldChar w:fldCharType="separate"/>
      </w:r>
      <w:r>
        <w:t>5.1.1</w:t>
      </w:r>
      <w:r w:rsidRPr="009E4AB1">
        <w:fldChar w:fldCharType="end"/>
      </w:r>
      <w:r>
        <w:t xml:space="preserve"> and section </w:t>
      </w:r>
      <w:r w:rsidRPr="009E4AB1">
        <w:fldChar w:fldCharType="begin"/>
      </w:r>
      <w:r w:rsidRPr="009E4AB1">
        <w:instrText xml:space="preserve"> REF _Ref75768801 \r \h  \* MERGEFORMAT </w:instrText>
      </w:r>
      <w:r w:rsidRPr="009E4AB1">
        <w:fldChar w:fldCharType="separate"/>
      </w:r>
      <w:r>
        <w:t>5.1.2</w:t>
      </w:r>
      <w:r w:rsidRPr="009E4AB1">
        <w:fldChar w:fldCharType="end"/>
      </w:r>
      <w:r>
        <w:t xml:space="preserve">, respectively. Details on how these benefits were estimated, and the data and assumptions underlying the modelling is included in Appendix </w:t>
      </w:r>
      <w:r w:rsidRPr="009E4AB1">
        <w:fldChar w:fldCharType="begin"/>
      </w:r>
      <w:r w:rsidRPr="009E4AB1">
        <w:instrText xml:space="preserve"> REF _Ref75769828 \r \h  \* MERGEFORMAT </w:instrText>
      </w:r>
      <w:r w:rsidRPr="009E4AB1">
        <w:fldChar w:fldCharType="separate"/>
      </w:r>
      <w:r>
        <w:t>B</w:t>
      </w:r>
      <w:r w:rsidRPr="009E4AB1">
        <w:fldChar w:fldCharType="end"/>
      </w:r>
      <w:r>
        <w:t>.</w:t>
      </w:r>
    </w:p>
    <w:p w14:paraId="534FEC60" w14:textId="77777777" w:rsidR="00676882" w:rsidRDefault="00676882" w:rsidP="00676882">
      <w:pPr>
        <w:pStyle w:val="BodyText"/>
      </w:pPr>
      <w:r>
        <w:lastRenderedPageBreak/>
        <w:t xml:space="preserve">The impact analysis is conducted on a cohort for the first ten-years of the minimum standards – that is, those properties which </w:t>
      </w:r>
      <w:proofErr w:type="gramStart"/>
      <w:r>
        <w:t>have to</w:t>
      </w:r>
      <w:proofErr w:type="gramEnd"/>
      <w:r>
        <w:t xml:space="preserve"> upgrade in the first ten years. The impacts are measured over the life of those upgrades.</w:t>
      </w:r>
    </w:p>
    <w:p w14:paraId="3C2BEF93" w14:textId="77777777" w:rsidR="00676882" w:rsidRDefault="00676882" w:rsidP="00676882">
      <w:pPr>
        <w:pStyle w:val="BodyText"/>
      </w:pPr>
      <w:r>
        <w:t xml:space="preserve">The net impacts are presented across the whole of society and do not present the impact on individuals. Where one individual feels a benefit of the same scale as — and related to — another’s cost this is a transfer, which does not make the ACT community better off overall. An analysis of the distribution of these impacts is provided separately in section </w:t>
      </w:r>
      <w:r w:rsidRPr="009E4AB1">
        <w:fldChar w:fldCharType="begin"/>
      </w:r>
      <w:r w:rsidRPr="009E4AB1">
        <w:instrText xml:space="preserve"> REF _Ref76308269 \r \h  \* MERGEFORMAT </w:instrText>
      </w:r>
      <w:r w:rsidRPr="009E4AB1">
        <w:fldChar w:fldCharType="separate"/>
      </w:r>
      <w:r>
        <w:t>5.2.4</w:t>
      </w:r>
      <w:r w:rsidRPr="009E4AB1">
        <w:fldChar w:fldCharType="end"/>
      </w:r>
      <w:r>
        <w:t>.</w:t>
      </w:r>
    </w:p>
    <w:p w14:paraId="7C92A5ED" w14:textId="77777777" w:rsidR="00676882" w:rsidRDefault="00676882" w:rsidP="00676882">
      <w:pPr>
        <w:pStyle w:val="Heading3"/>
      </w:pPr>
      <w:r>
        <w:t xml:space="preserve"> </w:t>
      </w:r>
      <w:bookmarkStart w:id="181" w:name="_Ref75768799"/>
      <w:r>
        <w:t>Benefits modelled</w:t>
      </w:r>
      <w:bookmarkEnd w:id="181"/>
    </w:p>
    <w:p w14:paraId="20F478E6" w14:textId="77777777" w:rsidR="00676882" w:rsidRDefault="00676882" w:rsidP="00676882">
      <w:pPr>
        <w:pStyle w:val="BodyTextFirstIndent"/>
        <w:ind w:firstLine="0"/>
      </w:pPr>
      <w:r>
        <w:t>The benefits modelled include:</w:t>
      </w:r>
    </w:p>
    <w:p w14:paraId="5DCED683" w14:textId="77777777" w:rsidR="00676882" w:rsidRDefault="00676882" w:rsidP="00676882">
      <w:pPr>
        <w:pStyle w:val="ListBullet"/>
      </w:pPr>
      <w:bookmarkStart w:id="182" w:name="_Hlk75981303"/>
      <w:r>
        <w:rPr>
          <w:b/>
          <w:bCs/>
        </w:rPr>
        <w:t>E</w:t>
      </w:r>
      <w:r w:rsidRPr="00B6051E">
        <w:rPr>
          <w:b/>
          <w:bCs/>
        </w:rPr>
        <w:t>nergy</w:t>
      </w:r>
      <w:r>
        <w:rPr>
          <w:b/>
          <w:bCs/>
        </w:rPr>
        <w:t xml:space="preserve"> benefits </w:t>
      </w:r>
      <w:r>
        <w:t xml:space="preserve">– these are benefits from the saved cost of supplying energy. </w:t>
      </w:r>
      <w:bookmarkStart w:id="183" w:name="_Hlk75954585"/>
      <w:r>
        <w:t xml:space="preserve">This is the most certain measure of benefits available </w:t>
      </w:r>
      <w:bookmarkEnd w:id="183"/>
      <w:r>
        <w:t>and includes:</w:t>
      </w:r>
    </w:p>
    <w:p w14:paraId="630839F4" w14:textId="77777777" w:rsidR="00676882" w:rsidRDefault="00676882" w:rsidP="00676882">
      <w:pPr>
        <w:pStyle w:val="ListBullet2"/>
      </w:pPr>
      <w:r w:rsidRPr="00020982">
        <w:rPr>
          <w:i/>
          <w:iCs/>
        </w:rPr>
        <w:t>Reduced</w:t>
      </w:r>
      <w:r>
        <w:rPr>
          <w:i/>
          <w:iCs/>
        </w:rPr>
        <w:t xml:space="preserve"> </w:t>
      </w:r>
      <w:r w:rsidRPr="00020982">
        <w:rPr>
          <w:i/>
          <w:iCs/>
        </w:rPr>
        <w:t>energy</w:t>
      </w:r>
      <w:r>
        <w:rPr>
          <w:i/>
          <w:iCs/>
        </w:rPr>
        <w:t xml:space="preserve"> </w:t>
      </w:r>
      <w:r w:rsidRPr="00020982">
        <w:rPr>
          <w:i/>
          <w:iCs/>
        </w:rPr>
        <w:t>costs</w:t>
      </w:r>
      <w:r>
        <w:rPr>
          <w:i/>
          <w:iCs/>
        </w:rPr>
        <w:t xml:space="preserve"> </w:t>
      </w:r>
      <w:r>
        <w:t xml:space="preserve">– the primary benefit of minimum standards for residential rental properties is reduced energy costs. These energy cost savings are realised through lower electricity, gas or firewood use by tenants. For a small subset of households, this is supplemented by offsetting rooftop solar and exports to the electricity grid. </w:t>
      </w:r>
    </w:p>
    <w:p w14:paraId="4DA421BA" w14:textId="77777777" w:rsidR="00676882" w:rsidRDefault="00676882" w:rsidP="00676882">
      <w:pPr>
        <w:pStyle w:val="ListBullet2"/>
      </w:pPr>
      <w:r w:rsidRPr="00020982">
        <w:rPr>
          <w:i/>
          <w:iCs/>
        </w:rPr>
        <w:t>Reduced</w:t>
      </w:r>
      <w:r>
        <w:rPr>
          <w:i/>
          <w:iCs/>
        </w:rPr>
        <w:t xml:space="preserve"> </w:t>
      </w:r>
      <w:r w:rsidRPr="00020982">
        <w:rPr>
          <w:i/>
          <w:iCs/>
        </w:rPr>
        <w:t>network</w:t>
      </w:r>
      <w:r>
        <w:rPr>
          <w:i/>
          <w:iCs/>
        </w:rPr>
        <w:t xml:space="preserve"> </w:t>
      </w:r>
      <w:r w:rsidRPr="00020982">
        <w:rPr>
          <w:i/>
          <w:iCs/>
        </w:rPr>
        <w:t>costs</w:t>
      </w:r>
      <w:r>
        <w:rPr>
          <w:i/>
          <w:iCs/>
        </w:rPr>
        <w:t xml:space="preserve"> </w:t>
      </w:r>
      <w:r>
        <w:t xml:space="preserve">– the electricity network is built to provide electricity at peak usage. A reduction in the ACT’s peak electrical usage will lower network costs associated with investments in additional transmission and distribution network capacity. </w:t>
      </w:r>
    </w:p>
    <w:p w14:paraId="2CAEBF7A" w14:textId="77777777" w:rsidR="00676882" w:rsidRDefault="00676882" w:rsidP="00676882">
      <w:pPr>
        <w:pStyle w:val="ListBullet2"/>
      </w:pPr>
      <w:r w:rsidRPr="00020982">
        <w:rPr>
          <w:i/>
          <w:iCs/>
        </w:rPr>
        <w:t>Reduced</w:t>
      </w:r>
      <w:r>
        <w:rPr>
          <w:i/>
          <w:iCs/>
        </w:rPr>
        <w:t xml:space="preserve"> </w:t>
      </w:r>
      <w:r w:rsidRPr="00020982">
        <w:rPr>
          <w:i/>
          <w:iCs/>
        </w:rPr>
        <w:t>renewable</w:t>
      </w:r>
      <w:r>
        <w:rPr>
          <w:i/>
          <w:iCs/>
        </w:rPr>
        <w:t xml:space="preserve"> </w:t>
      </w:r>
      <w:r w:rsidRPr="00020982">
        <w:rPr>
          <w:i/>
          <w:iCs/>
        </w:rPr>
        <w:t>energy</w:t>
      </w:r>
      <w:r>
        <w:rPr>
          <w:i/>
          <w:iCs/>
        </w:rPr>
        <w:t xml:space="preserve"> </w:t>
      </w:r>
      <w:r w:rsidRPr="00020982">
        <w:rPr>
          <w:i/>
          <w:iCs/>
        </w:rPr>
        <w:t>offsets</w:t>
      </w:r>
      <w:r>
        <w:rPr>
          <w:i/>
          <w:iCs/>
        </w:rPr>
        <w:t xml:space="preserve"> </w:t>
      </w:r>
      <w:r>
        <w:t>– the ACT has a 100 per cent renewable energy target. It contracts with renewable energy suppliers to ensure that this target is met, effectively offsetting electricity that is sourced from fossil fuels. The renewable energy suppliers are paid a feed-in support payment that reflects the difference between their costs and the revenue received through the wholesale electricity market. Reducing electricity use in the ACT thereby reduces the amount that is paid to offset the amount that would otherwise be paid to offset electricity that is sourced from fossil fuels.</w:t>
      </w:r>
    </w:p>
    <w:p w14:paraId="46F47C2B" w14:textId="77777777" w:rsidR="00676882" w:rsidRDefault="00676882" w:rsidP="00676882">
      <w:pPr>
        <w:pStyle w:val="ListBullet"/>
      </w:pPr>
      <w:r>
        <w:rPr>
          <w:b/>
          <w:bCs/>
        </w:rPr>
        <w:t>Benefits from r</w:t>
      </w:r>
      <w:r w:rsidRPr="00B6051E">
        <w:rPr>
          <w:b/>
          <w:bCs/>
        </w:rPr>
        <w:t>educed</w:t>
      </w:r>
      <w:r>
        <w:rPr>
          <w:b/>
          <w:bCs/>
        </w:rPr>
        <w:t xml:space="preserve"> </w:t>
      </w:r>
      <w:r w:rsidRPr="00B6051E">
        <w:rPr>
          <w:b/>
          <w:bCs/>
        </w:rPr>
        <w:t>domestic</w:t>
      </w:r>
      <w:r>
        <w:rPr>
          <w:b/>
          <w:bCs/>
        </w:rPr>
        <w:t xml:space="preserve"> </w:t>
      </w:r>
      <w:r w:rsidRPr="00B6051E">
        <w:rPr>
          <w:b/>
          <w:bCs/>
        </w:rPr>
        <w:t>greenhouse</w:t>
      </w:r>
      <w:r>
        <w:rPr>
          <w:b/>
          <w:bCs/>
        </w:rPr>
        <w:t xml:space="preserve"> </w:t>
      </w:r>
      <w:r w:rsidRPr="00B6051E">
        <w:rPr>
          <w:b/>
          <w:bCs/>
        </w:rPr>
        <w:t>gas</w:t>
      </w:r>
      <w:r>
        <w:rPr>
          <w:b/>
          <w:bCs/>
        </w:rPr>
        <w:t xml:space="preserve"> </w:t>
      </w:r>
      <w:r w:rsidRPr="00B6051E">
        <w:rPr>
          <w:b/>
          <w:bCs/>
        </w:rPr>
        <w:t>emissions</w:t>
      </w:r>
      <w:r>
        <w:rPr>
          <w:b/>
          <w:bCs/>
        </w:rPr>
        <w:t xml:space="preserve"> </w:t>
      </w:r>
      <w:r>
        <w:t xml:space="preserve">– domestic burning of natural gas and firewood contributes to the ACT’s greenhouse gas emissions. Where rental households burn less of either of these energy types, it will reduce greenhouse gas emissions. Because the ACT offsets its electricity sourced from fossil fuels, there is no greenhouse gas emissions benefit attributable to reducing electricity use. This is a somewhat more uncertain measure of benefit. </w:t>
      </w:r>
      <w:proofErr w:type="gramStart"/>
      <w:r>
        <w:t>It is clear that greenhouse</w:t>
      </w:r>
      <w:proofErr w:type="gramEnd"/>
      <w:r>
        <w:t xml:space="preserve"> gas emissions represent a cost to society, and that reducing these emissions therefore represents a benefit. However, since the removal of Australia’s carbon pricing mechanism in 2014, there is no universally agreed transparent price which can be assigned to these emissions.</w:t>
      </w:r>
    </w:p>
    <w:p w14:paraId="2C4C5716" w14:textId="77777777" w:rsidR="00676882" w:rsidRDefault="00676882" w:rsidP="00676882">
      <w:pPr>
        <w:pStyle w:val="ListBullet"/>
      </w:pPr>
      <w:r>
        <w:rPr>
          <w:b/>
          <w:bCs/>
        </w:rPr>
        <w:t xml:space="preserve">Health benefits </w:t>
      </w:r>
      <w:r w:rsidRPr="00020982">
        <w:t>— t</w:t>
      </w:r>
      <w:r>
        <w:t xml:space="preserve">hree </w:t>
      </w:r>
      <w:r w:rsidRPr="00020982">
        <w:t>types</w:t>
      </w:r>
      <w:r>
        <w:t xml:space="preserve"> </w:t>
      </w:r>
      <w:r w:rsidRPr="00020982">
        <w:t>of</w:t>
      </w:r>
      <w:r>
        <w:t xml:space="preserve"> </w:t>
      </w:r>
      <w:r w:rsidRPr="00020982">
        <w:t>health</w:t>
      </w:r>
      <w:r>
        <w:t xml:space="preserve"> </w:t>
      </w:r>
      <w:r w:rsidRPr="00020982">
        <w:t>benefits</w:t>
      </w:r>
      <w:r>
        <w:t xml:space="preserve"> </w:t>
      </w:r>
      <w:r w:rsidRPr="00020982">
        <w:t>are</w:t>
      </w:r>
      <w:r>
        <w:t xml:space="preserve"> </w:t>
      </w:r>
      <w:r w:rsidRPr="00020982">
        <w:t>modelled</w:t>
      </w:r>
      <w:r>
        <w:t xml:space="preserve"> as outlined below. </w:t>
      </w:r>
      <w:bookmarkStart w:id="184" w:name="_Hlk75981956"/>
      <w:bookmarkStart w:id="185" w:name="_Hlk75954646"/>
      <w:r>
        <w:t xml:space="preserve">While </w:t>
      </w:r>
      <w:proofErr w:type="gramStart"/>
      <w:r>
        <w:t>it is clear that improved</w:t>
      </w:r>
      <w:proofErr w:type="gramEnd"/>
      <w:r>
        <w:t xml:space="preserve"> thermal control and energy efficiency can improve health in different ways, these benefits are generally regarded as highly uncertain, and estimates are speculative. They should be interpreted as an indicative potential value of the wellbeing that could be generated through energy efficiency upgrades. The true value in dollar terms of these benefits is unknown, but is expected, based on the information available, to be of the same order of magnitude as our estimates</w:t>
      </w:r>
      <w:bookmarkEnd w:id="184"/>
      <w:r>
        <w:t>.</w:t>
      </w:r>
    </w:p>
    <w:bookmarkEnd w:id="185"/>
    <w:p w14:paraId="07B5BC30" w14:textId="77777777" w:rsidR="00676882" w:rsidRDefault="00676882" w:rsidP="00676882">
      <w:pPr>
        <w:pStyle w:val="ListBullet2"/>
      </w:pPr>
      <w:r w:rsidRPr="00020982">
        <w:rPr>
          <w:i/>
          <w:iCs/>
        </w:rPr>
        <w:t>Tenant</w:t>
      </w:r>
      <w:r>
        <w:rPr>
          <w:i/>
          <w:iCs/>
        </w:rPr>
        <w:t xml:space="preserve"> </w:t>
      </w:r>
      <w:r w:rsidRPr="00020982">
        <w:rPr>
          <w:i/>
          <w:iCs/>
        </w:rPr>
        <w:t>health</w:t>
      </w:r>
      <w:r>
        <w:rPr>
          <w:i/>
          <w:iCs/>
        </w:rPr>
        <w:t xml:space="preserve"> </w:t>
      </w:r>
      <w:r w:rsidRPr="00020982">
        <w:rPr>
          <w:i/>
          <w:iCs/>
        </w:rPr>
        <w:t>benefits</w:t>
      </w:r>
      <w:r>
        <w:rPr>
          <w:i/>
          <w:iCs/>
        </w:rPr>
        <w:t xml:space="preserve"> </w:t>
      </w:r>
      <w:r w:rsidRPr="00020982">
        <w:rPr>
          <w:i/>
          <w:iCs/>
        </w:rPr>
        <w:t>–</w:t>
      </w:r>
      <w:r>
        <w:t xml:space="preserve"> as noted in section </w:t>
      </w:r>
      <w:r w:rsidRPr="009E4AB1">
        <w:fldChar w:fldCharType="begin"/>
      </w:r>
      <w:r w:rsidRPr="009E4AB1">
        <w:instrText xml:space="preserve"> REF _Ref75770057 \r \h  \* MERGEFORMAT </w:instrText>
      </w:r>
      <w:r w:rsidRPr="009E4AB1">
        <w:fldChar w:fldCharType="separate"/>
      </w:r>
      <w:r>
        <w:t>2.3.1</w:t>
      </w:r>
      <w:r w:rsidRPr="009E4AB1">
        <w:fldChar w:fldCharType="end"/>
      </w:r>
      <w:r>
        <w:t>, poor thermal control has impacts on the health of tenants. These health benefits have been modelled as part of the sensitivity testing (see below).</w:t>
      </w:r>
    </w:p>
    <w:p w14:paraId="62014511" w14:textId="77777777" w:rsidR="00676882" w:rsidRDefault="00676882" w:rsidP="00676882">
      <w:pPr>
        <w:pStyle w:val="ListBullet2"/>
      </w:pPr>
      <w:r w:rsidRPr="00020982">
        <w:rPr>
          <w:i/>
          <w:iCs/>
        </w:rPr>
        <w:t>Health</w:t>
      </w:r>
      <w:r>
        <w:rPr>
          <w:i/>
          <w:iCs/>
        </w:rPr>
        <w:t xml:space="preserve"> </w:t>
      </w:r>
      <w:r w:rsidRPr="00020982">
        <w:rPr>
          <w:i/>
          <w:iCs/>
        </w:rPr>
        <w:t>benefits</w:t>
      </w:r>
      <w:r>
        <w:rPr>
          <w:i/>
          <w:iCs/>
        </w:rPr>
        <w:t xml:space="preserve"> </w:t>
      </w:r>
      <w:r w:rsidRPr="00020982">
        <w:rPr>
          <w:i/>
          <w:iCs/>
        </w:rPr>
        <w:t>related</w:t>
      </w:r>
      <w:r>
        <w:rPr>
          <w:i/>
          <w:iCs/>
        </w:rPr>
        <w:t xml:space="preserve"> </w:t>
      </w:r>
      <w:r w:rsidRPr="00020982">
        <w:rPr>
          <w:i/>
          <w:iCs/>
        </w:rPr>
        <w:t>to</w:t>
      </w:r>
      <w:r>
        <w:rPr>
          <w:i/>
          <w:iCs/>
        </w:rPr>
        <w:t xml:space="preserve"> </w:t>
      </w:r>
      <w:r w:rsidRPr="00020982">
        <w:rPr>
          <w:i/>
          <w:iCs/>
        </w:rPr>
        <w:t>improved</w:t>
      </w:r>
      <w:r>
        <w:rPr>
          <w:i/>
          <w:iCs/>
        </w:rPr>
        <w:t xml:space="preserve"> </w:t>
      </w:r>
      <w:r w:rsidRPr="00020982">
        <w:rPr>
          <w:i/>
          <w:iCs/>
        </w:rPr>
        <w:t>air</w:t>
      </w:r>
      <w:r>
        <w:rPr>
          <w:i/>
          <w:iCs/>
        </w:rPr>
        <w:t xml:space="preserve"> </w:t>
      </w:r>
      <w:r w:rsidRPr="00020982">
        <w:rPr>
          <w:i/>
          <w:iCs/>
        </w:rPr>
        <w:t>quality</w:t>
      </w:r>
      <w:r>
        <w:rPr>
          <w:i/>
          <w:iCs/>
        </w:rPr>
        <w:t xml:space="preserve"> from domestic gas burning </w:t>
      </w:r>
      <w:r>
        <w:t xml:space="preserve">– gas burning from domestic heaters results in emission of particulates which can result in respiratory and circulatory health impacts. </w:t>
      </w:r>
    </w:p>
    <w:p w14:paraId="65C38FE4" w14:textId="77777777" w:rsidR="00676882" w:rsidRDefault="00676882" w:rsidP="00676882">
      <w:pPr>
        <w:pStyle w:val="ListBullet2"/>
      </w:pPr>
      <w:r w:rsidRPr="00020982">
        <w:rPr>
          <w:i/>
          <w:iCs/>
        </w:rPr>
        <w:t>Health</w:t>
      </w:r>
      <w:r>
        <w:rPr>
          <w:i/>
          <w:iCs/>
        </w:rPr>
        <w:t xml:space="preserve"> </w:t>
      </w:r>
      <w:r w:rsidRPr="00020982">
        <w:rPr>
          <w:i/>
          <w:iCs/>
        </w:rPr>
        <w:t>benefits</w:t>
      </w:r>
      <w:r>
        <w:rPr>
          <w:i/>
          <w:iCs/>
        </w:rPr>
        <w:t xml:space="preserve"> </w:t>
      </w:r>
      <w:r w:rsidRPr="00020982">
        <w:rPr>
          <w:i/>
          <w:iCs/>
        </w:rPr>
        <w:t>related</w:t>
      </w:r>
      <w:r>
        <w:rPr>
          <w:i/>
          <w:iCs/>
        </w:rPr>
        <w:t xml:space="preserve"> </w:t>
      </w:r>
      <w:r w:rsidRPr="00020982">
        <w:rPr>
          <w:i/>
          <w:iCs/>
        </w:rPr>
        <w:t>to</w:t>
      </w:r>
      <w:r>
        <w:rPr>
          <w:i/>
          <w:iCs/>
        </w:rPr>
        <w:t xml:space="preserve"> </w:t>
      </w:r>
      <w:r w:rsidRPr="00020982">
        <w:rPr>
          <w:i/>
          <w:iCs/>
        </w:rPr>
        <w:t>improved</w:t>
      </w:r>
      <w:r>
        <w:rPr>
          <w:i/>
          <w:iCs/>
        </w:rPr>
        <w:t xml:space="preserve"> </w:t>
      </w:r>
      <w:r w:rsidRPr="00020982">
        <w:rPr>
          <w:i/>
          <w:iCs/>
        </w:rPr>
        <w:t>air</w:t>
      </w:r>
      <w:r>
        <w:rPr>
          <w:i/>
          <w:iCs/>
        </w:rPr>
        <w:t xml:space="preserve"> </w:t>
      </w:r>
      <w:r w:rsidRPr="00020982">
        <w:rPr>
          <w:i/>
          <w:iCs/>
        </w:rPr>
        <w:t>quality</w:t>
      </w:r>
      <w:r>
        <w:rPr>
          <w:i/>
          <w:iCs/>
        </w:rPr>
        <w:t xml:space="preserve"> from coal and gas power plants</w:t>
      </w:r>
      <w:r>
        <w:t xml:space="preserve">– even though the ACT offsets its electricity sourced from fossil fuel, part of its electricity use is associated with coal or natural gas plants (predominantly in New South Wales). Burning </w:t>
      </w:r>
      <w:r>
        <w:lastRenderedPageBreak/>
        <w:t xml:space="preserve">fossil fuels in these power plants produces particulate matter which is harmful to the health of surrounding residents. Despite not being a benefit attributable to the ACT, it is an auxiliary benefit of reduced electricity use. </w:t>
      </w:r>
    </w:p>
    <w:bookmarkEnd w:id="182"/>
    <w:p w14:paraId="1A73FB31" w14:textId="77777777" w:rsidR="00676882" w:rsidRDefault="00676882" w:rsidP="00676882">
      <w:pPr>
        <w:pStyle w:val="Heading4"/>
      </w:pPr>
      <w:r>
        <w:t>Energy savings and tenant health benefits</w:t>
      </w:r>
    </w:p>
    <w:p w14:paraId="6E7846B6" w14:textId="77777777" w:rsidR="00676882" w:rsidRDefault="00676882" w:rsidP="00676882">
      <w:pPr>
        <w:pStyle w:val="BodyText"/>
      </w:pPr>
      <w:r>
        <w:t xml:space="preserve">Improving the thermal control and energy efficiency of rental properties mean that tenants can heat (or cool) their homes more easily at less cost. However, saving energy costs and improving thermal comfort are a substitute for tenants. </w:t>
      </w:r>
    </w:p>
    <w:p w14:paraId="173DB200" w14:textId="77777777" w:rsidR="00676882" w:rsidRDefault="00676882" w:rsidP="00676882">
      <w:pPr>
        <w:pStyle w:val="BodyText"/>
      </w:pPr>
      <w:r>
        <w:t>Improving the energy efficiency of a property does not guarantee that they will use less energy or that they will live in more comfortable homes — tenants will choose for themselves what their priorities are. For example, tenants may choose to heat their home to the same level as before the upgrade, taking any savings entirely as savings on their energy bill without any benefits to comfort and health. Alternatively, they may choose to spend the same amount on energy and improve the thermal comfort of their homes. In either case, the tenant is made better off, though they must decide how much they wish to save energy and how much to improve comfort.</w:t>
      </w:r>
    </w:p>
    <w:p w14:paraId="34E26379" w14:textId="77777777" w:rsidR="00676882" w:rsidRDefault="00676882" w:rsidP="00676882">
      <w:pPr>
        <w:pStyle w:val="BodyText"/>
      </w:pPr>
      <w:r>
        <w:t xml:space="preserve">For the purpose of the modelled scenarios, the comfort and health benefits have not been included, however they have been included as part of the sensitivity testing in </w:t>
      </w:r>
      <w:r w:rsidRPr="003012B7">
        <w:t xml:space="preserve">section </w:t>
      </w:r>
      <w:r w:rsidRPr="009E4AB1">
        <w:fldChar w:fldCharType="begin"/>
      </w:r>
      <w:r w:rsidRPr="009E4AB1">
        <w:instrText xml:space="preserve"> REF _Ref80468002 \r \h  \* MERGEFORMAT </w:instrText>
      </w:r>
      <w:r w:rsidRPr="009E4AB1">
        <w:fldChar w:fldCharType="separate"/>
      </w:r>
      <w:r>
        <w:t>5.4.4</w:t>
      </w:r>
      <w:r w:rsidRPr="009E4AB1">
        <w:fldChar w:fldCharType="end"/>
      </w:r>
      <w:r w:rsidRPr="006B0263">
        <w:t>,</w:t>
      </w:r>
      <w:r w:rsidRPr="00A37BB9">
        <w:t xml:space="preserve"> below.</w:t>
      </w:r>
    </w:p>
    <w:p w14:paraId="6C0ED8A5" w14:textId="77777777" w:rsidR="00676882" w:rsidRDefault="00676882" w:rsidP="00676882">
      <w:pPr>
        <w:pStyle w:val="Heading5"/>
      </w:pPr>
      <w:r>
        <w:t>Rebound effect</w:t>
      </w:r>
    </w:p>
    <w:p w14:paraId="109A1AEB" w14:textId="77777777" w:rsidR="00676882" w:rsidRDefault="00676882" w:rsidP="00676882">
      <w:pPr>
        <w:pStyle w:val="BodyText"/>
      </w:pPr>
      <w:r>
        <w:t>The degree to which tenants increase their energy use (relative to the full saving) from improved energy efficiency is referred to as the rebound effect. It may take three forms:</w:t>
      </w:r>
    </w:p>
    <w:p w14:paraId="03076F49" w14:textId="77777777" w:rsidR="00676882" w:rsidRDefault="00676882" w:rsidP="00676882">
      <w:pPr>
        <w:pStyle w:val="ListNumber"/>
        <w:numPr>
          <w:ilvl w:val="0"/>
          <w:numId w:val="42"/>
        </w:numPr>
      </w:pPr>
      <w:r>
        <w:t>the take-back effect, where energy users increase their consumption of energy using services (</w:t>
      </w:r>
      <w:proofErr w:type="gramStart"/>
      <w:r>
        <w:t>e.g.</w:t>
      </w:r>
      <w:proofErr w:type="gramEnd"/>
      <w:r>
        <w:t xml:space="preserve"> heating)</w:t>
      </w:r>
    </w:p>
    <w:p w14:paraId="4F44E2B0" w14:textId="77777777" w:rsidR="00676882" w:rsidRDefault="00676882" w:rsidP="00676882">
      <w:pPr>
        <w:pStyle w:val="ListNumber"/>
        <w:numPr>
          <w:ilvl w:val="0"/>
          <w:numId w:val="42"/>
        </w:numPr>
      </w:pPr>
      <w:r>
        <w:t>the spending effect, where energy users spend financial savings from energy efficiency on other energy consuming activities</w:t>
      </w:r>
    </w:p>
    <w:p w14:paraId="20B9695C" w14:textId="77777777" w:rsidR="00676882" w:rsidRDefault="00676882" w:rsidP="00676882">
      <w:pPr>
        <w:pStyle w:val="ListNumber"/>
        <w:numPr>
          <w:ilvl w:val="0"/>
          <w:numId w:val="42"/>
        </w:numPr>
      </w:pPr>
      <w:r>
        <w:t>the investment effect, where investment in energy efficiency leads to an indirect increase in economic activity and energy consumption.</w:t>
      </w:r>
    </w:p>
    <w:p w14:paraId="040BBCBA" w14:textId="77777777" w:rsidR="00676882" w:rsidRDefault="00676882" w:rsidP="00676882">
      <w:pPr>
        <w:pStyle w:val="BodyText"/>
      </w:pPr>
      <w:r>
        <w:t>The energy efficiency literature often makes note of this rebound effect as a contributing explanatory factor for the differences between projected and actual energy savings. Increased energy use may, in part, help explain improved health impacts of the proposed options.</w:t>
      </w:r>
    </w:p>
    <w:p w14:paraId="5153D7ED" w14:textId="77777777" w:rsidR="00676882" w:rsidRDefault="00676882" w:rsidP="00676882">
      <w:pPr>
        <w:pStyle w:val="BodyText"/>
      </w:pPr>
      <w:r>
        <w:t>Empirical evidence suggests that the rebound effect is real. However, the evidence also suggests that the magnitude of the effect is highly variable and context specific.</w:t>
      </w:r>
    </w:p>
    <w:p w14:paraId="188F8D52" w14:textId="77777777" w:rsidR="00676882" w:rsidRDefault="00676882" w:rsidP="00676882">
      <w:pPr>
        <w:pStyle w:val="ListBullet"/>
      </w:pPr>
      <w:r>
        <w:t xml:space="preserve">Modelling done by Tony Isaacs and Robert Foster for a 2011 mandatory disclosure Regulation Impact Statement included a 30 per cent rebound effect (that is, it included a 30 per cent discount to energy savings) </w:t>
      </w:r>
      <w:sdt>
        <w:sdtPr>
          <w:id w:val="1494523227"/>
          <w:citation/>
        </w:sdtPr>
        <w:sdtContent>
          <w:r>
            <w:fldChar w:fldCharType="begin"/>
          </w:r>
          <w:r>
            <w:rPr>
              <w:lang w:val="en-US"/>
            </w:rPr>
            <w:instrText xml:space="preserve"> CITATION All11 \l 1033 </w:instrText>
          </w:r>
          <w:r>
            <w:fldChar w:fldCharType="separate"/>
          </w:r>
          <w:r>
            <w:rPr>
              <w:noProof/>
              <w:lang w:val="en-US"/>
            </w:rPr>
            <w:t>(Allen Consulting Group, 2011)</w:t>
          </w:r>
          <w:r>
            <w:fldChar w:fldCharType="end"/>
          </w:r>
        </w:sdtContent>
      </w:sdt>
      <w:r>
        <w:t>.</w:t>
      </w:r>
    </w:p>
    <w:p w14:paraId="562D3DAF" w14:textId="77777777" w:rsidR="00676882" w:rsidRDefault="00676882" w:rsidP="00676882">
      <w:pPr>
        <w:pStyle w:val="ListBullet"/>
      </w:pPr>
      <w:r>
        <w:t xml:space="preserve">McKinsey </w:t>
      </w:r>
      <w:sdt>
        <w:sdtPr>
          <w:id w:val="-95949656"/>
          <w:citation/>
        </w:sdtPr>
        <w:sdtContent>
          <w:r>
            <w:fldChar w:fldCharType="begin"/>
          </w:r>
          <w:r>
            <w:rPr>
              <w:lang w:val="en-US"/>
            </w:rPr>
            <w:instrText xml:space="preserve">CITATION McK09 \n  \t  \l 1033 </w:instrText>
          </w:r>
          <w:r>
            <w:fldChar w:fldCharType="separate"/>
          </w:r>
          <w:r>
            <w:rPr>
              <w:noProof/>
              <w:lang w:val="en-US"/>
            </w:rPr>
            <w:t>(2009)</w:t>
          </w:r>
          <w:r>
            <w:fldChar w:fldCharType="end"/>
          </w:r>
        </w:sdtContent>
      </w:sdt>
      <w:r>
        <w:t xml:space="preserve"> </w:t>
      </w:r>
      <w:r w:rsidRPr="00A315E5">
        <w:t>refers</w:t>
      </w:r>
      <w:r>
        <w:t xml:space="preserve"> to </w:t>
      </w:r>
      <w:r w:rsidRPr="00A315E5">
        <w:t>a</w:t>
      </w:r>
      <w:r>
        <w:t xml:space="preserve"> </w:t>
      </w:r>
      <w:r w:rsidRPr="00A315E5">
        <w:t>rebound</w:t>
      </w:r>
      <w:r>
        <w:t xml:space="preserve"> </w:t>
      </w:r>
      <w:r w:rsidRPr="00A315E5">
        <w:t>effect</w:t>
      </w:r>
      <w:r>
        <w:t xml:space="preserve"> </w:t>
      </w:r>
      <w:r w:rsidRPr="00A315E5">
        <w:t>of</w:t>
      </w:r>
      <w:r>
        <w:t xml:space="preserve"> </w:t>
      </w:r>
      <w:r w:rsidRPr="00A315E5">
        <w:t>15</w:t>
      </w:r>
      <w:r>
        <w:t xml:space="preserve"> to </w:t>
      </w:r>
      <w:r w:rsidRPr="00A315E5">
        <w:t>30</w:t>
      </w:r>
      <w:r>
        <w:t xml:space="preserve"> per cent.</w:t>
      </w:r>
    </w:p>
    <w:p w14:paraId="20A43393" w14:textId="77777777" w:rsidR="00676882" w:rsidRDefault="00676882" w:rsidP="00676882">
      <w:pPr>
        <w:pStyle w:val="ListBullet"/>
      </w:pPr>
      <w:r>
        <w:t xml:space="preserve">A report by the IEA </w:t>
      </w:r>
      <w:sdt>
        <w:sdtPr>
          <w:id w:val="-1277011049"/>
          <w:citation/>
        </w:sdtPr>
        <w:sdtContent>
          <w:r>
            <w:fldChar w:fldCharType="begin"/>
          </w:r>
          <w:r>
            <w:rPr>
              <w:lang w:val="en-US"/>
            </w:rPr>
            <w:instrText xml:space="preserve">CITATION IEA15 \n  \t  \l 1033 </w:instrText>
          </w:r>
          <w:r>
            <w:fldChar w:fldCharType="separate"/>
          </w:r>
          <w:r>
            <w:rPr>
              <w:noProof/>
              <w:lang w:val="en-US"/>
            </w:rPr>
            <w:t>(2015)</w:t>
          </w:r>
          <w:r>
            <w:fldChar w:fldCharType="end"/>
          </w:r>
        </w:sdtContent>
      </w:sdt>
      <w:r>
        <w:t xml:space="preserve"> on the </w:t>
      </w:r>
      <w:r w:rsidRPr="00A315E5">
        <w:t>multiple</w:t>
      </w:r>
      <w:r>
        <w:t xml:space="preserve"> </w:t>
      </w:r>
      <w:r w:rsidRPr="00A315E5">
        <w:t>effects</w:t>
      </w:r>
      <w:r>
        <w:t xml:space="preserve"> </w:t>
      </w:r>
      <w:r w:rsidRPr="00A315E5">
        <w:t>of</w:t>
      </w:r>
      <w:r>
        <w:t xml:space="preserve"> </w:t>
      </w:r>
      <w:r w:rsidRPr="00A315E5">
        <w:t>energy</w:t>
      </w:r>
      <w:r>
        <w:t xml:space="preserve"> </w:t>
      </w:r>
      <w:r w:rsidRPr="00A315E5">
        <w:t>efficiency</w:t>
      </w:r>
      <w:r>
        <w:t xml:space="preserve"> </w:t>
      </w:r>
      <w:r w:rsidRPr="00A315E5">
        <w:t>refers</w:t>
      </w:r>
      <w:r>
        <w:t xml:space="preserve"> </w:t>
      </w:r>
      <w:r w:rsidRPr="00A315E5">
        <w:t>to</w:t>
      </w:r>
      <w:r>
        <w:t xml:space="preserve"> a total macroeconomic rebound effect in the range of </w:t>
      </w:r>
      <w:r w:rsidRPr="00A315E5">
        <w:t>10</w:t>
      </w:r>
      <w:r>
        <w:t xml:space="preserve"> per cent to 30 per cent in the UK and suggests the rate is </w:t>
      </w:r>
      <w:r w:rsidRPr="00A315E5">
        <w:t>similar</w:t>
      </w:r>
      <w:r>
        <w:t xml:space="preserve"> </w:t>
      </w:r>
      <w:r w:rsidRPr="00A315E5">
        <w:t>in</w:t>
      </w:r>
      <w:r>
        <w:t xml:space="preserve"> </w:t>
      </w:r>
      <w:r w:rsidRPr="00A315E5">
        <w:t>other</w:t>
      </w:r>
      <w:r>
        <w:t xml:space="preserve"> </w:t>
      </w:r>
      <w:r w:rsidRPr="00A315E5">
        <w:t>developed</w:t>
      </w:r>
      <w:r>
        <w:t xml:space="preserve"> </w:t>
      </w:r>
      <w:r w:rsidRPr="00A315E5">
        <w:t>countries</w:t>
      </w:r>
      <w:r>
        <w:t xml:space="preserve"> </w:t>
      </w:r>
      <w:r w:rsidRPr="00A315E5">
        <w:t>and</w:t>
      </w:r>
      <w:r>
        <w:t xml:space="preserve"> </w:t>
      </w:r>
      <w:r w:rsidRPr="00A315E5">
        <w:t>higher</w:t>
      </w:r>
      <w:r>
        <w:t xml:space="preserve"> </w:t>
      </w:r>
      <w:r w:rsidRPr="00A315E5">
        <w:t>in</w:t>
      </w:r>
      <w:r>
        <w:t xml:space="preserve"> </w:t>
      </w:r>
      <w:r w:rsidRPr="00A315E5">
        <w:t>developing</w:t>
      </w:r>
      <w:r>
        <w:t xml:space="preserve"> </w:t>
      </w:r>
      <w:r w:rsidRPr="00A315E5">
        <w:t>countries.</w:t>
      </w:r>
      <w:r>
        <w:t xml:space="preserve"> </w:t>
      </w:r>
    </w:p>
    <w:p w14:paraId="565B4F70" w14:textId="77777777" w:rsidR="00676882" w:rsidRDefault="00676882" w:rsidP="00676882">
      <w:pPr>
        <w:pStyle w:val="ListBullet"/>
      </w:pPr>
      <w:r w:rsidRPr="00F31A95">
        <w:t>O’Leary</w:t>
      </w:r>
      <w:r>
        <w:t xml:space="preserve"> </w:t>
      </w:r>
      <w:sdt>
        <w:sdtPr>
          <w:id w:val="716252825"/>
          <w:citation/>
        </w:sdtPr>
        <w:sdtContent>
          <w:r>
            <w:fldChar w:fldCharType="begin"/>
          </w:r>
          <w:r>
            <w:rPr>
              <w:lang w:val="en-US"/>
            </w:rPr>
            <w:instrText xml:space="preserve">CITATION OLe16 \n  \t  \l 1033 </w:instrText>
          </w:r>
          <w:r>
            <w:fldChar w:fldCharType="separate"/>
          </w:r>
          <w:r>
            <w:rPr>
              <w:noProof/>
              <w:lang w:val="en-US"/>
            </w:rPr>
            <w:t>(2016)</w:t>
          </w:r>
          <w:r>
            <w:fldChar w:fldCharType="end"/>
          </w:r>
        </w:sdtContent>
      </w:sdt>
      <w:r>
        <w:t xml:space="preserve"> suggests that </w:t>
      </w:r>
      <w:r w:rsidRPr="00F31A95">
        <w:t>the</w:t>
      </w:r>
      <w:r>
        <w:t xml:space="preserve"> </w:t>
      </w:r>
      <w:r w:rsidRPr="00F31A95">
        <w:t>rebound</w:t>
      </w:r>
      <w:r>
        <w:t xml:space="preserve"> </w:t>
      </w:r>
      <w:r w:rsidRPr="00F31A95">
        <w:t>effect</w:t>
      </w:r>
      <w:r>
        <w:t xml:space="preserve"> </w:t>
      </w:r>
      <w:r w:rsidRPr="00F31A95">
        <w:t>for</w:t>
      </w:r>
      <w:r>
        <w:t xml:space="preserve"> </w:t>
      </w:r>
      <w:r w:rsidRPr="00F31A95">
        <w:t>efficiency</w:t>
      </w:r>
      <w:r>
        <w:t xml:space="preserve"> </w:t>
      </w:r>
      <w:r w:rsidRPr="00F31A95">
        <w:t>alone</w:t>
      </w:r>
      <w:r>
        <w:t xml:space="preserve"> </w:t>
      </w:r>
      <w:r w:rsidRPr="00F31A95">
        <w:t>should</w:t>
      </w:r>
      <w:r>
        <w:t xml:space="preserve"> </w:t>
      </w:r>
      <w:r w:rsidRPr="00F31A95">
        <w:t>be</w:t>
      </w:r>
      <w:r>
        <w:t xml:space="preserve"> </w:t>
      </w:r>
      <w:r w:rsidRPr="00F31A95">
        <w:t>nearer</w:t>
      </w:r>
      <w:r>
        <w:t xml:space="preserve"> </w:t>
      </w:r>
      <w:r w:rsidRPr="00F31A95">
        <w:t>the</w:t>
      </w:r>
      <w:r>
        <w:t xml:space="preserve"> </w:t>
      </w:r>
      <w:r w:rsidRPr="00F31A95">
        <w:t>low</w:t>
      </w:r>
      <w:r>
        <w:t xml:space="preserve"> </w:t>
      </w:r>
      <w:r w:rsidRPr="00F31A95">
        <w:t>end</w:t>
      </w:r>
      <w:r>
        <w:t xml:space="preserve"> of estimates </w:t>
      </w:r>
      <w:r w:rsidRPr="00F31A95">
        <w:t>o</w:t>
      </w:r>
      <w:r>
        <w:t xml:space="preserve">f </w:t>
      </w:r>
      <w:r w:rsidRPr="00F31A95">
        <w:t>around</w:t>
      </w:r>
      <w:r>
        <w:t xml:space="preserve"> </w:t>
      </w:r>
      <w:r w:rsidRPr="00F31A95">
        <w:t>5</w:t>
      </w:r>
      <w:r>
        <w:t xml:space="preserve"> per cent to </w:t>
      </w:r>
      <w:r w:rsidRPr="00F31A95">
        <w:t>10</w:t>
      </w:r>
      <w:r>
        <w:t xml:space="preserve"> per cent of </w:t>
      </w:r>
      <w:r w:rsidRPr="00F31A95">
        <w:t>expected</w:t>
      </w:r>
      <w:r>
        <w:t xml:space="preserve"> </w:t>
      </w:r>
      <w:r w:rsidRPr="00F31A95">
        <w:t>energy</w:t>
      </w:r>
      <w:r>
        <w:t xml:space="preserve"> </w:t>
      </w:r>
      <w:r w:rsidRPr="00F31A95">
        <w:t>savings.</w:t>
      </w:r>
    </w:p>
    <w:p w14:paraId="08036F02" w14:textId="77777777" w:rsidR="00676882" w:rsidRDefault="00676882" w:rsidP="00676882">
      <w:pPr>
        <w:pStyle w:val="BodyText"/>
      </w:pPr>
      <w:r>
        <w:t xml:space="preserve">Stakeholders consulted for </w:t>
      </w:r>
      <w:proofErr w:type="gramStart"/>
      <w:r>
        <w:t>this</w:t>
      </w:r>
      <w:proofErr w:type="gramEnd"/>
      <w:r>
        <w:t xml:space="preserve"> and other ACIL Allen energy efficiency projects were of the view that the rebound effect when insulating uninsulated or poorly insulated homes could be high — as the home would be able to retain the heat (or cool) with insulation installed or upgraded, the tenant would be willing to pay more to heat (or cool) their home so that they were more comfortable. </w:t>
      </w:r>
    </w:p>
    <w:p w14:paraId="06C641BF" w14:textId="77777777" w:rsidR="00676882" w:rsidRDefault="00676882" w:rsidP="00676882">
      <w:pPr>
        <w:pStyle w:val="BodyText"/>
      </w:pPr>
      <w:r>
        <w:lastRenderedPageBreak/>
        <w:t xml:space="preserve">Given the uncertainty associated with the rebound factor, we have assessed the energy savings based on a rebound factor of 10 per cent. This implies that </w:t>
      </w:r>
      <w:proofErr w:type="gramStart"/>
      <w:r>
        <w:t>the majority of</w:t>
      </w:r>
      <w:proofErr w:type="gramEnd"/>
      <w:r>
        <w:t xml:space="preserve"> the benefit is received as reduced energy costs, where benefits are more easily and accurately estimated. However, given tenants can choose </w:t>
      </w:r>
      <w:proofErr w:type="gramStart"/>
      <w:r>
        <w:t>more or less thermal</w:t>
      </w:r>
      <w:proofErr w:type="gramEnd"/>
      <w:r>
        <w:t xml:space="preserve"> comfort depending on their priorities, this should be understood as a lower bound estimate of benefits. We have conducted a sensitivity test on this in section </w:t>
      </w:r>
      <w:r w:rsidRPr="009E4AB1">
        <w:fldChar w:fldCharType="begin"/>
      </w:r>
      <w:r w:rsidRPr="009E4AB1">
        <w:instrText xml:space="preserve"> REF _Ref75909958 \r \h  \* MERGEFORMAT </w:instrText>
      </w:r>
      <w:r w:rsidRPr="009E4AB1">
        <w:fldChar w:fldCharType="separate"/>
      </w:r>
      <w:r>
        <w:t>5.4.4</w:t>
      </w:r>
      <w:r w:rsidRPr="009E4AB1">
        <w:fldChar w:fldCharType="end"/>
      </w:r>
      <w:r>
        <w:t xml:space="preserve">, though the results are not substantially affected by a change in this estimate. </w:t>
      </w:r>
    </w:p>
    <w:p w14:paraId="7ED501B1" w14:textId="77777777" w:rsidR="00676882" w:rsidRDefault="00676882" w:rsidP="00676882">
      <w:pPr>
        <w:pStyle w:val="Heading3"/>
      </w:pPr>
      <w:bookmarkStart w:id="186" w:name="_Ref75768801"/>
      <w:r>
        <w:t>Costs modelled</w:t>
      </w:r>
      <w:bookmarkEnd w:id="186"/>
    </w:p>
    <w:p w14:paraId="4CAEE42D" w14:textId="77777777" w:rsidR="00676882" w:rsidRDefault="00676882" w:rsidP="00676882">
      <w:pPr>
        <w:pStyle w:val="BodyText"/>
      </w:pPr>
      <w:r>
        <w:t>The costs modelled include:</w:t>
      </w:r>
    </w:p>
    <w:p w14:paraId="6C747C5E" w14:textId="77777777" w:rsidR="00676882" w:rsidRDefault="00676882" w:rsidP="00676882">
      <w:pPr>
        <w:pStyle w:val="ListBullet"/>
      </w:pPr>
      <w:bookmarkStart w:id="187" w:name="_Hlk75982016"/>
      <w:r w:rsidRPr="00344ECD">
        <w:rPr>
          <w:b/>
          <w:bCs/>
        </w:rPr>
        <w:t>Private</w:t>
      </w:r>
      <w:r>
        <w:rPr>
          <w:b/>
          <w:bCs/>
        </w:rPr>
        <w:t xml:space="preserve"> </w:t>
      </w:r>
      <w:r w:rsidRPr="00344ECD">
        <w:rPr>
          <w:b/>
          <w:bCs/>
        </w:rPr>
        <w:t>upgrade</w:t>
      </w:r>
      <w:r>
        <w:rPr>
          <w:b/>
          <w:bCs/>
        </w:rPr>
        <w:t xml:space="preserve"> </w:t>
      </w:r>
      <w:r w:rsidRPr="00344ECD">
        <w:rPr>
          <w:b/>
          <w:bCs/>
        </w:rPr>
        <w:t>costs</w:t>
      </w:r>
      <w:r>
        <w:rPr>
          <w:b/>
          <w:bCs/>
        </w:rPr>
        <w:t xml:space="preserve"> </w:t>
      </w:r>
      <w:r w:rsidRPr="00344ECD">
        <w:t>–</w:t>
      </w:r>
      <w:r>
        <w:t xml:space="preserve"> These are the costs to rental providers in money and time. Costs include the capital costs required to make upgrades, the costs of inspections (as required), rectification costs required to make the upgrade (such as fixing roof cavities or installing compliant electrical components) and the time taken to organise and make upgrades. </w:t>
      </w:r>
    </w:p>
    <w:p w14:paraId="4BD4232D" w14:textId="77777777" w:rsidR="00676882" w:rsidRDefault="00676882" w:rsidP="00676882">
      <w:pPr>
        <w:pStyle w:val="ListBullet"/>
      </w:pPr>
      <w:r w:rsidRPr="00344ECD">
        <w:rPr>
          <w:b/>
          <w:bCs/>
        </w:rPr>
        <w:t>Industry</w:t>
      </w:r>
      <w:r>
        <w:rPr>
          <w:b/>
          <w:bCs/>
        </w:rPr>
        <w:t xml:space="preserve"> </w:t>
      </w:r>
      <w:r w:rsidRPr="00344ECD">
        <w:rPr>
          <w:b/>
          <w:bCs/>
        </w:rPr>
        <w:t>upgrade</w:t>
      </w:r>
      <w:r>
        <w:rPr>
          <w:b/>
          <w:bCs/>
        </w:rPr>
        <w:t xml:space="preserve"> </w:t>
      </w:r>
      <w:r w:rsidRPr="00344ECD">
        <w:rPr>
          <w:b/>
          <w:bCs/>
        </w:rPr>
        <w:t>costs</w:t>
      </w:r>
      <w:r>
        <w:rPr>
          <w:b/>
          <w:bCs/>
        </w:rPr>
        <w:t xml:space="preserve"> </w:t>
      </w:r>
      <w:r>
        <w:t xml:space="preserve">– Approximately 92 per cent of rental properties are managed by property managers. The time required for these property managers to organise upgrades are included as a cost. For some, these costs will be passed through to rental providers. </w:t>
      </w:r>
    </w:p>
    <w:p w14:paraId="24564719" w14:textId="77777777" w:rsidR="00676882" w:rsidRDefault="00676882" w:rsidP="00676882">
      <w:pPr>
        <w:pStyle w:val="ListBullet"/>
      </w:pPr>
      <w:r w:rsidRPr="00344ECD">
        <w:rPr>
          <w:b/>
          <w:bCs/>
        </w:rPr>
        <w:t>Public</w:t>
      </w:r>
      <w:r>
        <w:rPr>
          <w:b/>
          <w:bCs/>
        </w:rPr>
        <w:t xml:space="preserve"> </w:t>
      </w:r>
      <w:r w:rsidRPr="00344ECD">
        <w:rPr>
          <w:b/>
          <w:bCs/>
        </w:rPr>
        <w:t>upgrade</w:t>
      </w:r>
      <w:r>
        <w:rPr>
          <w:b/>
          <w:bCs/>
        </w:rPr>
        <w:t xml:space="preserve"> </w:t>
      </w:r>
      <w:r w:rsidRPr="00344ECD">
        <w:rPr>
          <w:b/>
          <w:bCs/>
        </w:rPr>
        <w:t>costs</w:t>
      </w:r>
      <w:r>
        <w:rPr>
          <w:b/>
          <w:bCs/>
        </w:rPr>
        <w:t xml:space="preserve"> </w:t>
      </w:r>
      <w:r>
        <w:t>– These are the costs for Housing ACT to upgrade its housing stock. These costs mirror those for private housing, including provision for full time staff to manage the upgrades, costs for inspecting and rectification, and the capital costs of upgrading the properties.</w:t>
      </w:r>
    </w:p>
    <w:p w14:paraId="1CF24414" w14:textId="77777777" w:rsidR="00676882" w:rsidRDefault="00676882" w:rsidP="00676882">
      <w:pPr>
        <w:pStyle w:val="ListBullet"/>
      </w:pPr>
      <w:r w:rsidRPr="000F65AD">
        <w:rPr>
          <w:b/>
          <w:bCs/>
        </w:rPr>
        <w:t>Administration</w:t>
      </w:r>
      <w:r>
        <w:rPr>
          <w:b/>
          <w:bCs/>
        </w:rPr>
        <w:t xml:space="preserve"> </w:t>
      </w:r>
      <w:r w:rsidRPr="000F65AD">
        <w:rPr>
          <w:b/>
          <w:bCs/>
        </w:rPr>
        <w:t>and</w:t>
      </w:r>
      <w:r>
        <w:rPr>
          <w:b/>
          <w:bCs/>
        </w:rPr>
        <w:t xml:space="preserve"> </w:t>
      </w:r>
      <w:r w:rsidRPr="000F65AD">
        <w:rPr>
          <w:b/>
          <w:bCs/>
        </w:rPr>
        <w:t>enforcement</w:t>
      </w:r>
      <w:r>
        <w:rPr>
          <w:b/>
          <w:bCs/>
        </w:rPr>
        <w:t xml:space="preserve"> </w:t>
      </w:r>
      <w:r w:rsidRPr="000F65AD">
        <w:rPr>
          <w:b/>
          <w:bCs/>
        </w:rPr>
        <w:t>costs</w:t>
      </w:r>
      <w:r>
        <w:rPr>
          <w:b/>
          <w:bCs/>
        </w:rPr>
        <w:t xml:space="preserve"> </w:t>
      </w:r>
      <w:r>
        <w:t>– These are the costs for the ACT Government to implement the proposed minimum standards, including education costs, and the costs associated with administration and enforcement. These costs are assumed to be invariant between the proposed options. The costs of any complementary measures to assist rental providers with the cost of the upgrades (</w:t>
      </w:r>
      <w:proofErr w:type="gramStart"/>
      <w:r>
        <w:t>e.g.</w:t>
      </w:r>
      <w:proofErr w:type="gramEnd"/>
      <w:r>
        <w:t xml:space="preserve"> subsidies and rebates) are not included in the modelling as they represent a transfer of costs.</w:t>
      </w:r>
    </w:p>
    <w:p w14:paraId="152A7D5F" w14:textId="77777777" w:rsidR="00676882" w:rsidRPr="001936A9" w:rsidRDefault="00676882" w:rsidP="00676882">
      <w:pPr>
        <w:pStyle w:val="ListBullet"/>
      </w:pPr>
      <w:r w:rsidRPr="000F65AD">
        <w:rPr>
          <w:b/>
          <w:bCs/>
        </w:rPr>
        <w:t>Industry</w:t>
      </w:r>
      <w:r>
        <w:rPr>
          <w:b/>
          <w:bCs/>
        </w:rPr>
        <w:t xml:space="preserve"> </w:t>
      </w:r>
      <w:r w:rsidRPr="000F65AD">
        <w:rPr>
          <w:b/>
          <w:bCs/>
        </w:rPr>
        <w:t>costs</w:t>
      </w:r>
      <w:r>
        <w:rPr>
          <w:b/>
          <w:bCs/>
        </w:rPr>
        <w:t xml:space="preserve"> </w:t>
      </w:r>
      <w:r>
        <w:t xml:space="preserve">– For the performance standards, additional training will be required for industry to provide Scorecard-like performance ratings. Additionally, these assessors require insurance during the period they are operating. </w:t>
      </w:r>
    </w:p>
    <w:p w14:paraId="1A1871A4" w14:textId="77777777" w:rsidR="00676882" w:rsidRDefault="00676882" w:rsidP="00676882">
      <w:pPr>
        <w:pStyle w:val="Heading2"/>
      </w:pPr>
      <w:bookmarkStart w:id="188" w:name="_Ref75287181"/>
      <w:bookmarkStart w:id="189" w:name="_Toc80712592"/>
      <w:bookmarkEnd w:id="175"/>
      <w:bookmarkEnd w:id="187"/>
      <w:r>
        <w:t>Net impacts</w:t>
      </w:r>
      <w:bookmarkEnd w:id="188"/>
      <w:bookmarkEnd w:id="189"/>
    </w:p>
    <w:p w14:paraId="36CC6909" w14:textId="77777777" w:rsidR="00676882" w:rsidRDefault="00676882" w:rsidP="00676882">
      <w:pPr>
        <w:pStyle w:val="BodyText"/>
      </w:pPr>
      <w:r>
        <w:t xml:space="preserve">A summary of the net impacts of the proposed options is shown in </w:t>
      </w:r>
      <w:r w:rsidRPr="009E4AB1">
        <w:fldChar w:fldCharType="begin"/>
      </w:r>
      <w:r w:rsidRPr="009E4AB1">
        <w:instrText xml:space="preserve"> REF _Ref80472291 \h  \* MERGEFORMAT </w:instrText>
      </w:r>
      <w:r w:rsidRPr="009E4AB1">
        <w:fldChar w:fldCharType="separate"/>
      </w:r>
      <w:r w:rsidRPr="00F32FCC">
        <w:t>Table 5.1</w:t>
      </w:r>
      <w:r w:rsidRPr="009E4AB1">
        <w:fldChar w:fldCharType="end"/>
      </w:r>
      <w:r>
        <w:t>. The results show that the insulation standards provide a net benefit to society, from around $10 million in net present value (NPV) terms for the R3 insulation (option a) to $18 million for R5 (option d). These options return between $1.19 and $1.30 for every dollar of cost, As reflected in the benefit-cost ratio (BCR).</w:t>
      </w:r>
    </w:p>
    <w:p w14:paraId="5AE64A8C" w14:textId="77777777" w:rsidR="00676882" w:rsidRDefault="00676882" w:rsidP="00676882">
      <w:pPr>
        <w:pStyle w:val="BodyText"/>
      </w:pPr>
      <w:r>
        <w:t xml:space="preserve">The table indicates that, at a society-wide level, the heater and performance options are </w:t>
      </w:r>
      <w:r w:rsidRPr="005B4035">
        <w:t>a</w:t>
      </w:r>
      <w:r>
        <w:t xml:space="preserve"> </w:t>
      </w:r>
      <w:r w:rsidRPr="005B4035">
        <w:t>net</w:t>
      </w:r>
      <w:r>
        <w:t xml:space="preserve"> </w:t>
      </w:r>
      <w:r w:rsidRPr="005B4035">
        <w:t>cost</w:t>
      </w:r>
      <w:r>
        <w:t xml:space="preserve">. A negative NPV or a BCR of less than one </w:t>
      </w:r>
      <w:proofErr w:type="gramStart"/>
      <w:r>
        <w:t>indicate</w:t>
      </w:r>
      <w:proofErr w:type="gramEnd"/>
      <w:r>
        <w:t xml:space="preserve"> a net negative policy even when including the somewhat more uncertain measures of benefits (the </w:t>
      </w:r>
      <w:r w:rsidRPr="004B5C78">
        <w:t>benefits</w:t>
      </w:r>
      <w:r>
        <w:t xml:space="preserve"> </w:t>
      </w:r>
      <w:r w:rsidRPr="004B5C78">
        <w:t>from</w:t>
      </w:r>
      <w:r>
        <w:t xml:space="preserve"> </w:t>
      </w:r>
      <w:r w:rsidRPr="004B5C78">
        <w:t>reduced</w:t>
      </w:r>
      <w:r>
        <w:t xml:space="preserve"> greenhouse gas </w:t>
      </w:r>
      <w:r w:rsidRPr="004B5C78">
        <w:t>emissions</w:t>
      </w:r>
      <w:r>
        <w:t xml:space="preserve"> and health benefits).</w:t>
      </w:r>
    </w:p>
    <w:p w14:paraId="4FC6B340" w14:textId="77777777" w:rsidR="00676882" w:rsidRDefault="00676882" w:rsidP="00676882">
      <w:pPr>
        <w:pStyle w:val="BodyText"/>
      </w:pPr>
      <w:bookmarkStart w:id="190" w:name="_Ref80472291"/>
      <w:bookmarkStart w:id="191" w:name="_Ref80694473"/>
      <w:bookmarkStart w:id="192" w:name="_Toc80719326"/>
      <w:r w:rsidRPr="006B0263">
        <w:rPr>
          <w:rStyle w:val="CaptionLabel"/>
        </w:rPr>
        <w:t>Table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Table \* ARABIC \S 1 \* MERGEFORMAT </w:instrText>
      </w:r>
      <w:r w:rsidRPr="006B0263">
        <w:rPr>
          <w:rStyle w:val="CaptionLabel"/>
        </w:rPr>
        <w:fldChar w:fldCharType="separate"/>
      </w:r>
      <w:r>
        <w:rPr>
          <w:rStyle w:val="CaptionLabel"/>
          <w:noProof/>
        </w:rPr>
        <w:t>1</w:t>
      </w:r>
      <w:r w:rsidRPr="006B0263">
        <w:rPr>
          <w:rStyle w:val="CaptionLabel"/>
        </w:rPr>
        <w:fldChar w:fldCharType="end"/>
      </w:r>
      <w:bookmarkEnd w:id="190"/>
      <w:r>
        <w:tab/>
        <w:t>Headline results, economy-wide analysis</w:t>
      </w:r>
      <w:bookmarkEnd w:id="191"/>
      <w:bookmarkEnd w:id="192"/>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e 5.1"/>
        <w:tblDescription w:val="Headline results, economy-wide analysis"/>
      </w:tblPr>
      <w:tblGrid>
        <w:gridCol w:w="454"/>
        <w:gridCol w:w="2645"/>
        <w:gridCol w:w="2645"/>
        <w:gridCol w:w="2646"/>
      </w:tblGrid>
      <w:tr w:rsidR="00676882" w14:paraId="7C0AC8DB" w14:textId="77777777" w:rsidTr="00DF45FA">
        <w:trPr>
          <w:tblHeader/>
        </w:trPr>
        <w:tc>
          <w:tcPr>
            <w:tcW w:w="3099" w:type="dxa"/>
            <w:gridSpan w:val="2"/>
            <w:tcBorders>
              <w:top w:val="nil"/>
              <w:bottom w:val="nil"/>
            </w:tcBorders>
            <w:shd w:val="clear" w:color="auto" w:fill="140034"/>
            <w:tcMar>
              <w:left w:w="454" w:type="dxa"/>
            </w:tcMar>
          </w:tcPr>
          <w:p w14:paraId="14D788A7" w14:textId="77777777" w:rsidR="00676882" w:rsidRDefault="00676882" w:rsidP="00DF45FA">
            <w:pPr>
              <w:pStyle w:val="Tablecolumnheadings"/>
            </w:pPr>
            <w:r>
              <w:t>Option modelled</w:t>
            </w:r>
          </w:p>
        </w:tc>
        <w:tc>
          <w:tcPr>
            <w:tcW w:w="2645" w:type="dxa"/>
            <w:tcBorders>
              <w:top w:val="nil"/>
              <w:bottom w:val="nil"/>
            </w:tcBorders>
            <w:shd w:val="clear" w:color="auto" w:fill="140034"/>
          </w:tcPr>
          <w:p w14:paraId="2BA21F73" w14:textId="77777777" w:rsidR="00676882" w:rsidRDefault="00676882" w:rsidP="00DF45FA">
            <w:pPr>
              <w:pStyle w:val="Tablecolumnheadings"/>
              <w:jc w:val="right"/>
            </w:pPr>
            <w:r>
              <w:t>Benefit-cost ratio (BCR)</w:t>
            </w:r>
          </w:p>
        </w:tc>
        <w:tc>
          <w:tcPr>
            <w:tcW w:w="2646" w:type="dxa"/>
            <w:tcBorders>
              <w:top w:val="nil"/>
              <w:bottom w:val="nil"/>
              <w:right w:val="single" w:sz="6" w:space="0" w:color="140034"/>
            </w:tcBorders>
            <w:shd w:val="clear" w:color="auto" w:fill="140034"/>
          </w:tcPr>
          <w:p w14:paraId="059D3BC6" w14:textId="77777777" w:rsidR="00676882" w:rsidRDefault="00676882" w:rsidP="00DF45FA">
            <w:pPr>
              <w:pStyle w:val="Tablecolumnheadings"/>
              <w:jc w:val="right"/>
            </w:pPr>
            <w:r>
              <w:t>Net present value ($m)</w:t>
            </w:r>
          </w:p>
        </w:tc>
      </w:tr>
      <w:tr w:rsidR="00676882" w14:paraId="14B4684D" w14:textId="77777777" w:rsidTr="00DF45FA">
        <w:trPr>
          <w:gridBefore w:val="1"/>
          <w:wBefore w:w="454" w:type="dxa"/>
        </w:trPr>
        <w:tc>
          <w:tcPr>
            <w:tcW w:w="2645" w:type="dxa"/>
            <w:tcBorders>
              <w:top w:val="nil"/>
            </w:tcBorders>
            <w:shd w:val="clear" w:color="auto" w:fill="auto"/>
            <w:vAlign w:val="bottom"/>
          </w:tcPr>
          <w:p w14:paraId="44C88706" w14:textId="77777777" w:rsidR="00676882" w:rsidRDefault="00676882" w:rsidP="00DF45FA">
            <w:pPr>
              <w:pStyle w:val="Tabletext"/>
            </w:pPr>
            <w:r>
              <w:t>a) Insulation R3 - 2 year</w:t>
            </w:r>
          </w:p>
        </w:tc>
        <w:tc>
          <w:tcPr>
            <w:tcW w:w="2645" w:type="dxa"/>
            <w:tcBorders>
              <w:top w:val="nil"/>
            </w:tcBorders>
            <w:shd w:val="clear" w:color="auto" w:fill="auto"/>
            <w:vAlign w:val="center"/>
          </w:tcPr>
          <w:p w14:paraId="5BF0C89F" w14:textId="77777777" w:rsidR="00676882" w:rsidRDefault="00676882" w:rsidP="00DF45FA">
            <w:pPr>
              <w:pStyle w:val="Tabletext"/>
              <w:jc w:val="right"/>
            </w:pPr>
            <w:r w:rsidRPr="00881808">
              <w:t>1.19</w:t>
            </w:r>
          </w:p>
        </w:tc>
        <w:tc>
          <w:tcPr>
            <w:tcW w:w="2646" w:type="dxa"/>
            <w:tcBorders>
              <w:top w:val="nil"/>
            </w:tcBorders>
            <w:shd w:val="clear" w:color="auto" w:fill="auto"/>
            <w:vAlign w:val="center"/>
          </w:tcPr>
          <w:p w14:paraId="3F4D54A1" w14:textId="77777777" w:rsidR="00676882" w:rsidRDefault="00676882" w:rsidP="00DF45FA">
            <w:pPr>
              <w:pStyle w:val="Tabletext"/>
              <w:jc w:val="right"/>
            </w:pPr>
            <w:r w:rsidRPr="009375DD">
              <w:t>$10.4</w:t>
            </w:r>
            <w:r>
              <w:t>4</w:t>
            </w:r>
            <w:r w:rsidRPr="009375DD">
              <w:t xml:space="preserve"> </w:t>
            </w:r>
          </w:p>
        </w:tc>
      </w:tr>
      <w:tr w:rsidR="00676882" w14:paraId="5E4BE6CA" w14:textId="77777777" w:rsidTr="00DF45FA">
        <w:trPr>
          <w:gridBefore w:val="1"/>
          <w:wBefore w:w="454" w:type="dxa"/>
        </w:trPr>
        <w:tc>
          <w:tcPr>
            <w:tcW w:w="2645" w:type="dxa"/>
            <w:shd w:val="clear" w:color="auto" w:fill="auto"/>
            <w:vAlign w:val="bottom"/>
          </w:tcPr>
          <w:p w14:paraId="68121435" w14:textId="77777777" w:rsidR="00676882" w:rsidRDefault="00676882" w:rsidP="00DF45FA">
            <w:pPr>
              <w:pStyle w:val="Tabletext"/>
            </w:pPr>
            <w:r>
              <w:t>b) Insulation R3 - 4 year</w:t>
            </w:r>
          </w:p>
        </w:tc>
        <w:tc>
          <w:tcPr>
            <w:tcW w:w="2645" w:type="dxa"/>
            <w:shd w:val="clear" w:color="auto" w:fill="auto"/>
            <w:vAlign w:val="center"/>
          </w:tcPr>
          <w:p w14:paraId="189E24FA" w14:textId="77777777" w:rsidR="00676882" w:rsidRDefault="00676882" w:rsidP="00DF45FA">
            <w:pPr>
              <w:pStyle w:val="Tabletext"/>
              <w:jc w:val="right"/>
            </w:pPr>
            <w:r w:rsidRPr="00881808">
              <w:t>1.21</w:t>
            </w:r>
          </w:p>
        </w:tc>
        <w:tc>
          <w:tcPr>
            <w:tcW w:w="2646" w:type="dxa"/>
            <w:shd w:val="clear" w:color="auto" w:fill="auto"/>
            <w:vAlign w:val="center"/>
          </w:tcPr>
          <w:p w14:paraId="05FD37A2" w14:textId="77777777" w:rsidR="00676882" w:rsidRDefault="00676882" w:rsidP="00DF45FA">
            <w:pPr>
              <w:pStyle w:val="Tabletext"/>
              <w:jc w:val="right"/>
            </w:pPr>
            <w:r w:rsidRPr="009375DD">
              <w:t>$11.</w:t>
            </w:r>
            <w:r>
              <w:t>08</w:t>
            </w:r>
            <w:r w:rsidRPr="009375DD">
              <w:t xml:space="preserve"> </w:t>
            </w:r>
          </w:p>
        </w:tc>
      </w:tr>
      <w:tr w:rsidR="00676882" w14:paraId="5AA92EB1" w14:textId="77777777" w:rsidTr="00676882">
        <w:trPr>
          <w:gridBefore w:val="1"/>
          <w:wBefore w:w="454" w:type="dxa"/>
        </w:trPr>
        <w:tc>
          <w:tcPr>
            <w:tcW w:w="2645" w:type="dxa"/>
            <w:shd w:val="clear" w:color="auto" w:fill="auto"/>
            <w:vAlign w:val="bottom"/>
          </w:tcPr>
          <w:p w14:paraId="20E1C247" w14:textId="77777777" w:rsidR="00676882" w:rsidRDefault="00676882" w:rsidP="00DF45FA">
            <w:pPr>
              <w:pStyle w:val="Tabletext"/>
            </w:pPr>
            <w:r>
              <w:t>c) Insulation R5 - 2 year</w:t>
            </w:r>
          </w:p>
        </w:tc>
        <w:tc>
          <w:tcPr>
            <w:tcW w:w="2645" w:type="dxa"/>
            <w:tcBorders>
              <w:bottom w:val="single" w:sz="4" w:space="0" w:color="646464"/>
            </w:tcBorders>
            <w:shd w:val="clear" w:color="auto" w:fill="auto"/>
            <w:vAlign w:val="center"/>
          </w:tcPr>
          <w:p w14:paraId="0FE6F10B" w14:textId="77777777" w:rsidR="00676882" w:rsidRDefault="00676882" w:rsidP="00DF45FA">
            <w:pPr>
              <w:pStyle w:val="Tabletext"/>
              <w:jc w:val="right"/>
            </w:pPr>
            <w:r w:rsidRPr="00881808">
              <w:t>1.29</w:t>
            </w:r>
          </w:p>
        </w:tc>
        <w:tc>
          <w:tcPr>
            <w:tcW w:w="2646" w:type="dxa"/>
            <w:tcBorders>
              <w:bottom w:val="single" w:sz="4" w:space="0" w:color="646464"/>
            </w:tcBorders>
            <w:shd w:val="clear" w:color="auto" w:fill="auto"/>
            <w:vAlign w:val="center"/>
          </w:tcPr>
          <w:p w14:paraId="29B9DEE8" w14:textId="77777777" w:rsidR="00676882" w:rsidRDefault="00676882" w:rsidP="00DF45FA">
            <w:pPr>
              <w:pStyle w:val="Tabletext"/>
              <w:jc w:val="right"/>
            </w:pPr>
            <w:r w:rsidRPr="009375DD">
              <w:t>$17.4</w:t>
            </w:r>
            <w:r>
              <w:t>2</w:t>
            </w:r>
            <w:r w:rsidRPr="009375DD">
              <w:t xml:space="preserve"> </w:t>
            </w:r>
          </w:p>
        </w:tc>
      </w:tr>
      <w:tr w:rsidR="00676882" w14:paraId="529CC979" w14:textId="77777777" w:rsidTr="00676882">
        <w:trPr>
          <w:gridBefore w:val="1"/>
          <w:wBefore w:w="454" w:type="dxa"/>
        </w:trPr>
        <w:tc>
          <w:tcPr>
            <w:tcW w:w="2645" w:type="dxa"/>
            <w:shd w:val="clear" w:color="auto" w:fill="auto"/>
            <w:vAlign w:val="bottom"/>
          </w:tcPr>
          <w:p w14:paraId="27710FEC" w14:textId="77777777" w:rsidR="00676882" w:rsidRDefault="00676882" w:rsidP="00DF45FA">
            <w:pPr>
              <w:pStyle w:val="Tabletext"/>
            </w:pPr>
            <w:r>
              <w:t>d) Insulation R5 - 4 year</w:t>
            </w:r>
          </w:p>
        </w:tc>
        <w:tc>
          <w:tcPr>
            <w:tcW w:w="2645" w:type="dxa"/>
            <w:tcBorders>
              <w:top w:val="single" w:sz="4" w:space="0" w:color="646464"/>
            </w:tcBorders>
            <w:shd w:val="clear" w:color="auto" w:fill="ACD8B5"/>
            <w:vAlign w:val="center"/>
          </w:tcPr>
          <w:p w14:paraId="377C9F7C" w14:textId="77777777" w:rsidR="00676882" w:rsidRPr="00112FF5" w:rsidRDefault="00676882" w:rsidP="00DF45FA">
            <w:pPr>
              <w:pStyle w:val="Tabletext"/>
              <w:jc w:val="right"/>
            </w:pPr>
            <w:r w:rsidRPr="00112FF5">
              <w:t>1.30</w:t>
            </w:r>
          </w:p>
        </w:tc>
        <w:tc>
          <w:tcPr>
            <w:tcW w:w="2646" w:type="dxa"/>
            <w:tcBorders>
              <w:top w:val="single" w:sz="4" w:space="0" w:color="646464"/>
            </w:tcBorders>
            <w:shd w:val="clear" w:color="auto" w:fill="ACD8B5"/>
            <w:vAlign w:val="center"/>
          </w:tcPr>
          <w:p w14:paraId="42FF2E37" w14:textId="77777777" w:rsidR="00676882" w:rsidRPr="006B0263" w:rsidRDefault="00676882" w:rsidP="00DF45FA">
            <w:pPr>
              <w:pStyle w:val="Tabletext"/>
              <w:jc w:val="right"/>
              <w:rPr>
                <w:b/>
                <w:bCs/>
              </w:rPr>
            </w:pPr>
            <w:r w:rsidRPr="009375DD">
              <w:t>$18.0</w:t>
            </w:r>
            <w:r>
              <w:t>1</w:t>
            </w:r>
            <w:r w:rsidRPr="009375DD">
              <w:t xml:space="preserve"> </w:t>
            </w:r>
          </w:p>
        </w:tc>
      </w:tr>
      <w:tr w:rsidR="00676882" w14:paraId="7BF709BD" w14:textId="77777777" w:rsidTr="00DF45FA">
        <w:trPr>
          <w:gridBefore w:val="1"/>
          <w:wBefore w:w="454" w:type="dxa"/>
        </w:trPr>
        <w:tc>
          <w:tcPr>
            <w:tcW w:w="2645" w:type="dxa"/>
            <w:shd w:val="clear" w:color="auto" w:fill="auto"/>
            <w:vAlign w:val="bottom"/>
          </w:tcPr>
          <w:p w14:paraId="63EA0A76" w14:textId="77777777" w:rsidR="00676882" w:rsidRDefault="00676882" w:rsidP="00DF45FA">
            <w:pPr>
              <w:pStyle w:val="Tabletext"/>
            </w:pPr>
            <w:r>
              <w:t>e) Heater - 2 year</w:t>
            </w:r>
          </w:p>
        </w:tc>
        <w:tc>
          <w:tcPr>
            <w:tcW w:w="2645" w:type="dxa"/>
            <w:shd w:val="clear" w:color="auto" w:fill="auto"/>
            <w:vAlign w:val="center"/>
          </w:tcPr>
          <w:p w14:paraId="24A0331A" w14:textId="77777777" w:rsidR="00676882" w:rsidRDefault="00676882" w:rsidP="00DF45FA">
            <w:pPr>
              <w:pStyle w:val="Tabletext"/>
              <w:jc w:val="right"/>
            </w:pPr>
            <w:r w:rsidRPr="00881808">
              <w:t>0.59</w:t>
            </w:r>
          </w:p>
        </w:tc>
        <w:tc>
          <w:tcPr>
            <w:tcW w:w="2646" w:type="dxa"/>
            <w:shd w:val="clear" w:color="auto" w:fill="auto"/>
            <w:vAlign w:val="center"/>
          </w:tcPr>
          <w:p w14:paraId="30D524F1" w14:textId="77777777" w:rsidR="00676882" w:rsidRDefault="00676882" w:rsidP="00DF45FA">
            <w:pPr>
              <w:pStyle w:val="Tabletext"/>
              <w:jc w:val="right"/>
            </w:pPr>
            <w:r w:rsidRPr="007F2D37">
              <w:rPr>
                <w:color w:val="C00000"/>
              </w:rPr>
              <w:t>-$15.5</w:t>
            </w:r>
            <w:r>
              <w:rPr>
                <w:color w:val="C00000"/>
              </w:rPr>
              <w:t>6</w:t>
            </w:r>
          </w:p>
        </w:tc>
      </w:tr>
      <w:tr w:rsidR="00676882" w14:paraId="27475539" w14:textId="77777777" w:rsidTr="00DF45FA">
        <w:trPr>
          <w:gridBefore w:val="1"/>
          <w:wBefore w:w="454" w:type="dxa"/>
        </w:trPr>
        <w:tc>
          <w:tcPr>
            <w:tcW w:w="2645" w:type="dxa"/>
            <w:shd w:val="clear" w:color="auto" w:fill="auto"/>
            <w:vAlign w:val="bottom"/>
          </w:tcPr>
          <w:p w14:paraId="4F3D8FD8" w14:textId="77777777" w:rsidR="00676882" w:rsidRDefault="00676882" w:rsidP="00DF45FA">
            <w:pPr>
              <w:pStyle w:val="Tabletext"/>
            </w:pPr>
            <w:r>
              <w:lastRenderedPageBreak/>
              <w:t>f) Heater - 4 year</w:t>
            </w:r>
          </w:p>
        </w:tc>
        <w:tc>
          <w:tcPr>
            <w:tcW w:w="2645" w:type="dxa"/>
            <w:shd w:val="clear" w:color="auto" w:fill="auto"/>
            <w:vAlign w:val="center"/>
          </w:tcPr>
          <w:p w14:paraId="07C438CC" w14:textId="77777777" w:rsidR="00676882" w:rsidRDefault="00676882" w:rsidP="00DF45FA">
            <w:pPr>
              <w:pStyle w:val="Tabletext"/>
              <w:jc w:val="right"/>
            </w:pPr>
            <w:r w:rsidRPr="00881808">
              <w:t>0.59</w:t>
            </w:r>
          </w:p>
        </w:tc>
        <w:tc>
          <w:tcPr>
            <w:tcW w:w="2646" w:type="dxa"/>
            <w:shd w:val="clear" w:color="auto" w:fill="auto"/>
            <w:vAlign w:val="center"/>
          </w:tcPr>
          <w:p w14:paraId="0DC3B019" w14:textId="77777777" w:rsidR="00676882" w:rsidRDefault="00676882" w:rsidP="00DF45FA">
            <w:pPr>
              <w:pStyle w:val="Tabletext"/>
              <w:jc w:val="right"/>
            </w:pPr>
            <w:r w:rsidRPr="007F2D37">
              <w:rPr>
                <w:color w:val="C00000"/>
              </w:rPr>
              <w:t>-$15.5</w:t>
            </w:r>
            <w:r>
              <w:rPr>
                <w:color w:val="C00000"/>
              </w:rPr>
              <w:t>6</w:t>
            </w:r>
          </w:p>
        </w:tc>
      </w:tr>
      <w:tr w:rsidR="00676882" w14:paraId="4FD06EA2" w14:textId="77777777" w:rsidTr="00DF45FA">
        <w:trPr>
          <w:gridBefore w:val="1"/>
          <w:wBefore w:w="454" w:type="dxa"/>
        </w:trPr>
        <w:tc>
          <w:tcPr>
            <w:tcW w:w="2645" w:type="dxa"/>
            <w:shd w:val="clear" w:color="auto" w:fill="auto"/>
            <w:vAlign w:val="bottom"/>
          </w:tcPr>
          <w:p w14:paraId="769D30A3" w14:textId="77777777" w:rsidR="00676882" w:rsidRDefault="00676882" w:rsidP="00DF45FA">
            <w:pPr>
              <w:pStyle w:val="Tabletext"/>
            </w:pPr>
            <w:r>
              <w:t>g) Performance 2-stars - 2 year</w:t>
            </w:r>
          </w:p>
        </w:tc>
        <w:tc>
          <w:tcPr>
            <w:tcW w:w="2645" w:type="dxa"/>
            <w:shd w:val="clear" w:color="auto" w:fill="auto"/>
            <w:vAlign w:val="center"/>
          </w:tcPr>
          <w:p w14:paraId="075FE19E" w14:textId="77777777" w:rsidR="00676882" w:rsidRDefault="00676882" w:rsidP="00DF45FA">
            <w:pPr>
              <w:pStyle w:val="Tabletext"/>
              <w:jc w:val="right"/>
            </w:pPr>
            <w:r w:rsidRPr="00881808">
              <w:t>0.46</w:t>
            </w:r>
          </w:p>
        </w:tc>
        <w:tc>
          <w:tcPr>
            <w:tcW w:w="2646" w:type="dxa"/>
            <w:shd w:val="clear" w:color="auto" w:fill="auto"/>
            <w:vAlign w:val="center"/>
          </w:tcPr>
          <w:p w14:paraId="045F1C61" w14:textId="77777777" w:rsidR="00676882" w:rsidRDefault="00676882" w:rsidP="00DF45FA">
            <w:pPr>
              <w:pStyle w:val="Tabletext"/>
              <w:jc w:val="right"/>
            </w:pPr>
            <w:r w:rsidRPr="007F2D37">
              <w:rPr>
                <w:color w:val="C00000"/>
              </w:rPr>
              <w:t>-$12.9</w:t>
            </w:r>
            <w:r>
              <w:rPr>
                <w:color w:val="C00000"/>
              </w:rPr>
              <w:t>5</w:t>
            </w:r>
          </w:p>
        </w:tc>
      </w:tr>
      <w:tr w:rsidR="00676882" w14:paraId="499DE340" w14:textId="77777777" w:rsidTr="00DF45FA">
        <w:trPr>
          <w:gridBefore w:val="1"/>
          <w:wBefore w:w="454" w:type="dxa"/>
        </w:trPr>
        <w:tc>
          <w:tcPr>
            <w:tcW w:w="2645" w:type="dxa"/>
            <w:shd w:val="clear" w:color="auto" w:fill="auto"/>
            <w:vAlign w:val="bottom"/>
          </w:tcPr>
          <w:p w14:paraId="0A311BF0" w14:textId="77777777" w:rsidR="00676882" w:rsidRDefault="00676882" w:rsidP="00DF45FA">
            <w:pPr>
              <w:pStyle w:val="Tabletext"/>
            </w:pPr>
            <w:r>
              <w:t>h) Performance 2-stars - 4 year</w:t>
            </w:r>
          </w:p>
        </w:tc>
        <w:tc>
          <w:tcPr>
            <w:tcW w:w="2645" w:type="dxa"/>
            <w:shd w:val="clear" w:color="auto" w:fill="auto"/>
            <w:vAlign w:val="center"/>
          </w:tcPr>
          <w:p w14:paraId="19098CEC" w14:textId="77777777" w:rsidR="00676882" w:rsidRDefault="00676882" w:rsidP="00DF45FA">
            <w:pPr>
              <w:pStyle w:val="Tabletext"/>
              <w:jc w:val="right"/>
            </w:pPr>
            <w:r w:rsidRPr="00881808">
              <w:t>0.47</w:t>
            </w:r>
          </w:p>
        </w:tc>
        <w:tc>
          <w:tcPr>
            <w:tcW w:w="2646" w:type="dxa"/>
            <w:shd w:val="clear" w:color="auto" w:fill="auto"/>
            <w:vAlign w:val="center"/>
          </w:tcPr>
          <w:p w14:paraId="1E6FFF32" w14:textId="77777777" w:rsidR="00676882" w:rsidRDefault="00676882" w:rsidP="00DF45FA">
            <w:pPr>
              <w:pStyle w:val="Tabletext"/>
              <w:jc w:val="right"/>
            </w:pPr>
            <w:r w:rsidRPr="007F2D37">
              <w:rPr>
                <w:color w:val="C00000"/>
              </w:rPr>
              <w:t>-$12.</w:t>
            </w:r>
            <w:r>
              <w:rPr>
                <w:color w:val="C00000"/>
              </w:rPr>
              <w:t>76</w:t>
            </w:r>
          </w:p>
        </w:tc>
      </w:tr>
      <w:tr w:rsidR="00676882" w14:paraId="0DC0F18C" w14:textId="77777777" w:rsidTr="00DF45FA">
        <w:trPr>
          <w:gridBefore w:val="1"/>
          <w:wBefore w:w="454" w:type="dxa"/>
        </w:trPr>
        <w:tc>
          <w:tcPr>
            <w:tcW w:w="2645" w:type="dxa"/>
            <w:shd w:val="clear" w:color="auto" w:fill="auto"/>
            <w:vAlign w:val="bottom"/>
          </w:tcPr>
          <w:p w14:paraId="4923F008" w14:textId="77777777" w:rsidR="00676882" w:rsidRDefault="00676882" w:rsidP="00DF45FA">
            <w:pPr>
              <w:pStyle w:val="Tabletext"/>
            </w:pPr>
            <w:r>
              <w:t>i) Performance 3-stars - 2 year</w:t>
            </w:r>
          </w:p>
        </w:tc>
        <w:tc>
          <w:tcPr>
            <w:tcW w:w="2645" w:type="dxa"/>
            <w:shd w:val="clear" w:color="auto" w:fill="auto"/>
          </w:tcPr>
          <w:p w14:paraId="02BC3E53" w14:textId="77777777" w:rsidR="00676882" w:rsidRDefault="00676882" w:rsidP="00DF45FA">
            <w:pPr>
              <w:pStyle w:val="Tabletext"/>
              <w:jc w:val="right"/>
            </w:pPr>
            <w:r w:rsidRPr="0070521B">
              <w:t>0.49</w:t>
            </w:r>
          </w:p>
        </w:tc>
        <w:tc>
          <w:tcPr>
            <w:tcW w:w="2646" w:type="dxa"/>
            <w:shd w:val="clear" w:color="auto" w:fill="auto"/>
            <w:vAlign w:val="center"/>
          </w:tcPr>
          <w:p w14:paraId="0AAF9A59" w14:textId="77777777" w:rsidR="00676882" w:rsidRDefault="00676882" w:rsidP="00DF45FA">
            <w:pPr>
              <w:pStyle w:val="Tabletext"/>
              <w:jc w:val="right"/>
            </w:pPr>
            <w:r w:rsidRPr="007F2D37">
              <w:rPr>
                <w:color w:val="C00000"/>
              </w:rPr>
              <w:t>-$1</w:t>
            </w:r>
            <w:r>
              <w:rPr>
                <w:color w:val="C00000"/>
              </w:rPr>
              <w:t>19.66</w:t>
            </w:r>
          </w:p>
        </w:tc>
      </w:tr>
      <w:tr w:rsidR="00676882" w14:paraId="6F60EBAA" w14:textId="77777777" w:rsidTr="00DF45FA">
        <w:trPr>
          <w:gridBefore w:val="1"/>
          <w:wBefore w:w="454" w:type="dxa"/>
        </w:trPr>
        <w:tc>
          <w:tcPr>
            <w:tcW w:w="2645" w:type="dxa"/>
            <w:shd w:val="clear" w:color="auto" w:fill="auto"/>
            <w:vAlign w:val="bottom"/>
          </w:tcPr>
          <w:p w14:paraId="3DFF4E95" w14:textId="77777777" w:rsidR="00676882" w:rsidRDefault="00676882" w:rsidP="00DF45FA">
            <w:pPr>
              <w:pStyle w:val="Tabletext"/>
            </w:pPr>
            <w:r>
              <w:t>j) Performance 3-stars - 4 year</w:t>
            </w:r>
          </w:p>
        </w:tc>
        <w:tc>
          <w:tcPr>
            <w:tcW w:w="2645" w:type="dxa"/>
            <w:shd w:val="clear" w:color="auto" w:fill="auto"/>
          </w:tcPr>
          <w:p w14:paraId="067686B5" w14:textId="77777777" w:rsidR="00676882" w:rsidRDefault="00676882" w:rsidP="00DF45FA">
            <w:pPr>
              <w:pStyle w:val="Tabletext"/>
              <w:jc w:val="right"/>
            </w:pPr>
            <w:r w:rsidRPr="0070521B">
              <w:t>0.50</w:t>
            </w:r>
          </w:p>
        </w:tc>
        <w:tc>
          <w:tcPr>
            <w:tcW w:w="2646" w:type="dxa"/>
            <w:shd w:val="clear" w:color="auto" w:fill="auto"/>
            <w:vAlign w:val="center"/>
          </w:tcPr>
          <w:p w14:paraId="0C1A7E03" w14:textId="77777777" w:rsidR="00676882" w:rsidRDefault="00676882" w:rsidP="00DF45FA">
            <w:pPr>
              <w:pStyle w:val="Tabletext"/>
              <w:jc w:val="right"/>
            </w:pPr>
            <w:r w:rsidRPr="007F2D37">
              <w:rPr>
                <w:color w:val="C00000"/>
              </w:rPr>
              <w:t>-$1</w:t>
            </w:r>
            <w:r>
              <w:rPr>
                <w:color w:val="C00000"/>
              </w:rPr>
              <w:t>16.41</w:t>
            </w:r>
          </w:p>
        </w:tc>
      </w:tr>
      <w:tr w:rsidR="00676882" w14:paraId="5BD81FD0" w14:textId="77777777" w:rsidTr="00DF45FA">
        <w:trPr>
          <w:gridBefore w:val="1"/>
          <w:wBefore w:w="454" w:type="dxa"/>
        </w:trPr>
        <w:tc>
          <w:tcPr>
            <w:tcW w:w="7936" w:type="dxa"/>
            <w:gridSpan w:val="3"/>
            <w:tcBorders>
              <w:bottom w:val="single" w:sz="4" w:space="0" w:color="646464"/>
            </w:tcBorders>
            <w:shd w:val="clear" w:color="auto" w:fill="auto"/>
          </w:tcPr>
          <w:p w14:paraId="743DC9E6" w14:textId="77777777" w:rsidR="00676882" w:rsidRPr="006B0263" w:rsidRDefault="00676882" w:rsidP="00DF45FA">
            <w:pPr>
              <w:pStyle w:val="Source"/>
              <w:rPr>
                <w:i w:val="0"/>
                <w:iCs/>
              </w:rPr>
            </w:pPr>
            <w:r>
              <w:t xml:space="preserve">Note: </w:t>
            </w:r>
            <w:r>
              <w:rPr>
                <w:i w:val="0"/>
                <w:iCs/>
              </w:rPr>
              <w:t xml:space="preserve">All impacts are calculated in present value (using a three per cent discount rate) over the life of the upgrades. </w:t>
            </w:r>
          </w:p>
          <w:p w14:paraId="01776130" w14:textId="77777777" w:rsidR="00676882" w:rsidRDefault="00676882" w:rsidP="00DF45FA">
            <w:pPr>
              <w:pStyle w:val="Source"/>
            </w:pPr>
            <w:r>
              <w:t>Source: ACIL Allen</w:t>
            </w:r>
          </w:p>
        </w:tc>
      </w:tr>
      <w:tr w:rsidR="00676882" w14:paraId="53736620" w14:textId="77777777" w:rsidTr="00DF45FA">
        <w:trPr>
          <w:gridBefore w:val="1"/>
          <w:wBefore w:w="454" w:type="dxa"/>
          <w:trHeight w:hRule="exact" w:val="160"/>
        </w:trPr>
        <w:tc>
          <w:tcPr>
            <w:tcW w:w="7936" w:type="dxa"/>
            <w:gridSpan w:val="3"/>
            <w:tcBorders>
              <w:top w:val="single" w:sz="4" w:space="0" w:color="646464"/>
              <w:bottom w:val="nil"/>
            </w:tcBorders>
            <w:shd w:val="clear" w:color="auto" w:fill="auto"/>
          </w:tcPr>
          <w:p w14:paraId="0D49634E" w14:textId="77777777" w:rsidR="00676882" w:rsidRDefault="00676882" w:rsidP="00DF45FA">
            <w:pPr>
              <w:pStyle w:val="spacer"/>
            </w:pPr>
          </w:p>
        </w:tc>
      </w:tr>
    </w:tbl>
    <w:p w14:paraId="0D21BBB6" w14:textId="77777777" w:rsidR="00676882" w:rsidRPr="003712F0" w:rsidRDefault="00676882" w:rsidP="00676882">
      <w:pPr>
        <w:pStyle w:val="BodyText"/>
      </w:pPr>
      <w:bookmarkStart w:id="193" w:name="_Hlk75982156"/>
      <w:r>
        <w:t xml:space="preserve">The negative results for the heater and performance options are mainly driven by the use of wholesale energy prices and avoided network costs to value the benefits of reduced energy consumption which, as noted in Appendix </w:t>
      </w:r>
      <w:r w:rsidRPr="009E4AB1">
        <w:fldChar w:fldCharType="begin"/>
      </w:r>
      <w:r w:rsidRPr="009E4AB1">
        <w:instrText xml:space="preserve"> REF _Ref75766708 \r \h  \* MERGEFORMAT </w:instrText>
      </w:r>
      <w:r w:rsidRPr="009E4AB1">
        <w:fldChar w:fldCharType="separate"/>
      </w:r>
      <w:r>
        <w:t>B</w:t>
      </w:r>
      <w:r w:rsidRPr="009E4AB1">
        <w:fldChar w:fldCharType="end"/>
      </w:r>
      <w:r>
        <w:t xml:space="preserve">, </w:t>
      </w:r>
      <w:r w:rsidRPr="00180A21">
        <w:t>results</w:t>
      </w:r>
      <w:r>
        <w:t xml:space="preserve"> </w:t>
      </w:r>
      <w:r w:rsidRPr="00180A21">
        <w:t>in</w:t>
      </w:r>
      <w:r>
        <w:t xml:space="preserve"> BCRs </w:t>
      </w:r>
      <w:r w:rsidRPr="00180A21">
        <w:t>and</w:t>
      </w:r>
      <w:r>
        <w:t xml:space="preserve"> NPVs </w:t>
      </w:r>
      <w:r w:rsidRPr="00180A21">
        <w:t>that</w:t>
      </w:r>
      <w:r>
        <w:t xml:space="preserve"> </w:t>
      </w:r>
      <w:r w:rsidRPr="00180A21">
        <w:t>are</w:t>
      </w:r>
      <w:r>
        <w:t xml:space="preserve"> </w:t>
      </w:r>
      <w:r w:rsidRPr="00180A21">
        <w:t>much</w:t>
      </w:r>
      <w:r>
        <w:t xml:space="preserve"> lower </w:t>
      </w:r>
      <w:r w:rsidRPr="00180A21">
        <w:t>than</w:t>
      </w:r>
      <w:r>
        <w:t xml:space="preserve"> </w:t>
      </w:r>
      <w:r w:rsidRPr="00180A21">
        <w:t>if</w:t>
      </w:r>
      <w:r>
        <w:t xml:space="preserve"> </w:t>
      </w:r>
      <w:r w:rsidRPr="00180A21">
        <w:t>retail</w:t>
      </w:r>
      <w:r>
        <w:t xml:space="preserve"> </w:t>
      </w:r>
      <w:r w:rsidRPr="00180A21">
        <w:t>energy</w:t>
      </w:r>
      <w:r>
        <w:t xml:space="preserve"> </w:t>
      </w:r>
      <w:r w:rsidRPr="00180A21">
        <w:t>prices</w:t>
      </w:r>
      <w:r>
        <w:t xml:space="preserve"> were </w:t>
      </w:r>
      <w:r w:rsidRPr="00180A21">
        <w:t>used</w:t>
      </w:r>
      <w:r>
        <w:t xml:space="preserve">. </w:t>
      </w:r>
      <w:r w:rsidRPr="003712F0">
        <w:t xml:space="preserve">The energy benefits are quantified using wholesale energy prices </w:t>
      </w:r>
      <w:r>
        <w:t xml:space="preserve">and avoided network costs </w:t>
      </w:r>
      <w:r w:rsidRPr="003712F0">
        <w:t xml:space="preserve">(as a proxy for the avoided resource costs) rather than the retail costs avoided by the tenant because a large proportion of the costs avoided by the tenant are unavoidable fixed costs that are transferred to the retailer and network businesses and recovered from other electricity customers. </w:t>
      </w:r>
      <w:proofErr w:type="gramStart"/>
      <w:r w:rsidRPr="003712F0">
        <w:t>As a consequence</w:t>
      </w:r>
      <w:proofErr w:type="gramEnd"/>
      <w:r w:rsidRPr="003712F0">
        <w:t>, these unavoidable fixed costs do not represent net gains to society</w:t>
      </w:r>
      <w:r>
        <w:t xml:space="preserve"> (see section 5.2.4 for more information)</w:t>
      </w:r>
      <w:r w:rsidRPr="003712F0">
        <w:t>.</w:t>
      </w:r>
    </w:p>
    <w:p w14:paraId="622ADFAD" w14:textId="77777777" w:rsidR="00676882" w:rsidRDefault="00676882" w:rsidP="00676882">
      <w:pPr>
        <w:pStyle w:val="BodyText"/>
      </w:pPr>
      <w:r w:rsidRPr="003712F0">
        <w:t xml:space="preserve">The effect of using wholesale energy prices </w:t>
      </w:r>
      <w:r>
        <w:t xml:space="preserve">and avoided network costs </w:t>
      </w:r>
      <w:r w:rsidRPr="003712F0">
        <w:t xml:space="preserve">(as a proxy for the avoided resource costs) is compounded by the current period of low wholesale energy prices driven by </w:t>
      </w:r>
      <w:proofErr w:type="gramStart"/>
      <w:r w:rsidRPr="003712F0">
        <w:t>a number of</w:t>
      </w:r>
      <w:proofErr w:type="gramEnd"/>
      <w:r w:rsidRPr="003712F0">
        <w:t xml:space="preserve"> government policy initiatives that incentivise the entry of new energy supply options and a reduction in the demand for energy.</w:t>
      </w:r>
      <w:r>
        <w:t xml:space="preserve"> </w:t>
      </w:r>
    </w:p>
    <w:p w14:paraId="21D3D048" w14:textId="77777777" w:rsidR="00676882" w:rsidRDefault="00676882" w:rsidP="00676882">
      <w:pPr>
        <w:pStyle w:val="BodyText"/>
      </w:pPr>
      <w:r>
        <w:t xml:space="preserve">The net present value of the proposed options </w:t>
      </w:r>
      <w:proofErr w:type="gramStart"/>
      <w:r>
        <w:t>are</w:t>
      </w:r>
      <w:proofErr w:type="gramEnd"/>
      <w:r>
        <w:t xml:space="preserve"> shown in </w:t>
      </w:r>
      <w:r w:rsidRPr="009E4AB1">
        <w:fldChar w:fldCharType="begin"/>
      </w:r>
      <w:r w:rsidRPr="009E4AB1">
        <w:instrText xml:space="preserve"> REF _Ref80371537 \h  \* MERGEFORMAT </w:instrText>
      </w:r>
      <w:r w:rsidRPr="009E4AB1">
        <w:fldChar w:fldCharType="separate"/>
      </w:r>
      <w:r w:rsidRPr="00F32FCC">
        <w:t>Figure 5.2</w:t>
      </w:r>
      <w:r w:rsidRPr="009E4AB1">
        <w:fldChar w:fldCharType="end"/>
      </w:r>
      <w:r>
        <w:t xml:space="preserve">. The results are shown with </w:t>
      </w:r>
      <w:bookmarkEnd w:id="193"/>
      <w:r>
        <w:t xml:space="preserve">a discount rate of three per cent. Insulation, which has a relatively long life-span relative to heaters, has impacts much longer into the future, and therefore have much higher net present values than much shorter-lived upgrades such as the heater option.  </w:t>
      </w:r>
    </w:p>
    <w:p w14:paraId="55EA2B3A" w14:textId="77777777" w:rsidR="00676882" w:rsidRDefault="00676882" w:rsidP="00676882">
      <w:pPr>
        <w:pStyle w:val="BodyText"/>
      </w:pPr>
      <w:r>
        <w:t xml:space="preserve">As the results for the 3-star performance standard options are a magnitude larger than the other proposed options, they are shown with and without those options to provide greater clarity. </w:t>
      </w:r>
    </w:p>
    <w:p w14:paraId="13893E71" w14:textId="77777777" w:rsidR="00676882" w:rsidRDefault="00676882" w:rsidP="00676882">
      <w:pPr>
        <w:pStyle w:val="BodyText"/>
        <w:ind w:left="-1985"/>
      </w:pPr>
      <w:bookmarkStart w:id="194" w:name="_Ref80371537"/>
      <w:bookmarkStart w:id="195" w:name="_Toc80719262"/>
      <w:r w:rsidRPr="00C554F7">
        <w:rPr>
          <w:rStyle w:val="CaptionLabel"/>
        </w:rPr>
        <w:t>Figure </w:t>
      </w:r>
      <w:r w:rsidRPr="00C554F7">
        <w:rPr>
          <w:rStyle w:val="CaptionLabel"/>
        </w:rPr>
        <w:fldChar w:fldCharType="begin"/>
      </w:r>
      <w:r w:rsidRPr="00C554F7">
        <w:rPr>
          <w:rStyle w:val="CaptionLabel"/>
        </w:rPr>
        <w:instrText xml:space="preserve"> STYLEREF 1 \S \* MERGEFORMAT </w:instrText>
      </w:r>
      <w:r w:rsidRPr="00C554F7">
        <w:rPr>
          <w:rStyle w:val="CaptionLabel"/>
        </w:rPr>
        <w:fldChar w:fldCharType="separate"/>
      </w:r>
      <w:r>
        <w:rPr>
          <w:rStyle w:val="CaptionLabel"/>
          <w:noProof/>
        </w:rPr>
        <w:t>5</w:t>
      </w:r>
      <w:r w:rsidRPr="00C554F7">
        <w:rPr>
          <w:rStyle w:val="CaptionLabel"/>
        </w:rPr>
        <w:fldChar w:fldCharType="end"/>
      </w:r>
      <w:r w:rsidRPr="00C554F7">
        <w:rPr>
          <w:rStyle w:val="CaptionLabel"/>
        </w:rPr>
        <w:t>.</w:t>
      </w:r>
      <w:r w:rsidRPr="00C554F7">
        <w:rPr>
          <w:rStyle w:val="CaptionLabel"/>
        </w:rPr>
        <w:fldChar w:fldCharType="begin"/>
      </w:r>
      <w:r w:rsidRPr="00C554F7">
        <w:rPr>
          <w:rStyle w:val="CaptionLabel"/>
        </w:rPr>
        <w:instrText xml:space="preserve"> SEQ Figure \* ARABIC \S 1 \* MERGEFORMAT </w:instrText>
      </w:r>
      <w:r w:rsidRPr="00C554F7">
        <w:rPr>
          <w:rStyle w:val="CaptionLabel"/>
        </w:rPr>
        <w:fldChar w:fldCharType="separate"/>
      </w:r>
      <w:r>
        <w:rPr>
          <w:rStyle w:val="CaptionLabel"/>
          <w:noProof/>
        </w:rPr>
        <w:t>2</w:t>
      </w:r>
      <w:r w:rsidRPr="00C554F7">
        <w:rPr>
          <w:rStyle w:val="CaptionLabel"/>
        </w:rPr>
        <w:fldChar w:fldCharType="end"/>
      </w:r>
      <w:bookmarkEnd w:id="194"/>
      <w:r>
        <w:tab/>
        <w:t>Net present value, 3 per cent discount rate</w:t>
      </w:r>
      <w:bookmarkEnd w:id="195"/>
    </w:p>
    <w:p w14:paraId="132D3DE2" w14:textId="77777777" w:rsidR="00676882" w:rsidRDefault="00676882" w:rsidP="00676882">
      <w:pPr>
        <w:pStyle w:val="BodyText"/>
        <w:ind w:left="-1985"/>
      </w:pPr>
      <w:r>
        <w:rPr>
          <w:noProof/>
        </w:rPr>
        <w:drawing>
          <wp:inline distT="0" distB="0" distL="0" distR="0" wp14:anchorId="284BE411" wp14:editId="027935AC">
            <wp:extent cx="3011805" cy="2877820"/>
            <wp:effectExtent l="0" t="0" r="0" b="0"/>
            <wp:docPr id="98" name="Picture 98" descr="As per Tabl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Picture 98" descr="As per Table 5.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3011805" cy="2877820"/>
                    </a:xfrm>
                    <a:prstGeom prst="rect">
                      <a:avLst/>
                    </a:prstGeom>
                    <a:noFill/>
                  </pic:spPr>
                </pic:pic>
              </a:graphicData>
            </a:graphic>
          </wp:inline>
        </w:drawing>
      </w:r>
      <w:r>
        <w:rPr>
          <w:noProof/>
        </w:rPr>
        <w:drawing>
          <wp:inline distT="0" distB="0" distL="0" distR="0" wp14:anchorId="7F0CC49F" wp14:editId="27E0105C">
            <wp:extent cx="3011805" cy="2877820"/>
            <wp:effectExtent l="0" t="0" r="0" b="0"/>
            <wp:docPr id="99" name="Picture 99" descr="As per Tabl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Picture 99" descr="As per Table 5.1"/>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3011805" cy="2877820"/>
                    </a:xfrm>
                    <a:prstGeom prst="rect">
                      <a:avLst/>
                    </a:prstGeom>
                    <a:noFill/>
                  </pic:spPr>
                </pic:pic>
              </a:graphicData>
            </a:graphic>
          </wp:inline>
        </w:drawing>
      </w:r>
    </w:p>
    <w:p w14:paraId="49ABCFDB" w14:textId="77777777" w:rsidR="00676882" w:rsidRDefault="00676882" w:rsidP="00676882">
      <w:pPr>
        <w:pStyle w:val="BodyText"/>
        <w:ind w:left="-1985" w:firstLine="1265"/>
        <w:rPr>
          <w:b/>
          <w:bCs/>
        </w:rPr>
      </w:pPr>
      <w:r w:rsidRPr="006B0263">
        <w:rPr>
          <w:b/>
          <w:bCs/>
        </w:rPr>
        <w:t>Inclusive of 3-star performance options</w:t>
      </w:r>
      <w:r w:rsidRPr="006B0263">
        <w:rPr>
          <w:b/>
          <w:bCs/>
        </w:rPr>
        <w:tab/>
      </w:r>
      <w:r w:rsidRPr="006B0263">
        <w:rPr>
          <w:b/>
          <w:bCs/>
        </w:rPr>
        <w:tab/>
        <w:t>Not inclusive of 3-star performance</w:t>
      </w:r>
    </w:p>
    <w:p w14:paraId="5F51ECB5" w14:textId="77777777" w:rsidR="00676882" w:rsidRPr="006B0263" w:rsidRDefault="00676882" w:rsidP="00676882">
      <w:pPr>
        <w:pStyle w:val="BodyText"/>
        <w:ind w:left="-1985"/>
        <w:rPr>
          <w:b/>
          <w:bCs/>
          <w:i/>
          <w:iCs/>
          <w:sz w:val="16"/>
          <w:szCs w:val="16"/>
        </w:rPr>
      </w:pPr>
      <w:r w:rsidRPr="006B0263">
        <w:rPr>
          <w:i/>
          <w:iCs/>
          <w:sz w:val="16"/>
          <w:szCs w:val="16"/>
        </w:rPr>
        <w:t>Source: ACIL Allen</w:t>
      </w:r>
    </w:p>
    <w:p w14:paraId="64F2C806" w14:textId="77777777" w:rsidR="00676882" w:rsidRDefault="00676882" w:rsidP="00676882">
      <w:pPr>
        <w:pStyle w:val="BodyText"/>
      </w:pPr>
      <w:r>
        <w:lastRenderedPageBreak/>
        <w:t xml:space="preserve">The benefit-cost ratio of each of the proposed policy options are given in </w:t>
      </w:r>
      <w:r w:rsidRPr="009E4AB1">
        <w:fldChar w:fldCharType="begin"/>
      </w:r>
      <w:r w:rsidRPr="009E4AB1">
        <w:instrText xml:space="preserve"> REF _Ref80699087 \h  \* MERGEFORMAT </w:instrText>
      </w:r>
      <w:r w:rsidRPr="009E4AB1">
        <w:fldChar w:fldCharType="separate"/>
      </w:r>
      <w:r w:rsidRPr="00F32FCC">
        <w:t>Figure 5.3</w:t>
      </w:r>
      <w:r w:rsidRPr="009E4AB1">
        <w:fldChar w:fldCharType="end"/>
      </w:r>
      <w:r>
        <w:t>. A BCR of greater than one indicates a policy with net benefit to society. However, the BCR does not indicate the relative scale of the options — that is, a BCR is a ratio of costs and benefits. Options with the same BCR can have very different net present values. For example, the BCRs for the 3-star performance standard options are on par with the 2-star performance standard options, but the net present value of the 3-star performance standard options has much larger negative numbers than of the 2-star performance standard options. It is important to note that the BCR can hide two types of scaling:</w:t>
      </w:r>
    </w:p>
    <w:p w14:paraId="50F07A13" w14:textId="77777777" w:rsidR="00676882" w:rsidRDefault="00676882" w:rsidP="00676882">
      <w:pPr>
        <w:pStyle w:val="ListBullet"/>
      </w:pPr>
      <w:r>
        <w:t>both costs and benefits are scaled equally (for example, both the per upgrade costs and the per upgrade benefits of the 3-star performance standard options are greater than of the 2-star performance standard options)</w:t>
      </w:r>
    </w:p>
    <w:p w14:paraId="34881A52" w14:textId="77777777" w:rsidR="00676882" w:rsidRDefault="00676882" w:rsidP="00676882">
      <w:pPr>
        <w:pStyle w:val="ListBullet"/>
      </w:pPr>
      <w:r>
        <w:t xml:space="preserve">the number of properties that </w:t>
      </w:r>
      <w:proofErr w:type="gramStart"/>
      <w:r>
        <w:t>have to</w:t>
      </w:r>
      <w:proofErr w:type="gramEnd"/>
      <w:r>
        <w:t xml:space="preserve"> upgrade is scaled (for example, the modelling assumed more than twice as many properties require improvements to insulation as require improvements to the heater).</w:t>
      </w:r>
    </w:p>
    <w:p w14:paraId="64669973" w14:textId="77777777" w:rsidR="00676882" w:rsidRDefault="00676882" w:rsidP="00676882">
      <w:pPr>
        <w:pStyle w:val="ListBullet"/>
        <w:numPr>
          <w:ilvl w:val="0"/>
          <w:numId w:val="0"/>
        </w:numPr>
      </w:pPr>
      <w:bookmarkStart w:id="196" w:name="_Ref80699087"/>
      <w:bookmarkStart w:id="197" w:name="_Toc80719263"/>
      <w:r w:rsidRPr="00331FF5">
        <w:rPr>
          <w:rStyle w:val="CaptionLabel"/>
        </w:rPr>
        <w:t>Figure </w:t>
      </w:r>
      <w:r w:rsidRPr="00331FF5">
        <w:rPr>
          <w:rStyle w:val="CaptionLabel"/>
        </w:rPr>
        <w:fldChar w:fldCharType="begin"/>
      </w:r>
      <w:r w:rsidRPr="00331FF5">
        <w:rPr>
          <w:rStyle w:val="CaptionLabel"/>
        </w:rPr>
        <w:instrText xml:space="preserve"> STYLEREF 1 \S \* MERGEFORMAT </w:instrText>
      </w:r>
      <w:r w:rsidRPr="00331FF5">
        <w:rPr>
          <w:rStyle w:val="CaptionLabel"/>
        </w:rPr>
        <w:fldChar w:fldCharType="separate"/>
      </w:r>
      <w:r>
        <w:rPr>
          <w:rStyle w:val="CaptionLabel"/>
          <w:noProof/>
        </w:rPr>
        <w:t>5</w:t>
      </w:r>
      <w:r w:rsidRPr="00331FF5">
        <w:rPr>
          <w:rStyle w:val="CaptionLabel"/>
        </w:rPr>
        <w:fldChar w:fldCharType="end"/>
      </w:r>
      <w:r w:rsidRPr="00331FF5">
        <w:rPr>
          <w:rStyle w:val="CaptionLabel"/>
        </w:rPr>
        <w:t>.</w:t>
      </w:r>
      <w:r w:rsidRPr="00331FF5">
        <w:rPr>
          <w:rStyle w:val="CaptionLabel"/>
        </w:rPr>
        <w:fldChar w:fldCharType="begin"/>
      </w:r>
      <w:r w:rsidRPr="00331FF5">
        <w:rPr>
          <w:rStyle w:val="CaptionLabel"/>
        </w:rPr>
        <w:instrText xml:space="preserve"> SEQ Figure \* ARABIC \S 1 \* MERGEFORMAT </w:instrText>
      </w:r>
      <w:r w:rsidRPr="00331FF5">
        <w:rPr>
          <w:rStyle w:val="CaptionLabel"/>
        </w:rPr>
        <w:fldChar w:fldCharType="separate"/>
      </w:r>
      <w:r>
        <w:rPr>
          <w:rStyle w:val="CaptionLabel"/>
          <w:noProof/>
        </w:rPr>
        <w:t>3</w:t>
      </w:r>
      <w:r w:rsidRPr="00331FF5">
        <w:rPr>
          <w:rStyle w:val="CaptionLabel"/>
        </w:rPr>
        <w:fldChar w:fldCharType="end"/>
      </w:r>
      <w:bookmarkEnd w:id="196"/>
      <w:r>
        <w:tab/>
        <w:t>Benefit-cost ratio, 3 per cent discount rate</w:t>
      </w:r>
      <w:bookmarkEnd w:id="197"/>
    </w:p>
    <w:p w14:paraId="4F19AC90" w14:textId="77777777" w:rsidR="00676882" w:rsidRDefault="00676882" w:rsidP="00676882">
      <w:pPr>
        <w:pStyle w:val="ListBullet"/>
        <w:numPr>
          <w:ilvl w:val="0"/>
          <w:numId w:val="0"/>
        </w:numPr>
      </w:pPr>
      <w:r>
        <w:rPr>
          <w:noProof/>
        </w:rPr>
        <w:drawing>
          <wp:inline distT="0" distB="0" distL="0" distR="0" wp14:anchorId="59E068EB" wp14:editId="1125F4DD">
            <wp:extent cx="4901565" cy="3060700"/>
            <wp:effectExtent l="0" t="0" r="0" b="6350"/>
            <wp:docPr id="100" name="Picture 100" descr="As per Tabl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descr="As per Table 5.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901565" cy="3060700"/>
                    </a:xfrm>
                    <a:prstGeom prst="rect">
                      <a:avLst/>
                    </a:prstGeom>
                    <a:noFill/>
                  </pic:spPr>
                </pic:pic>
              </a:graphicData>
            </a:graphic>
          </wp:inline>
        </w:drawing>
      </w:r>
    </w:p>
    <w:p w14:paraId="26FDFDB6" w14:textId="77777777" w:rsidR="00676882" w:rsidRPr="005A25BB" w:rsidRDefault="00676882" w:rsidP="00676882">
      <w:pPr>
        <w:pStyle w:val="BodyText"/>
        <w:spacing w:before="0" w:after="0" w:line="0" w:lineRule="atLeast"/>
        <w:rPr>
          <w:b/>
          <w:bCs/>
          <w:i/>
          <w:iCs/>
          <w:sz w:val="16"/>
          <w:szCs w:val="16"/>
        </w:rPr>
      </w:pPr>
      <w:r w:rsidRPr="005A25BB">
        <w:rPr>
          <w:i/>
          <w:iCs/>
          <w:sz w:val="16"/>
          <w:szCs w:val="16"/>
        </w:rPr>
        <w:t>Source: ACIL Allen</w:t>
      </w:r>
    </w:p>
    <w:p w14:paraId="78FAEA15" w14:textId="77777777" w:rsidR="00676882" w:rsidRDefault="00676882" w:rsidP="00676882">
      <w:pPr>
        <w:pStyle w:val="BodyText"/>
      </w:pPr>
      <w:r>
        <w:t xml:space="preserve">The scale of the results for each of the proposed policy options is a function of the number of properties to which the proposed policy option is applicable. For example, it is estimated that more than twice as many rental properties will require an upgrade of ceiling insulation (18,450) as will be required to upgrade to an energy efficient heater (8,465), which is more than twice as many as those that will be required to upgrade to 2-stars (3272). The number of properties upgraded are shown in </w:t>
      </w:r>
      <w:r w:rsidRPr="009E4AB1">
        <w:rPr>
          <w:highlight w:val="yellow"/>
        </w:rPr>
        <w:fldChar w:fldCharType="begin"/>
      </w:r>
      <w:r w:rsidRPr="009E4AB1">
        <w:instrText xml:space="preserve"> REF _Ref80446443 \h  \* MERGEFORMAT </w:instrText>
      </w:r>
      <w:r w:rsidRPr="009E4AB1">
        <w:rPr>
          <w:highlight w:val="yellow"/>
        </w:rPr>
      </w:r>
      <w:r w:rsidRPr="009E4AB1">
        <w:rPr>
          <w:highlight w:val="yellow"/>
        </w:rPr>
        <w:fldChar w:fldCharType="separate"/>
      </w:r>
      <w:r w:rsidRPr="00F32FCC">
        <w:t>Figure 5.4</w:t>
      </w:r>
      <w:r w:rsidRPr="009E4AB1">
        <w:rPr>
          <w:highlight w:val="yellow"/>
        </w:rPr>
        <w:fldChar w:fldCharType="end"/>
      </w:r>
      <w:r>
        <w:t>.</w:t>
      </w:r>
    </w:p>
    <w:p w14:paraId="4CF325F5" w14:textId="77777777" w:rsidR="00676882" w:rsidRDefault="00676882" w:rsidP="00676882">
      <w:pPr>
        <w:pStyle w:val="Caption"/>
        <w:keepLines/>
      </w:pPr>
      <w:bookmarkStart w:id="198" w:name="_Ref80446443"/>
      <w:bookmarkStart w:id="199" w:name="_Toc80719264"/>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4</w:t>
      </w:r>
      <w:r w:rsidRPr="006B0263">
        <w:rPr>
          <w:rStyle w:val="CaptionLabel"/>
        </w:rPr>
        <w:fldChar w:fldCharType="end"/>
      </w:r>
      <w:bookmarkEnd w:id="198"/>
      <w:r>
        <w:tab/>
        <w:t>Number of properties upgraded per scenario</w:t>
      </w:r>
      <w:bookmarkEnd w:id="199"/>
    </w:p>
    <w:p w14:paraId="27040B70" w14:textId="77777777" w:rsidR="00676882" w:rsidRDefault="00676882" w:rsidP="00676882">
      <w:pPr>
        <w:pStyle w:val="BodyText"/>
        <w:keepNext/>
        <w:keepLines/>
      </w:pPr>
      <w:r>
        <w:rPr>
          <w:noProof/>
        </w:rPr>
        <w:drawing>
          <wp:inline distT="0" distB="0" distL="0" distR="0" wp14:anchorId="782F6E91" wp14:editId="4EB197ED">
            <wp:extent cx="5041900" cy="2145665"/>
            <wp:effectExtent l="0" t="0" r="6350" b="6985"/>
            <wp:docPr id="102" name="Picture 102" descr="Insulation scenarios: 18,450 properties&#10;Heater scenarios: 8,456 properties&#10;Performance 2-star: 3,272 properties&#10;Performance 3-star: 22,941 proper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2" descr="Insulation scenarios: 18,450 properties&#10;Heater scenarios: 8,456 properties&#10;Performance 2-star: 3,272 properties&#10;Performance 3-star: 22,941 properties"/>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041900" cy="2145665"/>
                    </a:xfrm>
                    <a:prstGeom prst="rect">
                      <a:avLst/>
                    </a:prstGeom>
                    <a:noFill/>
                  </pic:spPr>
                </pic:pic>
              </a:graphicData>
            </a:graphic>
          </wp:inline>
        </w:drawing>
      </w:r>
    </w:p>
    <w:p w14:paraId="61377C96" w14:textId="77777777" w:rsidR="00676882" w:rsidRPr="005A25BB" w:rsidRDefault="00676882" w:rsidP="00676882">
      <w:pPr>
        <w:pStyle w:val="BodyText"/>
        <w:keepNext/>
        <w:keepLines/>
        <w:spacing w:before="0" w:after="0" w:line="0" w:lineRule="atLeast"/>
        <w:rPr>
          <w:b/>
          <w:bCs/>
          <w:i/>
          <w:iCs/>
          <w:sz w:val="16"/>
          <w:szCs w:val="16"/>
        </w:rPr>
      </w:pPr>
      <w:r w:rsidRPr="005A25BB">
        <w:rPr>
          <w:i/>
          <w:iCs/>
          <w:sz w:val="16"/>
          <w:szCs w:val="16"/>
        </w:rPr>
        <w:t>Source: ACIL Allen</w:t>
      </w:r>
    </w:p>
    <w:p w14:paraId="28B36979" w14:textId="77777777" w:rsidR="00676882" w:rsidRDefault="00676882" w:rsidP="00676882">
      <w:pPr>
        <w:pStyle w:val="BodyText"/>
      </w:pPr>
      <w:r>
        <w:t xml:space="preserve">The net present value per upgrade shows the relative impact of each option scaled by the number of properties affected. These results are important, because estimates of the proportion of properties which would need to be upgraded are uncertain. The per upgrade results show that while the 3-star option is still the worst option, it is more comparable to the other results than the overall impacts show (see </w:t>
      </w:r>
      <w:r w:rsidRPr="009E4AB1">
        <w:fldChar w:fldCharType="begin"/>
      </w:r>
      <w:r w:rsidRPr="009E4AB1">
        <w:instrText xml:space="preserve"> REF _Ref80446593 \h  \* MERGEFORMAT </w:instrText>
      </w:r>
      <w:r w:rsidRPr="009E4AB1">
        <w:fldChar w:fldCharType="separate"/>
      </w:r>
      <w:r w:rsidRPr="00F32FCC">
        <w:t>Figure 5.5</w:t>
      </w:r>
      <w:r w:rsidRPr="009E4AB1">
        <w:fldChar w:fldCharType="end"/>
      </w:r>
      <w:r>
        <w:t>).</w:t>
      </w:r>
    </w:p>
    <w:p w14:paraId="05E21EC7" w14:textId="77777777" w:rsidR="00676882" w:rsidRDefault="00676882" w:rsidP="00676882">
      <w:pPr>
        <w:pStyle w:val="Caption"/>
        <w:ind w:left="-851"/>
      </w:pPr>
      <w:bookmarkStart w:id="200" w:name="_Ref80446593"/>
      <w:bookmarkStart w:id="201" w:name="_Toc80719265"/>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5</w:t>
      </w:r>
      <w:r w:rsidRPr="006B0263">
        <w:rPr>
          <w:rStyle w:val="CaptionLabel"/>
        </w:rPr>
        <w:fldChar w:fldCharType="end"/>
      </w:r>
      <w:bookmarkEnd w:id="200"/>
      <w:r>
        <w:tab/>
        <w:t>Net present value – per upgrade</w:t>
      </w:r>
      <w:bookmarkEnd w:id="201"/>
    </w:p>
    <w:p w14:paraId="4EC36746" w14:textId="77777777" w:rsidR="00676882" w:rsidRDefault="00676882" w:rsidP="00676882">
      <w:pPr>
        <w:pStyle w:val="BodyText"/>
        <w:ind w:left="-2127"/>
      </w:pPr>
      <w:r>
        <w:rPr>
          <w:noProof/>
        </w:rPr>
        <w:drawing>
          <wp:inline distT="0" distB="0" distL="0" distR="0" wp14:anchorId="0E1E44A1" wp14:editId="3A3B8CAF">
            <wp:extent cx="6694170" cy="2877820"/>
            <wp:effectExtent l="0" t="0" r="0" b="0"/>
            <wp:docPr id="123" name="Picture 123" descr="Insulation R3 - 2 year: $567&#10;Insulation R3 - 4 year: $601&#10;Insulation R5 - 2 year: $945&#10;Insulation R5 - 4 year: $977&#10;Heater - 2 year: -$1,832&#10;Heater - 4 year: -$1,833&#10;Performance 2S - 2 year: -$3,961&#10;Performance 2S - 4 year: -$3,927&#10;Performance 3S - 2 year: -$4,642&#10;Performance 3S - 4 year: -$4,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3" descr="Insulation R3 - 2 year: $567&#10;Insulation R3 - 4 year: $601&#10;Insulation R5 - 2 year: $945&#10;Insulation R5 - 4 year: $977&#10;Heater - 2 year: -$1,832&#10;Heater - 4 year: -$1,833&#10;Performance 2S - 2 year: -$3,961&#10;Performance 2S - 4 year: -$3,927&#10;Performance 3S - 2 year: -$4,642&#10;Performance 3S - 4 year: -$4,516"/>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694170" cy="2877820"/>
                    </a:xfrm>
                    <a:prstGeom prst="rect">
                      <a:avLst/>
                    </a:prstGeom>
                    <a:noFill/>
                  </pic:spPr>
                </pic:pic>
              </a:graphicData>
            </a:graphic>
          </wp:inline>
        </w:drawing>
      </w:r>
    </w:p>
    <w:p w14:paraId="395DBE00" w14:textId="77777777" w:rsidR="00676882" w:rsidRPr="005A25BB" w:rsidRDefault="00676882" w:rsidP="00676882">
      <w:pPr>
        <w:pStyle w:val="BodyText"/>
        <w:spacing w:before="0" w:after="0" w:line="0" w:lineRule="atLeast"/>
        <w:ind w:left="-2127"/>
        <w:rPr>
          <w:b/>
          <w:bCs/>
          <w:i/>
          <w:iCs/>
          <w:sz w:val="16"/>
          <w:szCs w:val="16"/>
        </w:rPr>
      </w:pPr>
      <w:r w:rsidRPr="005A25BB">
        <w:rPr>
          <w:i/>
          <w:iCs/>
          <w:sz w:val="16"/>
          <w:szCs w:val="16"/>
        </w:rPr>
        <w:t>Source: ACIL Allen</w:t>
      </w:r>
    </w:p>
    <w:p w14:paraId="5C4ECA1C" w14:textId="77777777" w:rsidR="00676882" w:rsidRDefault="00676882" w:rsidP="00676882">
      <w:pPr>
        <w:pStyle w:val="BodyText"/>
      </w:pPr>
      <w:r>
        <w:t>While the impacts quantified for this analysis result in a net cost to society for some of the options, it is important to consider that:</w:t>
      </w:r>
    </w:p>
    <w:p w14:paraId="55AC7248" w14:textId="77777777" w:rsidR="00676882" w:rsidRDefault="00676882" w:rsidP="00676882">
      <w:pPr>
        <w:pStyle w:val="ListBullet"/>
      </w:pPr>
      <w:r>
        <w:t xml:space="preserve">In addition to the impacts outlined in </w:t>
      </w:r>
      <w:r w:rsidRPr="009E4AB1">
        <w:fldChar w:fldCharType="begin"/>
      </w:r>
      <w:r w:rsidRPr="009E4AB1">
        <w:instrText xml:space="preserve"> REF _Ref75768799 \r \h  \* MERGEFORMAT </w:instrText>
      </w:r>
      <w:r w:rsidRPr="009E4AB1">
        <w:fldChar w:fldCharType="separate"/>
      </w:r>
      <w:r>
        <w:t>5.1.1</w:t>
      </w:r>
      <w:r w:rsidRPr="009E4AB1">
        <w:fldChar w:fldCharType="end"/>
      </w:r>
      <w:r>
        <w:t>, there is now a considerable body of evidence that indicates that there are other multiple impacts (both costs and benefits) associated with energy efficiency – both private and public. These multiple impacts include the impacts of energy efficiency on:</w:t>
      </w:r>
    </w:p>
    <w:p w14:paraId="53A91364" w14:textId="77777777" w:rsidR="00676882" w:rsidRDefault="00676882" w:rsidP="00676882">
      <w:pPr>
        <w:pStyle w:val="ListBullet2"/>
        <w:numPr>
          <w:ilvl w:val="1"/>
          <w:numId w:val="43"/>
        </w:numPr>
      </w:pPr>
      <w:r>
        <w:t>increased health and wellbeing</w:t>
      </w:r>
      <w:r>
        <w:rPr>
          <w:rStyle w:val="FootnoteReference"/>
        </w:rPr>
        <w:footnoteReference w:id="5"/>
      </w:r>
    </w:p>
    <w:p w14:paraId="1859B800" w14:textId="77777777" w:rsidR="00676882" w:rsidRDefault="00676882" w:rsidP="00676882">
      <w:pPr>
        <w:pStyle w:val="ListBullet2"/>
        <w:numPr>
          <w:ilvl w:val="1"/>
          <w:numId w:val="43"/>
        </w:numPr>
      </w:pPr>
      <w:r>
        <w:t>the energy system</w:t>
      </w:r>
    </w:p>
    <w:p w14:paraId="44F49537" w14:textId="77777777" w:rsidR="00676882" w:rsidRDefault="00676882" w:rsidP="00676882">
      <w:pPr>
        <w:pStyle w:val="ListBullet2"/>
        <w:numPr>
          <w:ilvl w:val="1"/>
          <w:numId w:val="43"/>
        </w:numPr>
      </w:pPr>
      <w:r>
        <w:lastRenderedPageBreak/>
        <w:t>the overall economy.</w:t>
      </w:r>
    </w:p>
    <w:p w14:paraId="760D482D" w14:textId="77777777" w:rsidR="00676882" w:rsidRDefault="00676882" w:rsidP="00676882">
      <w:pPr>
        <w:pStyle w:val="BodyText"/>
      </w:pPr>
      <w:r>
        <w:t>Despite the considerable body of international evidence on the value of these multiple impacts of energy efficiency</w:t>
      </w:r>
      <w:r>
        <w:rPr>
          <w:rStyle w:val="FootnoteReference"/>
        </w:rPr>
        <w:footnoteReference w:id="6"/>
      </w:r>
      <w:r>
        <w:t xml:space="preserve">, there is an absence of Australian-specific estimates to enable these impacts to be quantified, and of a holistic framework for applying existing international research to the Australian context. Given this, some of these impacts have only been discussed qualitatively in this analysis (see section </w:t>
      </w:r>
      <w:r w:rsidRPr="009E4AB1">
        <w:fldChar w:fldCharType="begin"/>
      </w:r>
      <w:r w:rsidRPr="009E4AB1">
        <w:instrText xml:space="preserve"> REF _Ref76115394 \r \h  \* MERGEFORMAT </w:instrText>
      </w:r>
      <w:r w:rsidRPr="009E4AB1">
        <w:fldChar w:fldCharType="separate"/>
      </w:r>
      <w:r>
        <w:t>5.3</w:t>
      </w:r>
      <w:r w:rsidRPr="009E4AB1">
        <w:fldChar w:fldCharType="end"/>
      </w:r>
      <w:r>
        <w:t>). However, it is important to note that some of these non-energy benefits could be of greater value than the energy savings delivered by the policy options being analysed.</w:t>
      </w:r>
    </w:p>
    <w:p w14:paraId="7696E772" w14:textId="77777777" w:rsidR="00676882" w:rsidRDefault="00676882" w:rsidP="00676882">
      <w:pPr>
        <w:pStyle w:val="ListBullet"/>
      </w:pPr>
      <w:r>
        <w:t xml:space="preserve">The energy efficiency measures installed as a result of a minimum standard would deliver net benefits at the household level (see section 5.2.3). These benefits are particularly significant to low-income households in the context of energy bill pressures and fuel poverty (see section </w:t>
      </w:r>
      <w:r w:rsidRPr="009E4AB1">
        <w:fldChar w:fldCharType="begin"/>
      </w:r>
      <w:r w:rsidRPr="009E4AB1">
        <w:instrText xml:space="preserve"> REF _Ref76320479 \r \h  \* MERGEFORMAT </w:instrText>
      </w:r>
      <w:r w:rsidRPr="009E4AB1">
        <w:fldChar w:fldCharType="separate"/>
      </w:r>
      <w:r>
        <w:t>2.2</w:t>
      </w:r>
      <w:r w:rsidRPr="009E4AB1">
        <w:fldChar w:fldCharType="end"/>
      </w:r>
      <w:r>
        <w:t>).</w:t>
      </w:r>
    </w:p>
    <w:p w14:paraId="1639FF6C" w14:textId="77777777" w:rsidR="00676882" w:rsidRDefault="00676882" w:rsidP="00676882">
      <w:pPr>
        <w:pStyle w:val="ListBullet"/>
      </w:pPr>
      <w:r>
        <w:t xml:space="preserve">There are </w:t>
      </w:r>
      <w:proofErr w:type="gramStart"/>
      <w:r>
        <w:t>a number of</w:t>
      </w:r>
      <w:proofErr w:type="gramEnd"/>
      <w:r>
        <w:t xml:space="preserve"> recent policy developments driving the case to improve energy efficiency of residential buildings. These include:</w:t>
      </w:r>
    </w:p>
    <w:p w14:paraId="4A088137" w14:textId="77777777" w:rsidR="00676882" w:rsidRDefault="00676882" w:rsidP="00676882">
      <w:pPr>
        <w:pStyle w:val="ListBullet2"/>
        <w:numPr>
          <w:ilvl w:val="1"/>
          <w:numId w:val="43"/>
        </w:numPr>
        <w:rPr>
          <w:rFonts w:ascii="Times New Roman" w:hAnsi="Times New Roman" w:cs="Times New Roman"/>
          <w:sz w:val="24"/>
          <w:szCs w:val="24"/>
          <w:lang w:eastAsia="en-AU"/>
        </w:rPr>
      </w:pPr>
      <w:r>
        <w:t xml:space="preserve">the Paris Agreement, under which Australia has committed to reduce greenhouse gas emissions by 26 to 28 per cent on 2005 levels by 2030. The </w:t>
      </w:r>
      <w:r w:rsidRPr="00CA4C57">
        <w:t>Australia</w:t>
      </w:r>
      <w:r>
        <w:t>n</w:t>
      </w:r>
      <w:r w:rsidRPr="00CA4C57">
        <w:t xml:space="preserve"> </w:t>
      </w:r>
      <w:r>
        <w:t xml:space="preserve">Government </w:t>
      </w:r>
      <w:r w:rsidRPr="00CA4C57">
        <w:t>has stated that it is aiming to overachieve on this target</w:t>
      </w:r>
      <w:r>
        <w:t xml:space="preserve"> and that </w:t>
      </w:r>
      <w:r w:rsidRPr="00CA4C57">
        <w:t xml:space="preserve">it aims to reach net zero </w:t>
      </w:r>
      <w:r>
        <w:t xml:space="preserve">emissions </w:t>
      </w:r>
      <w:r w:rsidRPr="00CA4C57">
        <w:t>as soon as possible, preferably by 2050</w:t>
      </w:r>
      <w:r>
        <w:t xml:space="preserve">. As noted by CIE </w:t>
      </w:r>
      <w:sdt>
        <w:sdtPr>
          <w:id w:val="259112411"/>
          <w:citation/>
        </w:sdtPr>
        <w:sdtContent>
          <w:r>
            <w:fldChar w:fldCharType="begin"/>
          </w:r>
          <w:r>
            <w:instrText xml:space="preserve">CITATION CIE18 \n  \t  \l 3081 </w:instrText>
          </w:r>
          <w:r>
            <w:fldChar w:fldCharType="separate"/>
          </w:r>
          <w:r>
            <w:rPr>
              <w:noProof/>
            </w:rPr>
            <w:t>(2018)</w:t>
          </w:r>
          <w:r>
            <w:fldChar w:fldCharType="end"/>
          </w:r>
        </w:sdtContent>
      </w:sdt>
      <w:r>
        <w:t>, the domestic challenge is to achieve these targets at least cost and energy efficiency is often cited as a low (or in some cases negative) cost approach to achieving greenhouse gas abatement.</w:t>
      </w:r>
    </w:p>
    <w:p w14:paraId="4351F08C" w14:textId="77777777" w:rsidR="00676882" w:rsidRDefault="00676882" w:rsidP="00676882">
      <w:pPr>
        <w:pStyle w:val="ListBullet2"/>
        <w:numPr>
          <w:ilvl w:val="1"/>
          <w:numId w:val="43"/>
        </w:numPr>
      </w:pPr>
      <w:r>
        <w:t xml:space="preserve">the National Energy Productivity Plan (NEPP) </w:t>
      </w:r>
      <w:sdt>
        <w:sdtPr>
          <w:id w:val="619123249"/>
          <w:citation/>
        </w:sdtPr>
        <w:sdtContent>
          <w:r>
            <w:fldChar w:fldCharType="begin"/>
          </w:r>
          <w:r>
            <w:instrText xml:space="preserve">CITATION COA15 \l 3081 </w:instrText>
          </w:r>
          <w:r>
            <w:fldChar w:fldCharType="separate"/>
          </w:r>
          <w:r>
            <w:rPr>
              <w:noProof/>
            </w:rPr>
            <w:t>(COAG Energy Council, 2015)</w:t>
          </w:r>
          <w:r>
            <w:fldChar w:fldCharType="end"/>
          </w:r>
        </w:sdtContent>
      </w:sdt>
      <w:r>
        <w:t xml:space="preserve">, which sets a target of improving Australia’s energy productivity by 40 per cent by 2030 on 2015 levels and includes </w:t>
      </w:r>
      <w:proofErr w:type="gramStart"/>
      <w:r>
        <w:t>a number of</w:t>
      </w:r>
      <w:proofErr w:type="gramEnd"/>
      <w:r>
        <w:t xml:space="preserve"> measures to reduce the energy use of the residential building sector. </w:t>
      </w:r>
    </w:p>
    <w:p w14:paraId="39861555" w14:textId="77777777" w:rsidR="00676882" w:rsidRDefault="00676882" w:rsidP="00676882">
      <w:pPr>
        <w:pStyle w:val="ListBullet2"/>
        <w:numPr>
          <w:ilvl w:val="1"/>
          <w:numId w:val="43"/>
        </w:numPr>
      </w:pPr>
      <w:r>
        <w:t xml:space="preserve">the Trajectory for Low Energy Buildings </w:t>
      </w:r>
      <w:sdt>
        <w:sdtPr>
          <w:id w:val="999627040"/>
          <w:citation/>
        </w:sdtPr>
        <w:sdtContent>
          <w:r>
            <w:fldChar w:fldCharType="begin"/>
          </w:r>
          <w:r>
            <w:instrText xml:space="preserve"> CITATION COA201 \l 3081 </w:instrText>
          </w:r>
          <w:r>
            <w:fldChar w:fldCharType="separate"/>
          </w:r>
          <w:r>
            <w:rPr>
              <w:noProof/>
            </w:rPr>
            <w:t>(COAG Energy Council, 2020)</w:t>
          </w:r>
          <w:r>
            <w:fldChar w:fldCharType="end"/>
          </w:r>
        </w:sdtContent>
      </w:sdt>
      <w:r>
        <w:t xml:space="preserve">, which sets a plan towards zero energy (and carbon) ready buildings for Australia and identifies opportunities for the building sector. The Trajectory suggests </w:t>
      </w:r>
      <w:proofErr w:type="gramStart"/>
      <w:r>
        <w:t>a number of</w:t>
      </w:r>
      <w:proofErr w:type="gramEnd"/>
      <w:r>
        <w:t xml:space="preserve"> targeted building policies to improve the energy efficiency of existing buildings in Australia.</w:t>
      </w:r>
    </w:p>
    <w:p w14:paraId="67ED3BFD" w14:textId="77777777" w:rsidR="00676882" w:rsidRDefault="00676882" w:rsidP="00676882">
      <w:pPr>
        <w:pStyle w:val="BodyText"/>
      </w:pPr>
      <w:r>
        <w:t xml:space="preserve">The composition of the net impacts is given in </w:t>
      </w:r>
      <w:r w:rsidRPr="009E4AB1">
        <w:fldChar w:fldCharType="begin"/>
      </w:r>
      <w:r w:rsidRPr="009E4AB1">
        <w:instrText xml:space="preserve"> REF _Ref80699108 \h  \* MERGEFORMAT </w:instrText>
      </w:r>
      <w:r w:rsidRPr="009E4AB1">
        <w:fldChar w:fldCharType="separate"/>
      </w:r>
      <w:r w:rsidRPr="00F32FCC">
        <w:t>Figure 5.6</w:t>
      </w:r>
      <w:r w:rsidRPr="009E4AB1">
        <w:fldChar w:fldCharType="end"/>
      </w:r>
      <w:r>
        <w:t>. The cost of making the upgrades — for both rental providers and for Housing ACT — are the largest costs. Reduced energy costs are the largest benefit by a substantial margin. Reduced wholesale energy costs represent the bulk of the benefits of the policy, representing between 4.2 (for performance options) and 6.6 times (for R5 insulation options) larger than the other benefits combined.</w:t>
      </w:r>
    </w:p>
    <w:p w14:paraId="13233826" w14:textId="77777777" w:rsidR="00676882" w:rsidRDefault="00676882" w:rsidP="00676882">
      <w:pPr>
        <w:pStyle w:val="BodyText"/>
      </w:pPr>
      <w:r>
        <w:t>Health benefits from reduced energy production from black coal and gas power plants, largely attributable to NSW residents, are not shown, however these are largely negligible compared with the other impacts.</w:t>
      </w:r>
    </w:p>
    <w:p w14:paraId="492DB81C" w14:textId="77777777" w:rsidR="00676882" w:rsidRDefault="00676882" w:rsidP="00676882">
      <w:pPr>
        <w:pStyle w:val="Caption"/>
        <w:ind w:left="-851"/>
      </w:pPr>
      <w:bookmarkStart w:id="202" w:name="_Ref80699108"/>
      <w:bookmarkStart w:id="203" w:name="_Toc80719266"/>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6</w:t>
      </w:r>
      <w:r w:rsidRPr="006B0263">
        <w:rPr>
          <w:rStyle w:val="CaptionLabel"/>
        </w:rPr>
        <w:fldChar w:fldCharType="end"/>
      </w:r>
      <w:bookmarkEnd w:id="202"/>
      <w:r>
        <w:tab/>
        <w:t>Composition of net impacts</w:t>
      </w:r>
      <w:bookmarkEnd w:id="203"/>
    </w:p>
    <w:p w14:paraId="79FCEDC0" w14:textId="77777777" w:rsidR="00676882" w:rsidRDefault="00676882" w:rsidP="00676882">
      <w:pPr>
        <w:pStyle w:val="BodyText"/>
        <w:ind w:left="-2127"/>
      </w:pPr>
      <w:r>
        <w:rPr>
          <w:noProof/>
        </w:rPr>
        <w:drawing>
          <wp:inline distT="0" distB="0" distL="0" distR="0" wp14:anchorId="1990F842" wp14:editId="6990B7EB">
            <wp:extent cx="6682105" cy="2865120"/>
            <wp:effectExtent l="0" t="0" r="4445" b="0"/>
            <wp:docPr id="581" name="Picture 581" descr="The chart shows that upgrade costs are the around 90% of the costs, while reduced energy bills are around 70% to 80% of the benefi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 name="Picture 581" descr="The chart shows that upgrade costs are the around 90% of the costs, while reduced energy bills are around 70% to 80% of the benefits."/>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682105" cy="2865120"/>
                    </a:xfrm>
                    <a:prstGeom prst="rect">
                      <a:avLst/>
                    </a:prstGeom>
                    <a:noFill/>
                  </pic:spPr>
                </pic:pic>
              </a:graphicData>
            </a:graphic>
          </wp:inline>
        </w:drawing>
      </w:r>
    </w:p>
    <w:p w14:paraId="7739C7F2" w14:textId="77777777" w:rsidR="00676882" w:rsidRPr="005A25BB" w:rsidRDefault="00676882" w:rsidP="00676882">
      <w:pPr>
        <w:pStyle w:val="BodyText"/>
        <w:spacing w:before="0" w:after="0" w:line="0" w:lineRule="atLeast"/>
        <w:ind w:left="-2127"/>
        <w:rPr>
          <w:b/>
          <w:bCs/>
          <w:i/>
          <w:iCs/>
          <w:sz w:val="16"/>
          <w:szCs w:val="16"/>
        </w:rPr>
      </w:pPr>
      <w:r w:rsidRPr="005A25BB">
        <w:rPr>
          <w:i/>
          <w:iCs/>
          <w:sz w:val="16"/>
          <w:szCs w:val="16"/>
        </w:rPr>
        <w:t>Source: ACIL Allen</w:t>
      </w:r>
    </w:p>
    <w:p w14:paraId="7EB89003" w14:textId="77777777" w:rsidR="00676882" w:rsidRDefault="00676882" w:rsidP="00676882">
      <w:pPr>
        <w:pStyle w:val="Heading4nonumber"/>
      </w:pPr>
      <w:r>
        <w:t>Phase-in periods</w:t>
      </w:r>
    </w:p>
    <w:p w14:paraId="0979C219" w14:textId="77777777" w:rsidR="00676882" w:rsidRDefault="00676882" w:rsidP="00676882">
      <w:pPr>
        <w:pStyle w:val="BodyText"/>
      </w:pPr>
      <w:r>
        <w:t xml:space="preserve">The net impacts associated with the four-year phase-in variations of the policy options are slightly better than the two-year phase-in versions. Given the options cover roughly the same number of upgrades, the additional benefit comes from slightly delaying costs in the case of the four-year option. At a three per cent discount rate, the slightly longer phase-in improves the net impacts by between 1 and 6 per cent. Because </w:t>
      </w:r>
      <w:proofErr w:type="gramStart"/>
      <w:r>
        <w:t>the majority of</w:t>
      </w:r>
      <w:proofErr w:type="gramEnd"/>
      <w:r>
        <w:t xml:space="preserve"> tenancies for private rentals are re-signed each year, with a far fewer in each year following, the longer phase-in impacts only a few properties. Only a small proportion of leases are longer than three years. </w:t>
      </w:r>
    </w:p>
    <w:p w14:paraId="1F17E810" w14:textId="77777777" w:rsidR="00676882" w:rsidRPr="004C0B23" w:rsidRDefault="00676882" w:rsidP="00676882">
      <w:pPr>
        <w:pStyle w:val="BodyText"/>
      </w:pPr>
      <w:r>
        <w:t>Some additional properties, which are not compliant with the proposed minimum standards, will enter the rental market each year. These will create a ‘long-tail’ of upgrades each year after the phase-in period, as captured in the remaining years of the ten-year cohort (and into the future).</w:t>
      </w:r>
    </w:p>
    <w:p w14:paraId="732E8361" w14:textId="77777777" w:rsidR="00676882" w:rsidRDefault="00676882" w:rsidP="00676882">
      <w:pPr>
        <w:pStyle w:val="Heading3"/>
      </w:pPr>
      <w:r>
        <w:t>Time profile of impacts</w:t>
      </w:r>
    </w:p>
    <w:p w14:paraId="5A730AB6" w14:textId="77777777" w:rsidR="00676882" w:rsidRDefault="00676882" w:rsidP="00676882">
      <w:pPr>
        <w:pStyle w:val="BodyText"/>
      </w:pPr>
      <w:r>
        <w:t>The time profile impacts can largely be separated into three periods:</w:t>
      </w:r>
    </w:p>
    <w:p w14:paraId="0A6EC64E" w14:textId="77777777" w:rsidR="00676882" w:rsidRDefault="00676882" w:rsidP="00676882">
      <w:pPr>
        <w:pStyle w:val="ListBullet"/>
      </w:pPr>
      <w:r>
        <w:t xml:space="preserve">The up-front investment in meeting minimum standards through upgrading rental properties. This report includes the modelled results of a ten-year cohort (2022-2031). </w:t>
      </w:r>
      <w:proofErr w:type="gramStart"/>
      <w:r>
        <w:t>In reality, a</w:t>
      </w:r>
      <w:proofErr w:type="gramEnd"/>
      <w:r>
        <w:t xml:space="preserve"> small number of properties will continue to be upgraded each year as they enter the rental market for the first time. This number will be slightly higher for the heaters, as older appliances will need to be replaced more often. </w:t>
      </w:r>
    </w:p>
    <w:p w14:paraId="56BA5E2C" w14:textId="77777777" w:rsidR="00676882" w:rsidRDefault="00676882" w:rsidP="00676882">
      <w:pPr>
        <w:pStyle w:val="ListBullet"/>
      </w:pPr>
      <w:r>
        <w:t>The middle period, which largely is defined by reduced energy costs and ongoing administration and enforcement costs. Given costs are low and benefits are high, this period is when the net benefits largely occur. The length of this period is defined by the lifespan of the upgrades. This varied from 25 years (or more) for insulation, to around 12 years for heating appliances.</w:t>
      </w:r>
    </w:p>
    <w:p w14:paraId="46BBB4E5" w14:textId="77777777" w:rsidR="00676882" w:rsidRDefault="00676882" w:rsidP="00676882">
      <w:pPr>
        <w:pStyle w:val="ListBullet"/>
      </w:pPr>
      <w:r>
        <w:t>The tail period, in which the upgrades begin to break down and will require replacement. This period is similarly around ten years, which reflects the ten-year cohort modelled.</w:t>
      </w:r>
    </w:p>
    <w:p w14:paraId="2A179926" w14:textId="77777777" w:rsidR="00676882" w:rsidRDefault="00676882" w:rsidP="00676882">
      <w:pPr>
        <w:pStyle w:val="BodyText"/>
      </w:pPr>
      <w:r>
        <w:t xml:space="preserve">The time profile of impacts for the insulation options is given in </w:t>
      </w:r>
      <w:r w:rsidRPr="009E4AB1">
        <w:fldChar w:fldCharType="begin"/>
      </w:r>
      <w:r w:rsidRPr="009E4AB1">
        <w:instrText xml:space="preserve"> REF _Ref80449344 \h  \* MERGEFORMAT </w:instrText>
      </w:r>
      <w:r w:rsidRPr="009E4AB1">
        <w:fldChar w:fldCharType="separate"/>
      </w:r>
      <w:r w:rsidRPr="00F32FCC">
        <w:t>Figure 5.7</w:t>
      </w:r>
      <w:r w:rsidRPr="009E4AB1">
        <w:fldChar w:fldCharType="end"/>
      </w:r>
      <w:r>
        <w:t xml:space="preserve"> and the time profile of impacts for the heater options is given in </w:t>
      </w:r>
      <w:r w:rsidRPr="009E4AB1">
        <w:fldChar w:fldCharType="begin"/>
      </w:r>
      <w:r w:rsidRPr="009E4AB1">
        <w:instrText xml:space="preserve"> REF _Ref80449355 \h  \* MERGEFORMAT </w:instrText>
      </w:r>
      <w:r w:rsidRPr="009E4AB1">
        <w:fldChar w:fldCharType="separate"/>
      </w:r>
      <w:r w:rsidRPr="00F32FCC">
        <w:t>Figure 5.8</w:t>
      </w:r>
      <w:r w:rsidRPr="009E4AB1">
        <w:fldChar w:fldCharType="end"/>
      </w:r>
      <w:r>
        <w:t>.</w:t>
      </w:r>
    </w:p>
    <w:p w14:paraId="665B061E" w14:textId="77777777" w:rsidR="00676882" w:rsidRDefault="00676882" w:rsidP="00676882">
      <w:pPr>
        <w:pStyle w:val="Caption"/>
        <w:ind w:left="-851"/>
      </w:pPr>
      <w:bookmarkStart w:id="204" w:name="_Ref80449344"/>
      <w:bookmarkStart w:id="205" w:name="_Toc80719267"/>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7</w:t>
      </w:r>
      <w:r w:rsidRPr="006B0263">
        <w:rPr>
          <w:rStyle w:val="CaptionLabel"/>
        </w:rPr>
        <w:fldChar w:fldCharType="end"/>
      </w:r>
      <w:bookmarkEnd w:id="204"/>
      <w:r>
        <w:tab/>
        <w:t>Time profile of impacts – insulation options</w:t>
      </w:r>
      <w:bookmarkEnd w:id="205"/>
    </w:p>
    <w:p w14:paraId="4D069965" w14:textId="77777777" w:rsidR="00676882" w:rsidRDefault="00676882" w:rsidP="00676882">
      <w:pPr>
        <w:pStyle w:val="BodyText"/>
        <w:ind w:left="-1985"/>
      </w:pPr>
      <w:r>
        <w:rPr>
          <w:noProof/>
        </w:rPr>
        <w:drawing>
          <wp:inline distT="0" distB="0" distL="0" distR="0" wp14:anchorId="6FEC9832" wp14:editId="6297B098">
            <wp:extent cx="6157595" cy="2646045"/>
            <wp:effectExtent l="0" t="0" r="0" b="1905"/>
            <wp:docPr id="582" name="Picture 582" descr="Shows large costs in early years, then regular positive benefits from 2027 to about 2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Picture 582" descr="Shows large costs in early years, then regular positive benefits from 2027 to about 2047."/>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157595" cy="2646045"/>
                    </a:xfrm>
                    <a:prstGeom prst="rect">
                      <a:avLst/>
                    </a:prstGeom>
                    <a:noFill/>
                  </pic:spPr>
                </pic:pic>
              </a:graphicData>
            </a:graphic>
          </wp:inline>
        </w:drawing>
      </w:r>
    </w:p>
    <w:p w14:paraId="11379222" w14:textId="77777777" w:rsidR="00676882" w:rsidRPr="005A25BB" w:rsidRDefault="00676882" w:rsidP="00676882">
      <w:pPr>
        <w:pStyle w:val="BodyText"/>
        <w:spacing w:before="0" w:after="0" w:line="0" w:lineRule="atLeast"/>
        <w:ind w:left="-2127"/>
        <w:rPr>
          <w:b/>
          <w:bCs/>
          <w:i/>
          <w:iCs/>
          <w:sz w:val="16"/>
          <w:szCs w:val="16"/>
        </w:rPr>
      </w:pPr>
      <w:r w:rsidRPr="005A25BB">
        <w:rPr>
          <w:i/>
          <w:iCs/>
          <w:sz w:val="16"/>
          <w:szCs w:val="16"/>
        </w:rPr>
        <w:t>Source: ACIL Allen</w:t>
      </w:r>
    </w:p>
    <w:p w14:paraId="1BEDDF0C" w14:textId="77777777" w:rsidR="00676882" w:rsidRDefault="00676882" w:rsidP="00676882">
      <w:pPr>
        <w:pStyle w:val="BodyText"/>
        <w:ind w:left="-2127"/>
      </w:pPr>
    </w:p>
    <w:p w14:paraId="0F9287C9" w14:textId="77777777" w:rsidR="00676882" w:rsidRDefault="00676882" w:rsidP="00676882">
      <w:pPr>
        <w:pStyle w:val="Caption"/>
        <w:ind w:left="-851"/>
      </w:pPr>
      <w:bookmarkStart w:id="206" w:name="_Ref80449355"/>
      <w:bookmarkStart w:id="207" w:name="_Toc80719268"/>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8</w:t>
      </w:r>
      <w:r w:rsidRPr="006B0263">
        <w:rPr>
          <w:rStyle w:val="CaptionLabel"/>
        </w:rPr>
        <w:fldChar w:fldCharType="end"/>
      </w:r>
      <w:bookmarkEnd w:id="206"/>
      <w:r>
        <w:tab/>
        <w:t>Time profile of impacts – heater options</w:t>
      </w:r>
      <w:bookmarkEnd w:id="207"/>
    </w:p>
    <w:p w14:paraId="036FD4E2" w14:textId="77777777" w:rsidR="00676882" w:rsidRDefault="00676882" w:rsidP="00676882">
      <w:pPr>
        <w:pStyle w:val="BodyText"/>
        <w:ind w:left="-1985"/>
      </w:pPr>
      <w:r>
        <w:rPr>
          <w:noProof/>
        </w:rPr>
        <w:drawing>
          <wp:inline distT="0" distB="0" distL="0" distR="0" wp14:anchorId="705EAFED" wp14:editId="7B9008D6">
            <wp:extent cx="6157595" cy="2646045"/>
            <wp:effectExtent l="0" t="0" r="0" b="1905"/>
            <wp:docPr id="615" name="Picture 615" descr="Shows large upfront costs in early years, followed by four or five years of benefits, finishing by 2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Picture 615" descr="Shows large upfront costs in early years, followed by four or five years of benefits, finishing by 203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6157595" cy="2646045"/>
                    </a:xfrm>
                    <a:prstGeom prst="rect">
                      <a:avLst/>
                    </a:prstGeom>
                    <a:noFill/>
                  </pic:spPr>
                </pic:pic>
              </a:graphicData>
            </a:graphic>
          </wp:inline>
        </w:drawing>
      </w:r>
    </w:p>
    <w:p w14:paraId="744691AE" w14:textId="77777777" w:rsidR="00676882" w:rsidRPr="005A25BB" w:rsidRDefault="00676882" w:rsidP="00676882">
      <w:pPr>
        <w:pStyle w:val="BodyText"/>
        <w:spacing w:before="0" w:after="0" w:line="0" w:lineRule="atLeast"/>
        <w:ind w:left="-2127"/>
        <w:rPr>
          <w:b/>
          <w:bCs/>
          <w:i/>
          <w:iCs/>
          <w:sz w:val="16"/>
          <w:szCs w:val="16"/>
        </w:rPr>
      </w:pPr>
      <w:r w:rsidRPr="005A25BB">
        <w:rPr>
          <w:i/>
          <w:iCs/>
          <w:sz w:val="16"/>
          <w:szCs w:val="16"/>
        </w:rPr>
        <w:t>Source: ACIL Allen</w:t>
      </w:r>
    </w:p>
    <w:p w14:paraId="524FA729" w14:textId="77777777" w:rsidR="00676882" w:rsidRDefault="00676882" w:rsidP="00676882">
      <w:pPr>
        <w:pStyle w:val="BodyText"/>
      </w:pPr>
      <w:r>
        <w:t xml:space="preserve">The time profile of impacts for the performance options are given in </w:t>
      </w:r>
      <w:r w:rsidRPr="009E4AB1">
        <w:fldChar w:fldCharType="begin"/>
      </w:r>
      <w:r w:rsidRPr="009E4AB1">
        <w:instrText xml:space="preserve"> REF _Ref80699121 \h  \* MERGEFORMAT </w:instrText>
      </w:r>
      <w:r w:rsidRPr="009E4AB1">
        <w:fldChar w:fldCharType="separate"/>
      </w:r>
      <w:r w:rsidRPr="00F32FCC">
        <w:t>Figure 5.9</w:t>
      </w:r>
      <w:r w:rsidRPr="009E4AB1">
        <w:fldChar w:fldCharType="end"/>
      </w:r>
      <w:r>
        <w:t xml:space="preserve">. In addition to the three periods described above, there is a second period of capital costs, to replace inverters to allow operation of the solar photovoltaics over their full lifespan, which occurs after the first ten years. The performance options include a range of upgrades, with a different life for each of those upgrades, with appliances breaking down earliest, followed by more longer-lived upgrades. The period over which the upgrades </w:t>
      </w:r>
      <w:proofErr w:type="gramStart"/>
      <w:r>
        <w:t>depreciate</w:t>
      </w:r>
      <w:proofErr w:type="gramEnd"/>
      <w:r>
        <w:t xml:space="preserve"> and breakdown is therefore more staggered and smoother than either the insulation or heater options.</w:t>
      </w:r>
    </w:p>
    <w:p w14:paraId="54CCBFE9" w14:textId="77777777" w:rsidR="00676882" w:rsidRDefault="00676882" w:rsidP="00676882">
      <w:pPr>
        <w:pStyle w:val="Caption"/>
        <w:ind w:left="-851"/>
      </w:pPr>
      <w:bookmarkStart w:id="208" w:name="_Ref80699121"/>
      <w:bookmarkStart w:id="209" w:name="_Toc80719269"/>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9</w:t>
      </w:r>
      <w:r w:rsidRPr="006B0263">
        <w:rPr>
          <w:rStyle w:val="CaptionLabel"/>
        </w:rPr>
        <w:fldChar w:fldCharType="end"/>
      </w:r>
      <w:bookmarkEnd w:id="208"/>
      <w:r>
        <w:tab/>
        <w:t>Time profile of impacts – performance options</w:t>
      </w:r>
      <w:bookmarkEnd w:id="209"/>
    </w:p>
    <w:p w14:paraId="4DEB3CB0" w14:textId="77777777" w:rsidR="00676882" w:rsidRDefault="00676882" w:rsidP="00676882">
      <w:pPr>
        <w:pStyle w:val="BodyText"/>
        <w:ind w:left="-2127"/>
      </w:pPr>
      <w:r>
        <w:rPr>
          <w:noProof/>
        </w:rPr>
        <w:drawing>
          <wp:inline distT="0" distB="0" distL="0" distR="0" wp14:anchorId="5FAFEFC1" wp14:editId="7B8D9C3F">
            <wp:extent cx="6157595" cy="2646045"/>
            <wp:effectExtent l="0" t="0" r="0" b="1905"/>
            <wp:docPr id="616" name="Picture 616" descr="Shows very large upfront costs in early years, then smaller less consistent benefits from 2027 to the end of 2037, then a very small amount of ongoing benefits until 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Picture 616" descr="Shows very large upfront costs in early years, then smaller less consistent benefits from 2027 to the end of 2037, then a very small amount of ongoing benefits until 2050."/>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157595" cy="2646045"/>
                    </a:xfrm>
                    <a:prstGeom prst="rect">
                      <a:avLst/>
                    </a:prstGeom>
                    <a:noFill/>
                  </pic:spPr>
                </pic:pic>
              </a:graphicData>
            </a:graphic>
          </wp:inline>
        </w:drawing>
      </w:r>
    </w:p>
    <w:p w14:paraId="54840D1E" w14:textId="77777777" w:rsidR="00676882" w:rsidRPr="005A25BB" w:rsidRDefault="00676882" w:rsidP="00676882">
      <w:pPr>
        <w:pStyle w:val="BodyText"/>
        <w:spacing w:before="0" w:after="0" w:line="0" w:lineRule="atLeast"/>
        <w:ind w:left="-2127"/>
        <w:rPr>
          <w:b/>
          <w:bCs/>
          <w:i/>
          <w:iCs/>
          <w:sz w:val="16"/>
          <w:szCs w:val="16"/>
        </w:rPr>
      </w:pPr>
      <w:r w:rsidRPr="005A25BB">
        <w:rPr>
          <w:i/>
          <w:iCs/>
          <w:sz w:val="16"/>
          <w:szCs w:val="16"/>
        </w:rPr>
        <w:t>Source: ACIL Allen</w:t>
      </w:r>
    </w:p>
    <w:p w14:paraId="68F8284A" w14:textId="77777777" w:rsidR="00676882" w:rsidRDefault="00676882" w:rsidP="00676882">
      <w:pPr>
        <w:pStyle w:val="Heading3"/>
      </w:pPr>
      <w:r>
        <w:t>Energy and environmental impacts</w:t>
      </w:r>
    </w:p>
    <w:p w14:paraId="132E8A68" w14:textId="77777777" w:rsidR="00676882" w:rsidRDefault="00676882" w:rsidP="00676882">
      <w:pPr>
        <w:pStyle w:val="BodyText"/>
      </w:pPr>
      <w:bookmarkStart w:id="210" w:name="_Hlk75982336"/>
      <w:r>
        <w:t xml:space="preserve">Improvements in the energy-efficiency of the housing stock will reduce the energy usage and therefore have environmental benefits. </w:t>
      </w:r>
      <w:bookmarkStart w:id="211" w:name="_Hlk75982539"/>
      <w:r>
        <w:t>The 3-star performance options have the greatest reduction in energy use (over 7,000 petajoules over the period). Insulation performs relatively well, reducing the energy use required for many properties. The heater and performance options have the capacity to substitute one energy use for another energy use to decrease costs, without necessarily decreasing overall energy use</w:t>
      </w:r>
      <w:bookmarkEnd w:id="211"/>
      <w:r>
        <w:t xml:space="preserve">. The total change in energy use is given in </w:t>
      </w:r>
      <w:r w:rsidRPr="009E4AB1">
        <w:fldChar w:fldCharType="begin"/>
      </w:r>
      <w:r w:rsidRPr="009E4AB1">
        <w:instrText xml:space="preserve"> REF _Ref80449833 \h  \* MERGEFORMAT </w:instrText>
      </w:r>
      <w:r w:rsidRPr="009E4AB1">
        <w:fldChar w:fldCharType="separate"/>
      </w:r>
      <w:r w:rsidRPr="00F32FCC">
        <w:t>Figure 5.10</w:t>
      </w:r>
      <w:r w:rsidRPr="009E4AB1">
        <w:fldChar w:fldCharType="end"/>
      </w:r>
      <w:r>
        <w:t>.</w:t>
      </w:r>
    </w:p>
    <w:p w14:paraId="7B80845B" w14:textId="77777777" w:rsidR="00676882" w:rsidRDefault="00676882" w:rsidP="00676882">
      <w:pPr>
        <w:pStyle w:val="Caption"/>
      </w:pPr>
      <w:bookmarkStart w:id="212" w:name="_Ref80449833"/>
      <w:bookmarkStart w:id="213" w:name="_Toc80719270"/>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10</w:t>
      </w:r>
      <w:r w:rsidRPr="006B0263">
        <w:rPr>
          <w:rStyle w:val="CaptionLabel"/>
        </w:rPr>
        <w:fldChar w:fldCharType="end"/>
      </w:r>
      <w:bookmarkEnd w:id="212"/>
      <w:r>
        <w:tab/>
      </w:r>
      <w:r w:rsidRPr="00BC4E1A">
        <w:t>Total change in energy use, lifespan of analysis</w:t>
      </w:r>
      <w:bookmarkEnd w:id="213"/>
    </w:p>
    <w:p w14:paraId="0C628954" w14:textId="77777777" w:rsidR="00676882" w:rsidRPr="00480AE7" w:rsidRDefault="00676882" w:rsidP="00676882">
      <w:pPr>
        <w:pStyle w:val="BodyText"/>
      </w:pPr>
      <w:r>
        <w:rPr>
          <w:noProof/>
        </w:rPr>
        <w:drawing>
          <wp:inline distT="0" distB="0" distL="0" distR="0" wp14:anchorId="02B014A0" wp14:editId="3813FBCB">
            <wp:extent cx="4901565" cy="2822575"/>
            <wp:effectExtent l="0" t="0" r="0" b="0"/>
            <wp:docPr id="617" name="Picture 617" descr="Shows large lifetime energy savings for the insulation options and the 3 star performance option. Very small savings for heaters and 2-star performance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Picture 617" descr="Shows large lifetime energy savings for the insulation options and the 3 star performance option. Very small savings for heaters and 2-star performance options."/>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901565" cy="2822575"/>
                    </a:xfrm>
                    <a:prstGeom prst="rect">
                      <a:avLst/>
                    </a:prstGeom>
                    <a:noFill/>
                  </pic:spPr>
                </pic:pic>
              </a:graphicData>
            </a:graphic>
          </wp:inline>
        </w:drawing>
      </w:r>
    </w:p>
    <w:p w14:paraId="3B3B0F24" w14:textId="77777777" w:rsidR="00676882" w:rsidRPr="005A25BB" w:rsidRDefault="00676882" w:rsidP="00676882">
      <w:pPr>
        <w:pStyle w:val="BodyText"/>
        <w:spacing w:before="0" w:after="0" w:line="0" w:lineRule="atLeast"/>
        <w:rPr>
          <w:b/>
          <w:bCs/>
          <w:i/>
          <w:iCs/>
          <w:sz w:val="16"/>
          <w:szCs w:val="16"/>
        </w:rPr>
      </w:pPr>
      <w:r w:rsidRPr="005A25BB">
        <w:rPr>
          <w:i/>
          <w:iCs/>
          <w:sz w:val="16"/>
          <w:szCs w:val="16"/>
        </w:rPr>
        <w:t>Source: ACIL Allen</w:t>
      </w:r>
    </w:p>
    <w:p w14:paraId="63C0B7AF" w14:textId="77777777" w:rsidR="00676882" w:rsidRDefault="00676882" w:rsidP="00676882">
      <w:pPr>
        <w:pStyle w:val="BodyText"/>
      </w:pPr>
      <w:r>
        <w:t xml:space="preserve">As noted above, the number of rental properties which are upgraded under each minimum standard varies significantly. It is important to note that the options each have different effects on the annual energy savings, which are further modified by the relative </w:t>
      </w:r>
      <w:proofErr w:type="gramStart"/>
      <w:r>
        <w:t>life-span</w:t>
      </w:r>
      <w:proofErr w:type="gramEnd"/>
      <w:r>
        <w:t xml:space="preserve"> of each upgrade. The amount of energy use reduced per upgrade for each option is given in </w:t>
      </w:r>
      <w:r w:rsidRPr="009E4AB1">
        <w:fldChar w:fldCharType="begin"/>
      </w:r>
      <w:r w:rsidRPr="009E4AB1">
        <w:instrText xml:space="preserve"> REF _Ref80450406 \h  \* MERGEFORMAT </w:instrText>
      </w:r>
      <w:r w:rsidRPr="009E4AB1">
        <w:fldChar w:fldCharType="separate"/>
      </w:r>
      <w:r w:rsidRPr="00F32FCC">
        <w:t>Figure 5.11</w:t>
      </w:r>
      <w:r w:rsidRPr="009E4AB1">
        <w:fldChar w:fldCharType="end"/>
      </w:r>
      <w:r>
        <w:t>. The total change in use associated with the heater and 2-star performance options is low relative to the insulation or 3-star performance options as far fewer rental properties are upgraded but the energy change per upgrade is reasonably similar.</w:t>
      </w:r>
    </w:p>
    <w:p w14:paraId="7353AC15" w14:textId="77777777" w:rsidR="00676882" w:rsidRDefault="00676882" w:rsidP="00676882">
      <w:pPr>
        <w:pStyle w:val="Caption"/>
      </w:pPr>
      <w:bookmarkStart w:id="214" w:name="_Ref80450406"/>
      <w:bookmarkStart w:id="215" w:name="_Toc80719271"/>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11</w:t>
      </w:r>
      <w:r w:rsidRPr="006B0263">
        <w:rPr>
          <w:rStyle w:val="CaptionLabel"/>
        </w:rPr>
        <w:fldChar w:fldCharType="end"/>
      </w:r>
      <w:bookmarkEnd w:id="214"/>
      <w:r>
        <w:tab/>
        <w:t>Energy change per upgrade, lifespan of analysis</w:t>
      </w:r>
      <w:bookmarkEnd w:id="215"/>
    </w:p>
    <w:p w14:paraId="6BFD96F7" w14:textId="77777777" w:rsidR="00676882" w:rsidRDefault="00676882" w:rsidP="00676882">
      <w:pPr>
        <w:pStyle w:val="BodyText"/>
      </w:pPr>
      <w:r>
        <w:rPr>
          <w:noProof/>
        </w:rPr>
        <w:drawing>
          <wp:inline distT="0" distB="0" distL="0" distR="0" wp14:anchorId="71AF6107" wp14:editId="702A48EB">
            <wp:extent cx="4901565" cy="2822575"/>
            <wp:effectExtent l="0" t="0" r="0" b="0"/>
            <wp:docPr id="618" name="Picture 618" descr="Shows the R5 insulation makes the largest energy savings over the life of the upgrades, followed by 3-star performance options, then R3 insulation, 2-star performance, then hea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Picture 618" descr="Shows the R5 insulation makes the largest energy savings over the life of the upgrades, followed by 3-star performance options, then R3 insulation, 2-star performance, then heaters."/>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901565" cy="2822575"/>
                    </a:xfrm>
                    <a:prstGeom prst="rect">
                      <a:avLst/>
                    </a:prstGeom>
                    <a:noFill/>
                  </pic:spPr>
                </pic:pic>
              </a:graphicData>
            </a:graphic>
          </wp:inline>
        </w:drawing>
      </w:r>
    </w:p>
    <w:p w14:paraId="7A956CF3" w14:textId="77777777" w:rsidR="00676882" w:rsidRPr="005A25BB" w:rsidRDefault="00676882" w:rsidP="00676882">
      <w:pPr>
        <w:pStyle w:val="BodyText"/>
        <w:spacing w:before="0" w:after="0" w:line="0" w:lineRule="atLeast"/>
        <w:rPr>
          <w:b/>
          <w:bCs/>
          <w:i/>
          <w:iCs/>
          <w:sz w:val="16"/>
          <w:szCs w:val="16"/>
        </w:rPr>
      </w:pPr>
      <w:r w:rsidRPr="005A25BB">
        <w:rPr>
          <w:i/>
          <w:iCs/>
          <w:sz w:val="16"/>
          <w:szCs w:val="16"/>
        </w:rPr>
        <w:t>Source: ACIL Allen</w:t>
      </w:r>
    </w:p>
    <w:bookmarkEnd w:id="210"/>
    <w:p w14:paraId="5181A3C8" w14:textId="77777777" w:rsidR="00676882" w:rsidRDefault="00676882" w:rsidP="00676882">
      <w:pPr>
        <w:pStyle w:val="BodyText"/>
      </w:pPr>
      <w:r>
        <w:t xml:space="preserve">Domestic use of natural gas and firewood contributes to the greenhouse gas emissions for the ACT. Given the ACT offsets the greenhouse gas emissions from its electricity use, savings of electricity do not avoid greenhouse gas emissions (though would save money on renewable energy offsets). </w:t>
      </w:r>
    </w:p>
    <w:p w14:paraId="75751315" w14:textId="77777777" w:rsidR="00676882" w:rsidRDefault="00676882" w:rsidP="00676882">
      <w:pPr>
        <w:pStyle w:val="BodyText"/>
      </w:pPr>
      <w:r>
        <w:t xml:space="preserve">As illustrated in </w:t>
      </w:r>
      <w:r w:rsidRPr="009E4AB1">
        <w:fldChar w:fldCharType="begin"/>
      </w:r>
      <w:r w:rsidRPr="009E4AB1">
        <w:instrText xml:space="preserve"> REF _Ref80699152 \h  \* MERGEFORMAT </w:instrText>
      </w:r>
      <w:r w:rsidRPr="009E4AB1">
        <w:fldChar w:fldCharType="separate"/>
      </w:r>
      <w:r w:rsidRPr="00F32FCC">
        <w:t>Figure 5.12</w:t>
      </w:r>
      <w:r w:rsidRPr="009E4AB1">
        <w:fldChar w:fldCharType="end"/>
      </w:r>
      <w:r>
        <w:t>, the greenhouse gas emissions that are avoided from gas with the upgrades are far larger than from firewood, given gas is a more prevalent heat source. In line with the energy savings, the 3-star performance option avoids the most greenhouse gases, followed by the R5 insulation option.</w:t>
      </w:r>
    </w:p>
    <w:p w14:paraId="276A0E42" w14:textId="77777777" w:rsidR="00676882" w:rsidRDefault="00676882" w:rsidP="00676882">
      <w:pPr>
        <w:pStyle w:val="Caption"/>
      </w:pPr>
      <w:bookmarkStart w:id="216" w:name="_Ref80699152"/>
      <w:bookmarkStart w:id="217" w:name="_Toc80719272"/>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12</w:t>
      </w:r>
      <w:r w:rsidRPr="006B0263">
        <w:rPr>
          <w:rStyle w:val="CaptionLabel"/>
        </w:rPr>
        <w:fldChar w:fldCharType="end"/>
      </w:r>
      <w:bookmarkEnd w:id="216"/>
      <w:r>
        <w:tab/>
      </w:r>
      <w:r w:rsidRPr="00311750">
        <w:t>Avoided greenhouse gas emissions, lifespan of analysis</w:t>
      </w:r>
      <w:bookmarkEnd w:id="217"/>
    </w:p>
    <w:p w14:paraId="2AB1B6BF" w14:textId="77777777" w:rsidR="00676882" w:rsidRDefault="00676882" w:rsidP="00676882">
      <w:pPr>
        <w:pStyle w:val="BodyText"/>
      </w:pPr>
      <w:r>
        <w:rPr>
          <w:noProof/>
        </w:rPr>
        <w:drawing>
          <wp:inline distT="0" distB="0" distL="0" distR="0" wp14:anchorId="213C577C" wp14:editId="22F4EA1E">
            <wp:extent cx="4901565" cy="2822575"/>
            <wp:effectExtent l="0" t="0" r="0" b="0"/>
            <wp:docPr id="619" name="Picture 619" descr="Shows relatively large greenhouse gas savings from the 3-star performance option, followed by large impacts from the insulation options, then relatively small savings from heaters and 2-star performance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 name="Picture 619" descr="Shows relatively large greenhouse gas savings from the 3-star performance option, followed by large impacts from the insulation options, then relatively small savings from heaters and 2-star performance options."/>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901565" cy="2822575"/>
                    </a:xfrm>
                    <a:prstGeom prst="rect">
                      <a:avLst/>
                    </a:prstGeom>
                    <a:noFill/>
                  </pic:spPr>
                </pic:pic>
              </a:graphicData>
            </a:graphic>
          </wp:inline>
        </w:drawing>
      </w:r>
    </w:p>
    <w:p w14:paraId="7EBC7CC6" w14:textId="77777777" w:rsidR="00676882" w:rsidRPr="005A25BB" w:rsidRDefault="00676882" w:rsidP="00676882">
      <w:pPr>
        <w:pStyle w:val="BodyText"/>
        <w:spacing w:before="0" w:after="0" w:line="0" w:lineRule="atLeast"/>
        <w:rPr>
          <w:b/>
          <w:bCs/>
          <w:i/>
          <w:iCs/>
          <w:sz w:val="16"/>
          <w:szCs w:val="16"/>
        </w:rPr>
      </w:pPr>
      <w:r w:rsidRPr="005A25BB">
        <w:rPr>
          <w:i/>
          <w:iCs/>
          <w:sz w:val="16"/>
          <w:szCs w:val="16"/>
        </w:rPr>
        <w:t>Source: ACIL Allen</w:t>
      </w:r>
    </w:p>
    <w:p w14:paraId="200BAB65" w14:textId="77777777" w:rsidR="00676882" w:rsidRDefault="00676882" w:rsidP="00676882">
      <w:pPr>
        <w:pStyle w:val="Heading3"/>
      </w:pPr>
      <w:bookmarkStart w:id="218" w:name="_Ref76308283"/>
      <w:bookmarkStart w:id="219" w:name="_Hlk75982959"/>
      <w:bookmarkStart w:id="220" w:name="_Ref75811017"/>
      <w:bookmarkStart w:id="221" w:name="_Ref66390316"/>
      <w:bookmarkStart w:id="222" w:name="_Ref75284464"/>
      <w:r>
        <w:t>Distributional impacts</w:t>
      </w:r>
      <w:bookmarkEnd w:id="218"/>
    </w:p>
    <w:p w14:paraId="7ABB1815" w14:textId="77777777" w:rsidR="00676882" w:rsidRDefault="00676882" w:rsidP="00676882">
      <w:pPr>
        <w:pStyle w:val="BodyText"/>
      </w:pPr>
      <w:r w:rsidRPr="00DA7E2B">
        <w:t>As</w:t>
      </w:r>
      <w:r>
        <w:t xml:space="preserve"> </w:t>
      </w:r>
      <w:r w:rsidRPr="00DA7E2B">
        <w:t>is</w:t>
      </w:r>
      <w:r>
        <w:t xml:space="preserve"> </w:t>
      </w:r>
      <w:r w:rsidRPr="00DA7E2B">
        <w:t>standard</w:t>
      </w:r>
      <w:r>
        <w:t xml:space="preserve"> </w:t>
      </w:r>
      <w:r w:rsidRPr="00DA7E2B">
        <w:t>practice,</w:t>
      </w:r>
      <w:r>
        <w:t xml:space="preserve"> </w:t>
      </w:r>
      <w:r w:rsidRPr="00DA7E2B">
        <w:t>the</w:t>
      </w:r>
      <w:r>
        <w:t xml:space="preserve"> </w:t>
      </w:r>
      <w:r w:rsidRPr="00DA7E2B">
        <w:t>cost-benefit</w:t>
      </w:r>
      <w:r>
        <w:t xml:space="preserve"> </w:t>
      </w:r>
      <w:r w:rsidRPr="00DA7E2B">
        <w:t>analysis</w:t>
      </w:r>
      <w:r>
        <w:t xml:space="preserve"> </w:t>
      </w:r>
      <w:r w:rsidRPr="00DA7E2B">
        <w:t>of</w:t>
      </w:r>
      <w:r>
        <w:t xml:space="preserve"> </w:t>
      </w:r>
      <w:r w:rsidRPr="00DA7E2B">
        <w:t>the</w:t>
      </w:r>
      <w:r>
        <w:t xml:space="preserve"> scenarios for a minimum performance standard for rental properties in the ACT was </w:t>
      </w:r>
      <w:r w:rsidRPr="00DA7E2B">
        <w:t>undertaken</w:t>
      </w:r>
      <w:r>
        <w:t xml:space="preserve"> </w:t>
      </w:r>
      <w:r w:rsidRPr="00DA7E2B">
        <w:t>from</w:t>
      </w:r>
      <w:r>
        <w:t xml:space="preserve"> </w:t>
      </w:r>
      <w:r w:rsidRPr="00DA7E2B">
        <w:t>the</w:t>
      </w:r>
      <w:r>
        <w:t xml:space="preserve"> </w:t>
      </w:r>
      <w:r w:rsidRPr="00DA7E2B">
        <w:t>perspective</w:t>
      </w:r>
      <w:r>
        <w:t xml:space="preserve"> </w:t>
      </w:r>
      <w:r w:rsidRPr="00DA7E2B">
        <w:t>of</w:t>
      </w:r>
      <w:r>
        <w:t xml:space="preserve"> </w:t>
      </w:r>
      <w:r w:rsidRPr="00DA7E2B">
        <w:t>the</w:t>
      </w:r>
      <w:r>
        <w:t xml:space="preserve"> </w:t>
      </w:r>
      <w:r w:rsidRPr="00DA7E2B">
        <w:t>broader</w:t>
      </w:r>
      <w:r>
        <w:t xml:space="preserve"> ACT </w:t>
      </w:r>
      <w:r w:rsidRPr="00DA7E2B">
        <w:t>community,</w:t>
      </w:r>
      <w:r>
        <w:t xml:space="preserve"> </w:t>
      </w:r>
      <w:r w:rsidRPr="00DA7E2B">
        <w:t>with</w:t>
      </w:r>
      <w:r>
        <w:t xml:space="preserve"> </w:t>
      </w:r>
      <w:r w:rsidRPr="00DA7E2B">
        <w:t>impacts</w:t>
      </w:r>
      <w:r>
        <w:t xml:space="preserve"> </w:t>
      </w:r>
      <w:r w:rsidRPr="00DA7E2B">
        <w:t>that</w:t>
      </w:r>
      <w:r>
        <w:t xml:space="preserve"> </w:t>
      </w:r>
      <w:r w:rsidRPr="00DA7E2B">
        <w:t>are</w:t>
      </w:r>
      <w:r>
        <w:t xml:space="preserve"> </w:t>
      </w:r>
      <w:r w:rsidRPr="00DA7E2B">
        <w:t>transfers</w:t>
      </w:r>
      <w:r>
        <w:t xml:space="preserve"> </w:t>
      </w:r>
      <w:r w:rsidRPr="00DA7E2B">
        <w:t>between</w:t>
      </w:r>
      <w:r>
        <w:t xml:space="preserve"> </w:t>
      </w:r>
      <w:r w:rsidRPr="00DA7E2B">
        <w:t>stakeholders</w:t>
      </w:r>
      <w:r>
        <w:t xml:space="preserve"> </w:t>
      </w:r>
      <w:r w:rsidRPr="00DA7E2B">
        <w:t>(such</w:t>
      </w:r>
      <w:r>
        <w:t xml:space="preserve"> </w:t>
      </w:r>
      <w:r w:rsidRPr="00DA7E2B">
        <w:t>as</w:t>
      </w:r>
      <w:r>
        <w:t xml:space="preserve"> </w:t>
      </w:r>
      <w:r w:rsidRPr="00DA7E2B">
        <w:t>between</w:t>
      </w:r>
      <w:r>
        <w:t xml:space="preserve"> </w:t>
      </w:r>
      <w:r w:rsidRPr="00DA7E2B">
        <w:t>the</w:t>
      </w:r>
      <w:r>
        <w:t xml:space="preserve"> </w:t>
      </w:r>
      <w:r>
        <w:lastRenderedPageBreak/>
        <w:t xml:space="preserve">government </w:t>
      </w:r>
      <w:r w:rsidRPr="00DA7E2B">
        <w:t>and</w:t>
      </w:r>
      <w:r>
        <w:t xml:space="preserve"> households, between tenants and rental providers, </w:t>
      </w:r>
      <w:r w:rsidRPr="00DA7E2B">
        <w:t>and</w:t>
      </w:r>
      <w:r>
        <w:t xml:space="preserve"> </w:t>
      </w:r>
      <w:r w:rsidRPr="00DA7E2B">
        <w:t>between</w:t>
      </w:r>
      <w:r>
        <w:t xml:space="preserve"> households that undertook an upgrade and those that did not</w:t>
      </w:r>
      <w:r w:rsidRPr="00DA7E2B">
        <w:t>) netted</w:t>
      </w:r>
      <w:r>
        <w:t xml:space="preserve"> </w:t>
      </w:r>
      <w:r w:rsidRPr="00DA7E2B">
        <w:t>out.</w:t>
      </w:r>
      <w:r>
        <w:t xml:space="preserve"> </w:t>
      </w:r>
      <w:r w:rsidRPr="00DA7E2B">
        <w:t>Nevertheless,</w:t>
      </w:r>
      <w:r>
        <w:t xml:space="preserve"> </w:t>
      </w:r>
      <w:r w:rsidRPr="00DA7E2B">
        <w:t>it</w:t>
      </w:r>
      <w:r>
        <w:t xml:space="preserve"> </w:t>
      </w:r>
      <w:r w:rsidRPr="00DA7E2B">
        <w:t>is</w:t>
      </w:r>
      <w:r>
        <w:t xml:space="preserve"> </w:t>
      </w:r>
      <w:r w:rsidRPr="00DA7E2B">
        <w:t>important</w:t>
      </w:r>
      <w:r>
        <w:t xml:space="preserve"> </w:t>
      </w:r>
      <w:r w:rsidRPr="00DA7E2B">
        <w:t>to</w:t>
      </w:r>
      <w:r>
        <w:t xml:space="preserve"> </w:t>
      </w:r>
      <w:r w:rsidRPr="00DA7E2B">
        <w:t>consider</w:t>
      </w:r>
      <w:r>
        <w:t xml:space="preserve"> </w:t>
      </w:r>
      <w:r w:rsidRPr="00DA7E2B">
        <w:t>the</w:t>
      </w:r>
      <w:r>
        <w:t xml:space="preserve"> </w:t>
      </w:r>
      <w:r w:rsidRPr="00DA7E2B">
        <w:t>implications</w:t>
      </w:r>
      <w:r>
        <w:t xml:space="preserve"> </w:t>
      </w:r>
      <w:r w:rsidRPr="00DA7E2B">
        <w:t>of</w:t>
      </w:r>
      <w:r>
        <w:t xml:space="preserve"> </w:t>
      </w:r>
      <w:r w:rsidRPr="00DA7E2B">
        <w:t>some</w:t>
      </w:r>
      <w:r>
        <w:t xml:space="preserve"> </w:t>
      </w:r>
      <w:r w:rsidRPr="00DA7E2B">
        <w:t>of</w:t>
      </w:r>
      <w:r>
        <w:t xml:space="preserve"> </w:t>
      </w:r>
      <w:r w:rsidRPr="00DA7E2B">
        <w:t>these</w:t>
      </w:r>
      <w:r>
        <w:t xml:space="preserve"> </w:t>
      </w:r>
      <w:r w:rsidRPr="00DA7E2B">
        <w:t>transfers</w:t>
      </w:r>
      <w:r>
        <w:t xml:space="preserve"> </w:t>
      </w:r>
      <w:r w:rsidRPr="00DA7E2B">
        <w:t>on</w:t>
      </w:r>
      <w:r>
        <w:t xml:space="preserve"> </w:t>
      </w:r>
      <w:r w:rsidRPr="00DA7E2B">
        <w:t>stakeholder</w:t>
      </w:r>
      <w:r>
        <w:t>s.</w:t>
      </w:r>
    </w:p>
    <w:p w14:paraId="7697C806" w14:textId="77777777" w:rsidR="00676882" w:rsidRDefault="00676882" w:rsidP="00676882">
      <w:pPr>
        <w:pStyle w:val="Heading4"/>
      </w:pPr>
      <w:r>
        <w:t>Impacts on tenants</w:t>
      </w:r>
    </w:p>
    <w:p w14:paraId="37E18BAF" w14:textId="77777777" w:rsidR="00676882" w:rsidRDefault="00676882" w:rsidP="00676882">
      <w:pPr>
        <w:pStyle w:val="BodyText"/>
      </w:pPr>
      <w:r>
        <w:t xml:space="preserve">Tenants will be made better off by each of the proposed policy options. They will benefit primarily from reduced energy costs, and to some degree by improved health and wellbeing. The effect on these households is measured using the retail energy costs, rather than wholesale energy and avoided network costs, which leave them better off, over and above the avoided resource cost. The difference between the retail energy costs and the wholesale energy and avoided network costs are transferred to others in the community. </w:t>
      </w:r>
    </w:p>
    <w:p w14:paraId="62B89C01" w14:textId="77777777" w:rsidR="00676882" w:rsidRDefault="00676882" w:rsidP="00676882">
      <w:pPr>
        <w:pStyle w:val="BodyText"/>
      </w:pPr>
      <w:r>
        <w:t xml:space="preserve">Tenants will likely pay for some (and potentially in some cases all) of the benefits received through additional rent to pay for the cost of the upgrades. Representatives of both tenants groups and rental provider groups acknowledged that this would likely be the case (see section </w:t>
      </w:r>
      <w:r w:rsidRPr="009E4AB1">
        <w:fldChar w:fldCharType="begin"/>
      </w:r>
      <w:r w:rsidRPr="009E4AB1">
        <w:instrText xml:space="preserve"> REF _Ref75864552 \r \h  \* MERGEFORMAT </w:instrText>
      </w:r>
      <w:r w:rsidRPr="009E4AB1">
        <w:fldChar w:fldCharType="separate"/>
      </w:r>
      <w:r>
        <w:t>E.4.2</w:t>
      </w:r>
      <w:r w:rsidRPr="009E4AB1">
        <w:fldChar w:fldCharType="end"/>
      </w:r>
      <w:r>
        <w:t xml:space="preserve">), and about 56 per cent of tenants who responded to the survey said they would be prepared to pay some portion of the energy savings as increased rent (see section </w:t>
      </w:r>
      <w:r w:rsidRPr="009E4AB1">
        <w:fldChar w:fldCharType="begin"/>
      </w:r>
      <w:r w:rsidRPr="009E4AB1">
        <w:instrText xml:space="preserve"> REF _Ref75864733 \r \h  \* MERGEFORMAT </w:instrText>
      </w:r>
      <w:r w:rsidRPr="009E4AB1">
        <w:fldChar w:fldCharType="separate"/>
      </w:r>
      <w:r>
        <w:t>F.6</w:t>
      </w:r>
      <w:r w:rsidRPr="009E4AB1">
        <w:fldChar w:fldCharType="end"/>
      </w:r>
      <w:r>
        <w:t xml:space="preserve">). </w:t>
      </w:r>
    </w:p>
    <w:p w14:paraId="5F45ADA0" w14:textId="77777777" w:rsidR="00676882" w:rsidRDefault="00676882" w:rsidP="00676882">
      <w:pPr>
        <w:pStyle w:val="BodyText"/>
      </w:pPr>
      <w:r>
        <w:t xml:space="preserve">The effects on tenants, with and without full cost pass-through is shown in </w:t>
      </w:r>
      <w:r w:rsidRPr="009E4AB1">
        <w:fldChar w:fldCharType="begin"/>
      </w:r>
      <w:r w:rsidRPr="009E4AB1">
        <w:instrText xml:space="preserve"> REF _Ref80451983 \h  \* MERGEFORMAT </w:instrText>
      </w:r>
      <w:r w:rsidRPr="009E4AB1">
        <w:fldChar w:fldCharType="separate"/>
      </w:r>
      <w:r w:rsidRPr="00F32FCC">
        <w:t>Figure 5.13</w:t>
      </w:r>
      <w:r w:rsidRPr="009E4AB1">
        <w:fldChar w:fldCharType="end"/>
      </w:r>
      <w:r>
        <w:t xml:space="preserve">. </w:t>
      </w:r>
      <w:r>
        <w:br/>
        <w:t>Housing ACT indicated there was no capacity to increase rents for public housing, and hence no cost pass-through is possible for public housing residents. The results show that even with full cost pass-through, tenants are left better off overall.</w:t>
      </w:r>
    </w:p>
    <w:p w14:paraId="0F22B61C" w14:textId="77777777" w:rsidR="00676882" w:rsidRDefault="00676882" w:rsidP="00676882">
      <w:pPr>
        <w:pStyle w:val="BodyText"/>
      </w:pPr>
    </w:p>
    <w:p w14:paraId="41B101A0" w14:textId="77777777" w:rsidR="00676882" w:rsidRDefault="00676882" w:rsidP="00676882">
      <w:pPr>
        <w:pStyle w:val="Caption"/>
        <w:ind w:left="-851"/>
      </w:pPr>
      <w:bookmarkStart w:id="223" w:name="_Ref80451983"/>
      <w:bookmarkStart w:id="224" w:name="_Toc80719273"/>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13</w:t>
      </w:r>
      <w:r w:rsidRPr="006B0263">
        <w:rPr>
          <w:rStyle w:val="CaptionLabel"/>
        </w:rPr>
        <w:fldChar w:fldCharType="end"/>
      </w:r>
      <w:bookmarkEnd w:id="223"/>
      <w:r>
        <w:tab/>
        <w:t>Total impacts on tenants and rental providers</w:t>
      </w:r>
      <w:bookmarkEnd w:id="224"/>
    </w:p>
    <w:p w14:paraId="3E982C78" w14:textId="77777777" w:rsidR="00676882" w:rsidRPr="00AB776E" w:rsidRDefault="00676882" w:rsidP="00676882">
      <w:pPr>
        <w:pStyle w:val="BodyText"/>
        <w:ind w:left="-1985"/>
      </w:pPr>
      <w:r>
        <w:rPr>
          <w:noProof/>
        </w:rPr>
        <w:drawing>
          <wp:inline distT="0" distB="0" distL="0" distR="0" wp14:anchorId="28C651F9" wp14:editId="5B438576">
            <wp:extent cx="3011805" cy="3420110"/>
            <wp:effectExtent l="0" t="0" r="0" b="8890"/>
            <wp:docPr id="538" name="Picture 538" descr="Without cost pass-through: Shows costs to rental providers and Housing ACT, and relatively large benefits for ten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Picture 538" descr="Without cost pass-through: Shows costs to rental providers and Housing ACT, and relatively large benefits for tenants."/>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011805" cy="3420110"/>
                    </a:xfrm>
                    <a:prstGeom prst="rect">
                      <a:avLst/>
                    </a:prstGeom>
                    <a:noFill/>
                  </pic:spPr>
                </pic:pic>
              </a:graphicData>
            </a:graphic>
          </wp:inline>
        </w:drawing>
      </w:r>
      <w:r w:rsidRPr="00B31902">
        <w:rPr>
          <w:noProof/>
        </w:rPr>
        <w:t xml:space="preserve"> </w:t>
      </w:r>
      <w:r>
        <w:rPr>
          <w:noProof/>
        </w:rPr>
        <w:drawing>
          <wp:inline distT="0" distB="0" distL="0" distR="0" wp14:anchorId="4863EF10" wp14:editId="3CD70192">
            <wp:extent cx="3011805" cy="3420110"/>
            <wp:effectExtent l="0" t="0" r="0" b="8890"/>
            <wp:docPr id="540" name="Picture 540" descr="With full cost pass-through: Shows only small costs for Housing ACT, with still large benefits for ten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Picture 540" descr="With full cost pass-through: Shows only small costs for Housing ACT, with still large benefits for tenants."/>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011805" cy="3420110"/>
                    </a:xfrm>
                    <a:prstGeom prst="rect">
                      <a:avLst/>
                    </a:prstGeom>
                    <a:noFill/>
                  </pic:spPr>
                </pic:pic>
              </a:graphicData>
            </a:graphic>
          </wp:inline>
        </w:drawing>
      </w:r>
    </w:p>
    <w:p w14:paraId="6EEECD29" w14:textId="77777777" w:rsidR="00676882" w:rsidRDefault="00676882" w:rsidP="00676882">
      <w:pPr>
        <w:pStyle w:val="BodyText"/>
        <w:ind w:left="-709"/>
        <w:rPr>
          <w:b/>
          <w:bCs/>
        </w:rPr>
      </w:pPr>
      <w:r w:rsidRPr="006B0263">
        <w:rPr>
          <w:b/>
          <w:bCs/>
        </w:rPr>
        <w:t>Without cost pass-through</w:t>
      </w:r>
      <w:r w:rsidRPr="006B0263">
        <w:rPr>
          <w:b/>
          <w:bCs/>
        </w:rPr>
        <w:tab/>
      </w:r>
      <w:r w:rsidRPr="006B0263">
        <w:rPr>
          <w:b/>
          <w:bCs/>
        </w:rPr>
        <w:tab/>
      </w:r>
      <w:r>
        <w:rPr>
          <w:b/>
          <w:bCs/>
        </w:rPr>
        <w:tab/>
      </w:r>
      <w:r w:rsidRPr="006B0263">
        <w:rPr>
          <w:b/>
          <w:bCs/>
        </w:rPr>
        <w:tab/>
      </w:r>
      <w:proofErr w:type="gramStart"/>
      <w:r w:rsidRPr="006B0263">
        <w:rPr>
          <w:b/>
          <w:bCs/>
        </w:rPr>
        <w:t>With</w:t>
      </w:r>
      <w:proofErr w:type="gramEnd"/>
      <w:r w:rsidRPr="006B0263">
        <w:rPr>
          <w:b/>
          <w:bCs/>
        </w:rPr>
        <w:t xml:space="preserve"> full cost pass-through</w:t>
      </w:r>
    </w:p>
    <w:p w14:paraId="5A41885E" w14:textId="77777777" w:rsidR="00676882" w:rsidRPr="006B0263" w:rsidRDefault="00676882" w:rsidP="00676882">
      <w:pPr>
        <w:pStyle w:val="BodyText"/>
        <w:spacing w:before="0" w:after="0" w:line="0" w:lineRule="atLeast"/>
        <w:ind w:left="-2127"/>
        <w:rPr>
          <w:b/>
          <w:bCs/>
          <w:i/>
          <w:iCs/>
          <w:sz w:val="16"/>
          <w:szCs w:val="16"/>
        </w:rPr>
      </w:pPr>
      <w:r w:rsidRPr="005A25BB">
        <w:rPr>
          <w:i/>
          <w:iCs/>
          <w:sz w:val="16"/>
          <w:szCs w:val="16"/>
        </w:rPr>
        <w:t>Source: ACIL Allen</w:t>
      </w:r>
    </w:p>
    <w:bookmarkEnd w:id="219"/>
    <w:p w14:paraId="1F195C56" w14:textId="77777777" w:rsidR="00676882" w:rsidRDefault="00676882" w:rsidP="00676882">
      <w:pPr>
        <w:pStyle w:val="BodyText"/>
      </w:pPr>
      <w:r>
        <w:t xml:space="preserve">The average impacts for each affected tenant household are given in </w:t>
      </w:r>
      <w:r w:rsidRPr="009E4AB1">
        <w:fldChar w:fldCharType="begin"/>
      </w:r>
      <w:r w:rsidRPr="009E4AB1">
        <w:instrText xml:space="preserve"> REF _Ref75879333 \h  \* MERGEFORMAT </w:instrText>
      </w:r>
      <w:r w:rsidRPr="009E4AB1">
        <w:fldChar w:fldCharType="separate"/>
      </w:r>
      <w:r w:rsidRPr="00F32FCC">
        <w:t>Table 5.2</w:t>
      </w:r>
      <w:r w:rsidRPr="009E4AB1">
        <w:fldChar w:fldCharType="end"/>
      </w:r>
      <w:r>
        <w:t xml:space="preserve">. These are presented with no cost pass-through of the net costs to rent and with full cost pass-through (the total cost of the upgrade is passed through as increases in rent over time). With no cost pass-through of the net costs to rent, the 3-star performance standard has the most significant benefit for </w:t>
      </w:r>
      <w:r>
        <w:lastRenderedPageBreak/>
        <w:t>tenants as it has the greatest reduction of energy use on a per upgrade basis. The heater option provides the lowest benefit to tenant households on a no cost pass-through basis.</w:t>
      </w:r>
    </w:p>
    <w:p w14:paraId="2AF80F15" w14:textId="77777777" w:rsidR="00676882" w:rsidRDefault="00676882" w:rsidP="00676882">
      <w:pPr>
        <w:pStyle w:val="BodyText"/>
      </w:pPr>
      <w:r>
        <w:t xml:space="preserve">However, it is likely that many private rental providers will pass through some or </w:t>
      </w:r>
      <w:proofErr w:type="gramStart"/>
      <w:r>
        <w:t>all of</w:t>
      </w:r>
      <w:proofErr w:type="gramEnd"/>
      <w:r>
        <w:t xml:space="preserve"> the costs of meeting minimum standards as rent increases over the life of the upgrade. Looking at the tenant household impacts with full cost-pass through suggests that even with full cost pass-through, tenant households in private rental properties will still be better off. When these costs are included, the tenant household benefits the most from an R5 insulation minimum standard and the least from the heater option.</w:t>
      </w:r>
    </w:p>
    <w:p w14:paraId="0967692E" w14:textId="77777777" w:rsidR="00676882" w:rsidRDefault="00676882" w:rsidP="00676882">
      <w:pPr>
        <w:pStyle w:val="Caption"/>
      </w:pPr>
      <w:bookmarkStart w:id="225" w:name="_Ref75879333"/>
      <w:bookmarkStart w:id="226" w:name="_Toc80719327"/>
      <w:bookmarkStart w:id="227" w:name="_Hlk75983041"/>
      <w:r w:rsidRPr="00820CE4">
        <w:rPr>
          <w:rStyle w:val="CaptionLabel"/>
        </w:rPr>
        <w:t>Table </w:t>
      </w:r>
      <w:r w:rsidRPr="00820CE4">
        <w:rPr>
          <w:rStyle w:val="CaptionLabel"/>
        </w:rPr>
        <w:fldChar w:fldCharType="begin"/>
      </w:r>
      <w:r w:rsidRPr="00820CE4">
        <w:rPr>
          <w:rStyle w:val="CaptionLabel"/>
        </w:rPr>
        <w:instrText xml:space="preserve"> STYLEREF 1 \S \* MERGEFORMAT </w:instrText>
      </w:r>
      <w:r w:rsidRPr="00820CE4">
        <w:rPr>
          <w:rStyle w:val="CaptionLabel"/>
        </w:rPr>
        <w:fldChar w:fldCharType="separate"/>
      </w:r>
      <w:r>
        <w:rPr>
          <w:rStyle w:val="CaptionLabel"/>
          <w:noProof/>
        </w:rPr>
        <w:t>5</w:t>
      </w:r>
      <w:r w:rsidRPr="00820CE4">
        <w:rPr>
          <w:rStyle w:val="CaptionLabel"/>
        </w:rPr>
        <w:fldChar w:fldCharType="end"/>
      </w:r>
      <w:r w:rsidRPr="00820CE4">
        <w:rPr>
          <w:rStyle w:val="CaptionLabel"/>
        </w:rPr>
        <w:t>.</w:t>
      </w:r>
      <w:r w:rsidRPr="00820CE4">
        <w:rPr>
          <w:rStyle w:val="CaptionLabel"/>
        </w:rPr>
        <w:fldChar w:fldCharType="begin"/>
      </w:r>
      <w:r w:rsidRPr="00820CE4">
        <w:rPr>
          <w:rStyle w:val="CaptionLabel"/>
        </w:rPr>
        <w:instrText xml:space="preserve"> SEQ Table \* ARABIC \S 1 \* MERGEFORMAT </w:instrText>
      </w:r>
      <w:r w:rsidRPr="00820CE4">
        <w:rPr>
          <w:rStyle w:val="CaptionLabel"/>
        </w:rPr>
        <w:fldChar w:fldCharType="separate"/>
      </w:r>
      <w:r>
        <w:rPr>
          <w:rStyle w:val="CaptionLabel"/>
          <w:noProof/>
        </w:rPr>
        <w:t>2</w:t>
      </w:r>
      <w:r w:rsidRPr="00820CE4">
        <w:rPr>
          <w:rStyle w:val="CaptionLabel"/>
        </w:rPr>
        <w:fldChar w:fldCharType="end"/>
      </w:r>
      <w:bookmarkEnd w:id="225"/>
      <w:r>
        <w:tab/>
        <w:t>Average tenant household impact</w:t>
      </w:r>
      <w:bookmarkEnd w:id="226"/>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2"/>
        <w:tblDescription w:val="Average tenant household impact"/>
      </w:tblPr>
      <w:tblGrid>
        <w:gridCol w:w="454"/>
        <w:gridCol w:w="1984"/>
        <w:gridCol w:w="1560"/>
        <w:gridCol w:w="2835"/>
        <w:gridCol w:w="1557"/>
      </w:tblGrid>
      <w:tr w:rsidR="00676882" w14:paraId="3E38A5B3" w14:textId="77777777" w:rsidTr="00DF45FA">
        <w:trPr>
          <w:tblHeader/>
        </w:trPr>
        <w:tc>
          <w:tcPr>
            <w:tcW w:w="2438" w:type="dxa"/>
            <w:gridSpan w:val="2"/>
            <w:tcBorders>
              <w:top w:val="nil"/>
              <w:bottom w:val="nil"/>
            </w:tcBorders>
            <w:shd w:val="clear" w:color="auto" w:fill="140034"/>
            <w:tcMar>
              <w:left w:w="454" w:type="dxa"/>
            </w:tcMar>
          </w:tcPr>
          <w:p w14:paraId="5F3AC74D" w14:textId="77777777" w:rsidR="00676882" w:rsidRDefault="00676882" w:rsidP="00DF45FA">
            <w:pPr>
              <w:pStyle w:val="Tablecolumnheadings"/>
            </w:pPr>
          </w:p>
        </w:tc>
        <w:tc>
          <w:tcPr>
            <w:tcW w:w="1560" w:type="dxa"/>
            <w:tcBorders>
              <w:top w:val="nil"/>
              <w:bottom w:val="nil"/>
            </w:tcBorders>
            <w:shd w:val="clear" w:color="auto" w:fill="140034"/>
            <w:vAlign w:val="bottom"/>
          </w:tcPr>
          <w:p w14:paraId="6CFCBAA6" w14:textId="77777777" w:rsidR="00676882" w:rsidRDefault="00676882" w:rsidP="00DF45FA">
            <w:pPr>
              <w:pStyle w:val="Tablecolumnheadings"/>
              <w:jc w:val="center"/>
            </w:pPr>
            <w:r w:rsidRPr="00645D18">
              <w:t>With</w:t>
            </w:r>
            <w:r>
              <w:t xml:space="preserve"> </w:t>
            </w:r>
            <w:r w:rsidRPr="00645D18">
              <w:t>no</w:t>
            </w:r>
            <w:r>
              <w:t xml:space="preserve"> </w:t>
            </w:r>
            <w:r w:rsidRPr="00645D18">
              <w:t>cost</w:t>
            </w:r>
            <w:r>
              <w:t xml:space="preserve"> </w:t>
            </w:r>
            <w:r w:rsidRPr="00645D18">
              <w:t>pass-through</w:t>
            </w:r>
            <w:r>
              <w:t xml:space="preserve"> </w:t>
            </w:r>
            <w:r>
              <w:br/>
              <w:t>($ NPV)</w:t>
            </w:r>
          </w:p>
        </w:tc>
        <w:tc>
          <w:tcPr>
            <w:tcW w:w="4392" w:type="dxa"/>
            <w:gridSpan w:val="2"/>
            <w:tcBorders>
              <w:top w:val="nil"/>
              <w:bottom w:val="nil"/>
              <w:right w:val="single" w:sz="6" w:space="0" w:color="140034"/>
            </w:tcBorders>
            <w:shd w:val="clear" w:color="auto" w:fill="140034"/>
            <w:vAlign w:val="bottom"/>
          </w:tcPr>
          <w:p w14:paraId="36915ECD" w14:textId="77777777" w:rsidR="00676882" w:rsidRDefault="00676882" w:rsidP="00DF45FA">
            <w:pPr>
              <w:pStyle w:val="Tablecolumnheadings"/>
              <w:jc w:val="center"/>
            </w:pPr>
            <w:r>
              <w:t xml:space="preserve">With full cost pass-through </w:t>
            </w:r>
          </w:p>
          <w:p w14:paraId="01EEB8EA" w14:textId="77777777" w:rsidR="00676882" w:rsidRDefault="00676882" w:rsidP="00DF45FA">
            <w:pPr>
              <w:pStyle w:val="Tablecolumnheadings"/>
              <w:jc w:val="center"/>
            </w:pPr>
            <w:r>
              <w:t>($ NPV)</w:t>
            </w:r>
          </w:p>
        </w:tc>
      </w:tr>
      <w:tr w:rsidR="00676882" w14:paraId="209E378C" w14:textId="77777777" w:rsidTr="00DF45FA">
        <w:trPr>
          <w:tblHeader/>
        </w:trPr>
        <w:tc>
          <w:tcPr>
            <w:tcW w:w="2438" w:type="dxa"/>
            <w:gridSpan w:val="2"/>
            <w:tcBorders>
              <w:top w:val="nil"/>
              <w:bottom w:val="nil"/>
            </w:tcBorders>
            <w:shd w:val="clear" w:color="auto" w:fill="140034"/>
            <w:tcMar>
              <w:left w:w="454" w:type="dxa"/>
            </w:tcMar>
          </w:tcPr>
          <w:p w14:paraId="1E39A2D1" w14:textId="77777777" w:rsidR="00676882" w:rsidRDefault="00676882" w:rsidP="00DF45FA">
            <w:pPr>
              <w:pStyle w:val="Tablecolumnheadings"/>
            </w:pPr>
            <w:r>
              <w:t>Scenario</w:t>
            </w:r>
          </w:p>
        </w:tc>
        <w:tc>
          <w:tcPr>
            <w:tcW w:w="1560" w:type="dxa"/>
            <w:tcBorders>
              <w:top w:val="nil"/>
              <w:bottom w:val="nil"/>
            </w:tcBorders>
            <w:shd w:val="clear" w:color="auto" w:fill="140034"/>
            <w:vAlign w:val="bottom"/>
          </w:tcPr>
          <w:p w14:paraId="2427EDCA" w14:textId="77777777" w:rsidR="00676882" w:rsidRDefault="00676882" w:rsidP="00DF45FA">
            <w:pPr>
              <w:pStyle w:val="Tablecolumnheadings"/>
              <w:jc w:val="center"/>
            </w:pPr>
            <w:r>
              <w:t xml:space="preserve">Tenant benefit </w:t>
            </w:r>
          </w:p>
        </w:tc>
        <w:tc>
          <w:tcPr>
            <w:tcW w:w="2835" w:type="dxa"/>
            <w:tcBorders>
              <w:top w:val="nil"/>
              <w:bottom w:val="nil"/>
            </w:tcBorders>
            <w:shd w:val="clear" w:color="auto" w:fill="140034"/>
            <w:vAlign w:val="bottom"/>
          </w:tcPr>
          <w:p w14:paraId="2ADA2B43" w14:textId="77777777" w:rsidR="00676882" w:rsidRDefault="00676882" w:rsidP="00DF45FA">
            <w:pPr>
              <w:pStyle w:val="Tablecolumnheadings"/>
              <w:jc w:val="center"/>
            </w:pPr>
            <w:r>
              <w:t>Upgrade costs for private rental providers / increase in rent</w:t>
            </w:r>
          </w:p>
        </w:tc>
        <w:tc>
          <w:tcPr>
            <w:tcW w:w="1557" w:type="dxa"/>
            <w:tcBorders>
              <w:top w:val="nil"/>
              <w:bottom w:val="nil"/>
              <w:right w:val="single" w:sz="6" w:space="0" w:color="140034"/>
            </w:tcBorders>
            <w:shd w:val="clear" w:color="auto" w:fill="140034"/>
            <w:vAlign w:val="bottom"/>
          </w:tcPr>
          <w:p w14:paraId="0EBA6AC1" w14:textId="77777777" w:rsidR="00676882" w:rsidRDefault="00676882" w:rsidP="00DF45FA">
            <w:pPr>
              <w:pStyle w:val="Tablecolumnheadings"/>
              <w:jc w:val="center"/>
            </w:pPr>
            <w:r>
              <w:t>Net benefit</w:t>
            </w:r>
          </w:p>
        </w:tc>
      </w:tr>
      <w:tr w:rsidR="00676882" w14:paraId="15A5592B" w14:textId="77777777" w:rsidTr="00DF45FA">
        <w:trPr>
          <w:gridBefore w:val="1"/>
          <w:wBefore w:w="454" w:type="dxa"/>
        </w:trPr>
        <w:tc>
          <w:tcPr>
            <w:tcW w:w="1984" w:type="dxa"/>
            <w:tcBorders>
              <w:top w:val="nil"/>
            </w:tcBorders>
            <w:shd w:val="clear" w:color="auto" w:fill="auto"/>
          </w:tcPr>
          <w:p w14:paraId="70C5A9A2" w14:textId="77777777" w:rsidR="00676882" w:rsidRDefault="00676882" w:rsidP="00DF45FA">
            <w:pPr>
              <w:pStyle w:val="Tabletext"/>
            </w:pPr>
            <w:r>
              <w:t xml:space="preserve">a) </w:t>
            </w:r>
            <w:r w:rsidRPr="00723B9E">
              <w:t>Insulation</w:t>
            </w:r>
            <w:r>
              <w:t xml:space="preserve"> </w:t>
            </w:r>
            <w:r w:rsidRPr="00723B9E">
              <w:t>R3</w:t>
            </w:r>
            <w:r>
              <w:t xml:space="preserve"> </w:t>
            </w:r>
            <w:r w:rsidRPr="00723B9E">
              <w:t>- 2</w:t>
            </w:r>
            <w:r>
              <w:t xml:space="preserve"> </w:t>
            </w:r>
            <w:r w:rsidRPr="00723B9E">
              <w:t>year</w:t>
            </w:r>
          </w:p>
        </w:tc>
        <w:tc>
          <w:tcPr>
            <w:tcW w:w="1560" w:type="dxa"/>
            <w:tcBorders>
              <w:top w:val="nil"/>
              <w:right w:val="single" w:sz="4" w:space="0" w:color="auto"/>
            </w:tcBorders>
            <w:shd w:val="clear" w:color="auto" w:fill="auto"/>
          </w:tcPr>
          <w:p w14:paraId="6A099965" w14:textId="77777777" w:rsidR="00676882" w:rsidRDefault="00676882" w:rsidP="00DF45FA">
            <w:pPr>
              <w:pStyle w:val="Tabletext"/>
              <w:jc w:val="center"/>
            </w:pPr>
            <w:r w:rsidRPr="009D46FD">
              <w:t>$8,914</w:t>
            </w:r>
          </w:p>
        </w:tc>
        <w:tc>
          <w:tcPr>
            <w:tcW w:w="2835" w:type="dxa"/>
            <w:tcBorders>
              <w:top w:val="nil"/>
              <w:left w:val="single" w:sz="4" w:space="0" w:color="auto"/>
            </w:tcBorders>
            <w:shd w:val="clear" w:color="auto" w:fill="DBDBDB" w:themeFill="accent3" w:themeFillTint="66"/>
          </w:tcPr>
          <w:p w14:paraId="0D4EA71D"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-$2,070</w:t>
            </w:r>
          </w:p>
        </w:tc>
        <w:tc>
          <w:tcPr>
            <w:tcW w:w="1557" w:type="dxa"/>
            <w:tcBorders>
              <w:top w:val="nil"/>
            </w:tcBorders>
            <w:shd w:val="clear" w:color="auto" w:fill="auto"/>
          </w:tcPr>
          <w:p w14:paraId="1D6DBAD6" w14:textId="77777777" w:rsidR="00676882" w:rsidRDefault="00676882" w:rsidP="00DF45FA">
            <w:pPr>
              <w:pStyle w:val="Tabletext"/>
              <w:jc w:val="center"/>
            </w:pPr>
            <w:r w:rsidRPr="009D46FD">
              <w:t>$6,844</w:t>
            </w:r>
          </w:p>
        </w:tc>
      </w:tr>
      <w:tr w:rsidR="00676882" w14:paraId="2DED9F6B" w14:textId="77777777" w:rsidTr="00DF45FA">
        <w:trPr>
          <w:gridBefore w:val="1"/>
          <w:wBefore w:w="454" w:type="dxa"/>
        </w:trPr>
        <w:tc>
          <w:tcPr>
            <w:tcW w:w="1984" w:type="dxa"/>
            <w:shd w:val="clear" w:color="auto" w:fill="auto"/>
          </w:tcPr>
          <w:p w14:paraId="035A8DA8" w14:textId="77777777" w:rsidR="00676882" w:rsidRDefault="00676882" w:rsidP="00DF45FA">
            <w:pPr>
              <w:pStyle w:val="Tabletext"/>
            </w:pPr>
            <w:r>
              <w:t xml:space="preserve">b) </w:t>
            </w:r>
            <w:r w:rsidRPr="00723B9E">
              <w:t>Insulation</w:t>
            </w:r>
            <w:r>
              <w:t xml:space="preserve"> </w:t>
            </w:r>
            <w:r w:rsidRPr="00723B9E">
              <w:t>R3</w:t>
            </w:r>
            <w:r>
              <w:t xml:space="preserve"> </w:t>
            </w:r>
            <w:r w:rsidRPr="00723B9E">
              <w:t>- 4</w:t>
            </w:r>
            <w:r>
              <w:t xml:space="preserve"> </w:t>
            </w:r>
            <w:r w:rsidRPr="00723B9E">
              <w:t>year</w:t>
            </w:r>
          </w:p>
        </w:tc>
        <w:tc>
          <w:tcPr>
            <w:tcW w:w="1560" w:type="dxa"/>
            <w:tcBorders>
              <w:right w:val="single" w:sz="4" w:space="0" w:color="auto"/>
            </w:tcBorders>
            <w:shd w:val="clear" w:color="auto" w:fill="auto"/>
          </w:tcPr>
          <w:p w14:paraId="43F92100" w14:textId="77777777" w:rsidR="00676882" w:rsidRDefault="00676882" w:rsidP="00DF45FA">
            <w:pPr>
              <w:pStyle w:val="Tabletext"/>
              <w:jc w:val="center"/>
            </w:pPr>
            <w:r w:rsidRPr="009D46FD">
              <w:t>$8,825</w:t>
            </w:r>
          </w:p>
        </w:tc>
        <w:tc>
          <w:tcPr>
            <w:tcW w:w="2835" w:type="dxa"/>
            <w:tcBorders>
              <w:top w:val="single" w:sz="4" w:space="0" w:color="646464"/>
              <w:left w:val="single" w:sz="4" w:space="0" w:color="auto"/>
            </w:tcBorders>
            <w:shd w:val="clear" w:color="auto" w:fill="DBDBDB" w:themeFill="accent3" w:themeFillTint="66"/>
          </w:tcPr>
          <w:p w14:paraId="4773D4F7"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-$2,032</w:t>
            </w:r>
          </w:p>
        </w:tc>
        <w:tc>
          <w:tcPr>
            <w:tcW w:w="1557" w:type="dxa"/>
            <w:shd w:val="clear" w:color="auto" w:fill="auto"/>
          </w:tcPr>
          <w:p w14:paraId="41BDEB03" w14:textId="77777777" w:rsidR="00676882" w:rsidRDefault="00676882" w:rsidP="00DF45FA">
            <w:pPr>
              <w:pStyle w:val="Tabletext"/>
              <w:jc w:val="center"/>
            </w:pPr>
            <w:r w:rsidRPr="009D46FD">
              <w:t>$6,794</w:t>
            </w:r>
          </w:p>
        </w:tc>
      </w:tr>
      <w:tr w:rsidR="00676882" w14:paraId="7BB542F6" w14:textId="77777777" w:rsidTr="00DF45FA">
        <w:trPr>
          <w:gridBefore w:val="1"/>
          <w:wBefore w:w="454" w:type="dxa"/>
        </w:trPr>
        <w:tc>
          <w:tcPr>
            <w:tcW w:w="1984" w:type="dxa"/>
            <w:shd w:val="clear" w:color="auto" w:fill="auto"/>
          </w:tcPr>
          <w:p w14:paraId="100990BC" w14:textId="77777777" w:rsidR="00676882" w:rsidRDefault="00676882" w:rsidP="00DF45FA">
            <w:pPr>
              <w:pStyle w:val="Tabletext"/>
            </w:pPr>
            <w:r>
              <w:t xml:space="preserve">c) </w:t>
            </w:r>
            <w:r w:rsidRPr="00723B9E">
              <w:t>Insulation</w:t>
            </w:r>
            <w:r>
              <w:t xml:space="preserve"> </w:t>
            </w:r>
            <w:r w:rsidRPr="00723B9E">
              <w:t>R5</w:t>
            </w:r>
            <w:r>
              <w:t xml:space="preserve"> </w:t>
            </w:r>
            <w:r w:rsidRPr="00723B9E">
              <w:t>- 2</w:t>
            </w:r>
            <w:r>
              <w:t xml:space="preserve"> </w:t>
            </w:r>
            <w:r w:rsidRPr="00723B9E">
              <w:t>year</w:t>
            </w:r>
          </w:p>
        </w:tc>
        <w:tc>
          <w:tcPr>
            <w:tcW w:w="1560" w:type="dxa"/>
            <w:tcBorders>
              <w:right w:val="single" w:sz="4" w:space="0" w:color="auto"/>
            </w:tcBorders>
            <w:shd w:val="clear" w:color="auto" w:fill="auto"/>
          </w:tcPr>
          <w:p w14:paraId="5A022D00" w14:textId="77777777" w:rsidR="00676882" w:rsidRDefault="00676882" w:rsidP="00DF45FA">
            <w:pPr>
              <w:pStyle w:val="Tabletext"/>
              <w:jc w:val="center"/>
            </w:pPr>
            <w:r w:rsidRPr="009D46FD">
              <w:t>$10,819</w:t>
            </w:r>
          </w:p>
        </w:tc>
        <w:tc>
          <w:tcPr>
            <w:tcW w:w="2835" w:type="dxa"/>
            <w:tcBorders>
              <w:top w:val="single" w:sz="4" w:space="0" w:color="646464"/>
              <w:left w:val="single" w:sz="4" w:space="0" w:color="auto"/>
            </w:tcBorders>
            <w:shd w:val="clear" w:color="auto" w:fill="DBDBDB" w:themeFill="accent3" w:themeFillTint="66"/>
          </w:tcPr>
          <w:p w14:paraId="20853564"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-$2,388</w:t>
            </w:r>
          </w:p>
        </w:tc>
        <w:tc>
          <w:tcPr>
            <w:tcW w:w="1557" w:type="dxa"/>
            <w:shd w:val="clear" w:color="auto" w:fill="auto"/>
          </w:tcPr>
          <w:p w14:paraId="315DEF62" w14:textId="77777777" w:rsidR="00676882" w:rsidRDefault="00676882" w:rsidP="00DF45FA">
            <w:pPr>
              <w:pStyle w:val="Tabletext"/>
              <w:jc w:val="center"/>
            </w:pPr>
            <w:r w:rsidRPr="009D46FD">
              <w:t>$8,431</w:t>
            </w:r>
          </w:p>
        </w:tc>
      </w:tr>
      <w:tr w:rsidR="00676882" w14:paraId="6701B3B9" w14:textId="77777777" w:rsidTr="00DF45FA">
        <w:trPr>
          <w:gridBefore w:val="1"/>
          <w:wBefore w:w="454" w:type="dxa"/>
        </w:trPr>
        <w:tc>
          <w:tcPr>
            <w:tcW w:w="1984" w:type="dxa"/>
            <w:shd w:val="clear" w:color="auto" w:fill="auto"/>
          </w:tcPr>
          <w:p w14:paraId="73D6D8B1" w14:textId="77777777" w:rsidR="00676882" w:rsidRDefault="00676882" w:rsidP="00DF45FA">
            <w:pPr>
              <w:pStyle w:val="Tabletext"/>
            </w:pPr>
            <w:r>
              <w:t xml:space="preserve">d) </w:t>
            </w:r>
            <w:r w:rsidRPr="00723B9E">
              <w:t>Insulation</w:t>
            </w:r>
            <w:r>
              <w:t xml:space="preserve"> </w:t>
            </w:r>
            <w:r w:rsidRPr="00723B9E">
              <w:t>R5</w:t>
            </w:r>
            <w:r>
              <w:t xml:space="preserve"> </w:t>
            </w:r>
            <w:r w:rsidRPr="00723B9E">
              <w:t>- 4</w:t>
            </w:r>
            <w:r>
              <w:t xml:space="preserve"> </w:t>
            </w:r>
            <w:r w:rsidRPr="00723B9E">
              <w:t>year</w:t>
            </w:r>
          </w:p>
        </w:tc>
        <w:tc>
          <w:tcPr>
            <w:tcW w:w="1560" w:type="dxa"/>
            <w:tcBorders>
              <w:right w:val="single" w:sz="4" w:space="0" w:color="auto"/>
            </w:tcBorders>
            <w:shd w:val="clear" w:color="auto" w:fill="auto"/>
          </w:tcPr>
          <w:p w14:paraId="1443EBED" w14:textId="77777777" w:rsidR="00676882" w:rsidRDefault="00676882" w:rsidP="00DF45FA">
            <w:pPr>
              <w:pStyle w:val="Tabletext"/>
              <w:jc w:val="center"/>
            </w:pPr>
            <w:r w:rsidRPr="009D46FD">
              <w:t>$10,712</w:t>
            </w:r>
          </w:p>
        </w:tc>
        <w:tc>
          <w:tcPr>
            <w:tcW w:w="2835" w:type="dxa"/>
            <w:tcBorders>
              <w:top w:val="single" w:sz="4" w:space="0" w:color="646464"/>
              <w:left w:val="single" w:sz="4" w:space="0" w:color="auto"/>
            </w:tcBorders>
            <w:shd w:val="clear" w:color="auto" w:fill="DBDBDB" w:themeFill="accent3" w:themeFillTint="66"/>
          </w:tcPr>
          <w:p w14:paraId="0CBE8CB0"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-$2,349</w:t>
            </w:r>
          </w:p>
        </w:tc>
        <w:tc>
          <w:tcPr>
            <w:tcW w:w="1557" w:type="dxa"/>
            <w:shd w:val="clear" w:color="auto" w:fill="auto"/>
          </w:tcPr>
          <w:p w14:paraId="0527E826" w14:textId="77777777" w:rsidR="00676882" w:rsidRDefault="00676882" w:rsidP="00DF45FA">
            <w:pPr>
              <w:pStyle w:val="Tabletext"/>
              <w:jc w:val="center"/>
            </w:pPr>
            <w:r w:rsidRPr="009D46FD">
              <w:t>$8,362</w:t>
            </w:r>
          </w:p>
        </w:tc>
      </w:tr>
      <w:tr w:rsidR="00676882" w14:paraId="5674BAB0" w14:textId="77777777" w:rsidTr="00DF45FA">
        <w:trPr>
          <w:gridBefore w:val="1"/>
          <w:wBefore w:w="454" w:type="dxa"/>
        </w:trPr>
        <w:tc>
          <w:tcPr>
            <w:tcW w:w="1984" w:type="dxa"/>
            <w:shd w:val="clear" w:color="auto" w:fill="auto"/>
          </w:tcPr>
          <w:p w14:paraId="4758A9B5" w14:textId="77777777" w:rsidR="00676882" w:rsidRDefault="00676882" w:rsidP="00DF45FA">
            <w:pPr>
              <w:pStyle w:val="Tabletext"/>
            </w:pPr>
            <w:r>
              <w:t xml:space="preserve">e) </w:t>
            </w:r>
            <w:r w:rsidRPr="00723B9E">
              <w:t>Heater</w:t>
            </w:r>
            <w:r>
              <w:t xml:space="preserve"> </w:t>
            </w:r>
            <w:r w:rsidRPr="00723B9E">
              <w:t>- 2</w:t>
            </w:r>
            <w:r>
              <w:t xml:space="preserve"> </w:t>
            </w:r>
            <w:r w:rsidRPr="00723B9E">
              <w:t>year</w:t>
            </w:r>
          </w:p>
        </w:tc>
        <w:tc>
          <w:tcPr>
            <w:tcW w:w="1560" w:type="dxa"/>
            <w:tcBorders>
              <w:right w:val="single" w:sz="4" w:space="0" w:color="auto"/>
            </w:tcBorders>
            <w:shd w:val="clear" w:color="auto" w:fill="auto"/>
          </w:tcPr>
          <w:p w14:paraId="2F735501" w14:textId="77777777" w:rsidR="00676882" w:rsidRDefault="00676882" w:rsidP="00DF45FA">
            <w:pPr>
              <w:pStyle w:val="Tabletext"/>
              <w:jc w:val="center"/>
            </w:pPr>
            <w:r w:rsidRPr="009D46FD">
              <w:t>$8,162</w:t>
            </w:r>
          </w:p>
        </w:tc>
        <w:tc>
          <w:tcPr>
            <w:tcW w:w="2835" w:type="dxa"/>
            <w:tcBorders>
              <w:top w:val="single" w:sz="4" w:space="0" w:color="646464"/>
              <w:left w:val="single" w:sz="4" w:space="0" w:color="auto"/>
            </w:tcBorders>
            <w:shd w:val="clear" w:color="auto" w:fill="DBDBDB" w:themeFill="accent3" w:themeFillTint="66"/>
          </w:tcPr>
          <w:p w14:paraId="7690CF71"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-$3,189</w:t>
            </w:r>
          </w:p>
        </w:tc>
        <w:tc>
          <w:tcPr>
            <w:tcW w:w="1557" w:type="dxa"/>
            <w:shd w:val="clear" w:color="auto" w:fill="auto"/>
          </w:tcPr>
          <w:p w14:paraId="2C731837" w14:textId="77777777" w:rsidR="00676882" w:rsidRDefault="00676882" w:rsidP="00DF45FA">
            <w:pPr>
              <w:pStyle w:val="Tabletext"/>
              <w:jc w:val="center"/>
            </w:pPr>
            <w:r w:rsidRPr="009D46FD">
              <w:t>$4,973</w:t>
            </w:r>
          </w:p>
        </w:tc>
      </w:tr>
      <w:tr w:rsidR="00676882" w14:paraId="0234DECE" w14:textId="77777777" w:rsidTr="00DF45FA">
        <w:trPr>
          <w:gridBefore w:val="1"/>
          <w:wBefore w:w="454" w:type="dxa"/>
        </w:trPr>
        <w:tc>
          <w:tcPr>
            <w:tcW w:w="1984" w:type="dxa"/>
            <w:shd w:val="clear" w:color="auto" w:fill="auto"/>
          </w:tcPr>
          <w:p w14:paraId="572AE16E" w14:textId="77777777" w:rsidR="00676882" w:rsidRDefault="00676882" w:rsidP="00DF45FA">
            <w:pPr>
              <w:pStyle w:val="Tabletext"/>
            </w:pPr>
            <w:r>
              <w:t xml:space="preserve">f) </w:t>
            </w:r>
            <w:r w:rsidRPr="00723B9E">
              <w:t>Heater</w:t>
            </w:r>
            <w:r>
              <w:t xml:space="preserve"> </w:t>
            </w:r>
            <w:r w:rsidRPr="00723B9E">
              <w:t>- 4</w:t>
            </w:r>
            <w:r>
              <w:t xml:space="preserve"> </w:t>
            </w:r>
            <w:r w:rsidRPr="00723B9E">
              <w:t>year</w:t>
            </w:r>
          </w:p>
        </w:tc>
        <w:tc>
          <w:tcPr>
            <w:tcW w:w="1560" w:type="dxa"/>
            <w:tcBorders>
              <w:right w:val="single" w:sz="4" w:space="0" w:color="auto"/>
            </w:tcBorders>
            <w:shd w:val="clear" w:color="auto" w:fill="auto"/>
          </w:tcPr>
          <w:p w14:paraId="23171D97" w14:textId="77777777" w:rsidR="00676882" w:rsidRDefault="00676882" w:rsidP="00DF45FA">
            <w:pPr>
              <w:pStyle w:val="Tabletext"/>
              <w:jc w:val="center"/>
            </w:pPr>
            <w:r w:rsidRPr="009D46FD">
              <w:t>$8,042</w:t>
            </w:r>
          </w:p>
        </w:tc>
        <w:tc>
          <w:tcPr>
            <w:tcW w:w="2835" w:type="dxa"/>
            <w:tcBorders>
              <w:top w:val="single" w:sz="4" w:space="0" w:color="646464"/>
              <w:left w:val="single" w:sz="4" w:space="0" w:color="auto"/>
            </w:tcBorders>
            <w:shd w:val="clear" w:color="auto" w:fill="DBDBDB" w:themeFill="accent3" w:themeFillTint="66"/>
          </w:tcPr>
          <w:p w14:paraId="48D70185"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-$3,174</w:t>
            </w:r>
          </w:p>
        </w:tc>
        <w:tc>
          <w:tcPr>
            <w:tcW w:w="1557" w:type="dxa"/>
            <w:shd w:val="clear" w:color="auto" w:fill="auto"/>
          </w:tcPr>
          <w:p w14:paraId="7B623915" w14:textId="77777777" w:rsidR="00676882" w:rsidRDefault="00676882" w:rsidP="00DF45FA">
            <w:pPr>
              <w:pStyle w:val="Tabletext"/>
              <w:jc w:val="center"/>
            </w:pPr>
            <w:r w:rsidRPr="009D46FD">
              <w:t>$4,868</w:t>
            </w:r>
          </w:p>
        </w:tc>
      </w:tr>
      <w:tr w:rsidR="00676882" w14:paraId="4661CEAC" w14:textId="77777777" w:rsidTr="00DF45FA">
        <w:trPr>
          <w:gridBefore w:val="1"/>
          <w:wBefore w:w="454" w:type="dxa"/>
        </w:trPr>
        <w:tc>
          <w:tcPr>
            <w:tcW w:w="1984" w:type="dxa"/>
            <w:shd w:val="clear" w:color="auto" w:fill="auto"/>
          </w:tcPr>
          <w:p w14:paraId="41544832" w14:textId="77777777" w:rsidR="00676882" w:rsidRDefault="00676882" w:rsidP="00DF45FA">
            <w:pPr>
              <w:pStyle w:val="Tabletext"/>
            </w:pPr>
            <w:r>
              <w:t xml:space="preserve">g) </w:t>
            </w:r>
            <w:r w:rsidRPr="00723B9E">
              <w:t>Performance</w:t>
            </w:r>
            <w:r>
              <w:t xml:space="preserve"> </w:t>
            </w:r>
            <w:r w:rsidRPr="00723B9E">
              <w:t>2</w:t>
            </w:r>
            <w:r>
              <w:t xml:space="preserve"> star </w:t>
            </w:r>
            <w:r w:rsidRPr="00723B9E">
              <w:t>- 2</w:t>
            </w:r>
            <w:r>
              <w:t xml:space="preserve"> </w:t>
            </w:r>
            <w:r w:rsidRPr="00723B9E">
              <w:t>year</w:t>
            </w:r>
          </w:p>
        </w:tc>
        <w:tc>
          <w:tcPr>
            <w:tcW w:w="1560" w:type="dxa"/>
            <w:tcBorders>
              <w:right w:val="single" w:sz="4" w:space="0" w:color="auto"/>
            </w:tcBorders>
            <w:shd w:val="clear" w:color="auto" w:fill="auto"/>
          </w:tcPr>
          <w:p w14:paraId="59628B52" w14:textId="77777777" w:rsidR="00676882" w:rsidRDefault="00676882" w:rsidP="00DF45FA">
            <w:pPr>
              <w:pStyle w:val="Tabletext"/>
              <w:jc w:val="center"/>
            </w:pPr>
            <w:r w:rsidRPr="009D46FD">
              <w:t>$10,566</w:t>
            </w:r>
          </w:p>
        </w:tc>
        <w:tc>
          <w:tcPr>
            <w:tcW w:w="2835" w:type="dxa"/>
            <w:tcBorders>
              <w:top w:val="single" w:sz="4" w:space="0" w:color="646464"/>
              <w:left w:val="single" w:sz="4" w:space="0" w:color="auto"/>
            </w:tcBorders>
            <w:shd w:val="clear" w:color="auto" w:fill="DBDBDB" w:themeFill="accent3" w:themeFillTint="66"/>
          </w:tcPr>
          <w:p w14:paraId="34879B83"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-$4,650</w:t>
            </w:r>
          </w:p>
        </w:tc>
        <w:tc>
          <w:tcPr>
            <w:tcW w:w="1557" w:type="dxa"/>
            <w:shd w:val="clear" w:color="auto" w:fill="auto"/>
          </w:tcPr>
          <w:p w14:paraId="5165B872" w14:textId="77777777" w:rsidR="00676882" w:rsidRDefault="00676882" w:rsidP="00DF45FA">
            <w:pPr>
              <w:pStyle w:val="Tabletext"/>
              <w:jc w:val="center"/>
            </w:pPr>
            <w:r w:rsidRPr="009D46FD">
              <w:t>$5,916</w:t>
            </w:r>
          </w:p>
        </w:tc>
      </w:tr>
      <w:tr w:rsidR="00676882" w14:paraId="42EF07EB" w14:textId="77777777" w:rsidTr="00DF45FA">
        <w:trPr>
          <w:gridBefore w:val="1"/>
          <w:wBefore w:w="454" w:type="dxa"/>
        </w:trPr>
        <w:tc>
          <w:tcPr>
            <w:tcW w:w="1984" w:type="dxa"/>
            <w:shd w:val="clear" w:color="auto" w:fill="auto"/>
          </w:tcPr>
          <w:p w14:paraId="31426D7C" w14:textId="77777777" w:rsidR="00676882" w:rsidRDefault="00676882" w:rsidP="00DF45FA">
            <w:pPr>
              <w:pStyle w:val="Tabletext"/>
            </w:pPr>
            <w:r>
              <w:t xml:space="preserve">h) </w:t>
            </w:r>
            <w:r w:rsidRPr="00723B9E">
              <w:t>Performance</w:t>
            </w:r>
            <w:r>
              <w:t xml:space="preserve"> </w:t>
            </w:r>
            <w:r w:rsidRPr="00723B9E">
              <w:t>2</w:t>
            </w:r>
            <w:r>
              <w:t xml:space="preserve"> star </w:t>
            </w:r>
            <w:r w:rsidRPr="00723B9E">
              <w:t>- 4</w:t>
            </w:r>
            <w:r>
              <w:t xml:space="preserve"> </w:t>
            </w:r>
            <w:r w:rsidRPr="00723B9E">
              <w:t>year</w:t>
            </w:r>
          </w:p>
        </w:tc>
        <w:tc>
          <w:tcPr>
            <w:tcW w:w="1560" w:type="dxa"/>
            <w:tcBorders>
              <w:right w:val="single" w:sz="4" w:space="0" w:color="auto"/>
            </w:tcBorders>
            <w:shd w:val="clear" w:color="auto" w:fill="auto"/>
          </w:tcPr>
          <w:p w14:paraId="5C6EEF15" w14:textId="77777777" w:rsidR="00676882" w:rsidRDefault="00676882" w:rsidP="00DF45FA">
            <w:pPr>
              <w:pStyle w:val="Tabletext"/>
              <w:jc w:val="center"/>
            </w:pPr>
            <w:r w:rsidRPr="009D46FD">
              <w:t>$10,612</w:t>
            </w:r>
          </w:p>
        </w:tc>
        <w:tc>
          <w:tcPr>
            <w:tcW w:w="2835" w:type="dxa"/>
            <w:tcBorders>
              <w:top w:val="single" w:sz="4" w:space="0" w:color="646464"/>
              <w:left w:val="single" w:sz="4" w:space="0" w:color="auto"/>
            </w:tcBorders>
            <w:shd w:val="clear" w:color="auto" w:fill="DBDBDB" w:themeFill="accent3" w:themeFillTint="66"/>
          </w:tcPr>
          <w:p w14:paraId="26D6EBF2"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-$4,635</w:t>
            </w:r>
          </w:p>
        </w:tc>
        <w:tc>
          <w:tcPr>
            <w:tcW w:w="1557" w:type="dxa"/>
            <w:shd w:val="clear" w:color="auto" w:fill="auto"/>
          </w:tcPr>
          <w:p w14:paraId="1E266B4C" w14:textId="77777777" w:rsidR="00676882" w:rsidRDefault="00676882" w:rsidP="00DF45FA">
            <w:pPr>
              <w:pStyle w:val="Tabletext"/>
              <w:jc w:val="center"/>
            </w:pPr>
            <w:r w:rsidRPr="009D46FD">
              <w:t>$5,976</w:t>
            </w:r>
          </w:p>
        </w:tc>
      </w:tr>
      <w:tr w:rsidR="00676882" w14:paraId="7954231A" w14:textId="77777777" w:rsidTr="00DF45FA">
        <w:trPr>
          <w:gridBefore w:val="1"/>
          <w:wBefore w:w="454" w:type="dxa"/>
        </w:trPr>
        <w:tc>
          <w:tcPr>
            <w:tcW w:w="1984" w:type="dxa"/>
            <w:shd w:val="clear" w:color="auto" w:fill="auto"/>
          </w:tcPr>
          <w:p w14:paraId="670F9CE2" w14:textId="77777777" w:rsidR="00676882" w:rsidRDefault="00676882" w:rsidP="00DF45FA">
            <w:pPr>
              <w:pStyle w:val="Tabletext"/>
            </w:pPr>
            <w:r>
              <w:t xml:space="preserve">i) </w:t>
            </w:r>
            <w:r w:rsidRPr="00723B9E">
              <w:t>Performance</w:t>
            </w:r>
            <w:r>
              <w:t xml:space="preserve"> </w:t>
            </w:r>
            <w:r w:rsidRPr="00723B9E">
              <w:t>3</w:t>
            </w:r>
            <w:r>
              <w:t xml:space="preserve"> star </w:t>
            </w:r>
            <w:r w:rsidRPr="00723B9E">
              <w:t>- 2</w:t>
            </w:r>
            <w:r>
              <w:t xml:space="preserve"> </w:t>
            </w:r>
            <w:r w:rsidRPr="00723B9E">
              <w:t>year</w:t>
            </w:r>
          </w:p>
        </w:tc>
        <w:tc>
          <w:tcPr>
            <w:tcW w:w="1560" w:type="dxa"/>
            <w:tcBorders>
              <w:right w:val="single" w:sz="4" w:space="0" w:color="auto"/>
            </w:tcBorders>
            <w:shd w:val="clear" w:color="auto" w:fill="auto"/>
          </w:tcPr>
          <w:p w14:paraId="5D027420" w14:textId="77777777" w:rsidR="00676882" w:rsidRDefault="00676882" w:rsidP="00DF45FA">
            <w:pPr>
              <w:pStyle w:val="Tabletext"/>
              <w:jc w:val="center"/>
            </w:pPr>
            <w:r w:rsidRPr="009D46FD">
              <w:t>$13,813</w:t>
            </w:r>
          </w:p>
        </w:tc>
        <w:tc>
          <w:tcPr>
            <w:tcW w:w="2835" w:type="dxa"/>
            <w:tcBorders>
              <w:top w:val="single" w:sz="4" w:space="0" w:color="646464"/>
              <w:left w:val="single" w:sz="4" w:space="0" w:color="auto"/>
            </w:tcBorders>
            <w:shd w:val="clear" w:color="auto" w:fill="DBDBDB" w:themeFill="accent3" w:themeFillTint="66"/>
          </w:tcPr>
          <w:p w14:paraId="422DCA4A"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-$7,531</w:t>
            </w:r>
          </w:p>
        </w:tc>
        <w:tc>
          <w:tcPr>
            <w:tcW w:w="1557" w:type="dxa"/>
            <w:shd w:val="clear" w:color="auto" w:fill="auto"/>
          </w:tcPr>
          <w:p w14:paraId="71B64A7A" w14:textId="77777777" w:rsidR="00676882" w:rsidRDefault="00676882" w:rsidP="00DF45FA">
            <w:pPr>
              <w:pStyle w:val="Tabletext"/>
              <w:jc w:val="center"/>
            </w:pPr>
            <w:r w:rsidRPr="009D46FD">
              <w:t>$6,282</w:t>
            </w:r>
          </w:p>
        </w:tc>
      </w:tr>
      <w:tr w:rsidR="00676882" w14:paraId="705BEB43" w14:textId="77777777" w:rsidTr="00DF45FA">
        <w:trPr>
          <w:gridBefore w:val="1"/>
          <w:wBefore w:w="454" w:type="dxa"/>
        </w:trPr>
        <w:tc>
          <w:tcPr>
            <w:tcW w:w="1984" w:type="dxa"/>
            <w:shd w:val="clear" w:color="auto" w:fill="auto"/>
          </w:tcPr>
          <w:p w14:paraId="2BD39528" w14:textId="77777777" w:rsidR="00676882" w:rsidRDefault="00676882" w:rsidP="00DF45FA">
            <w:pPr>
              <w:pStyle w:val="Tabletext"/>
            </w:pPr>
            <w:r>
              <w:t xml:space="preserve">j) </w:t>
            </w:r>
            <w:r w:rsidRPr="00723B9E">
              <w:t>Performance</w:t>
            </w:r>
            <w:r>
              <w:t xml:space="preserve"> </w:t>
            </w:r>
            <w:r w:rsidRPr="00723B9E">
              <w:t>3</w:t>
            </w:r>
            <w:r>
              <w:t xml:space="preserve"> star </w:t>
            </w:r>
            <w:r w:rsidRPr="00723B9E">
              <w:t>- 4</w:t>
            </w:r>
            <w:r>
              <w:t xml:space="preserve"> </w:t>
            </w:r>
            <w:r w:rsidRPr="00723B9E">
              <w:t>year</w:t>
            </w:r>
          </w:p>
        </w:tc>
        <w:tc>
          <w:tcPr>
            <w:tcW w:w="1560" w:type="dxa"/>
            <w:tcBorders>
              <w:right w:val="single" w:sz="4" w:space="0" w:color="auto"/>
            </w:tcBorders>
            <w:shd w:val="clear" w:color="auto" w:fill="auto"/>
          </w:tcPr>
          <w:p w14:paraId="6F0DEAFB" w14:textId="77777777" w:rsidR="00676882" w:rsidRDefault="00676882" w:rsidP="00DF45FA">
            <w:pPr>
              <w:pStyle w:val="Tabletext"/>
              <w:jc w:val="center"/>
            </w:pPr>
            <w:r w:rsidRPr="009D46FD">
              <w:t>$13,900</w:t>
            </w:r>
          </w:p>
        </w:tc>
        <w:tc>
          <w:tcPr>
            <w:tcW w:w="2835" w:type="dxa"/>
            <w:tcBorders>
              <w:top w:val="single" w:sz="4" w:space="0" w:color="646464"/>
              <w:left w:val="single" w:sz="4" w:space="0" w:color="auto"/>
            </w:tcBorders>
            <w:shd w:val="clear" w:color="auto" w:fill="DBDBDB" w:themeFill="accent3" w:themeFillTint="66"/>
          </w:tcPr>
          <w:p w14:paraId="03FC9C05" w14:textId="77777777" w:rsidR="00676882" w:rsidRPr="006B0263"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-$7,506</w:t>
            </w:r>
          </w:p>
        </w:tc>
        <w:tc>
          <w:tcPr>
            <w:tcW w:w="1557" w:type="dxa"/>
            <w:shd w:val="clear" w:color="auto" w:fill="auto"/>
          </w:tcPr>
          <w:p w14:paraId="0CFA109C" w14:textId="77777777" w:rsidR="00676882" w:rsidRDefault="00676882" w:rsidP="00DF45FA">
            <w:pPr>
              <w:pStyle w:val="Tabletext"/>
              <w:jc w:val="center"/>
            </w:pPr>
            <w:r w:rsidRPr="009D46FD">
              <w:t>$6,394</w:t>
            </w:r>
          </w:p>
        </w:tc>
      </w:tr>
      <w:tr w:rsidR="00676882" w14:paraId="5FDB31AA" w14:textId="77777777" w:rsidTr="00DF45FA">
        <w:trPr>
          <w:gridBefore w:val="1"/>
          <w:wBefore w:w="454" w:type="dxa"/>
        </w:trPr>
        <w:tc>
          <w:tcPr>
            <w:tcW w:w="7936" w:type="dxa"/>
            <w:gridSpan w:val="4"/>
            <w:tcBorders>
              <w:bottom w:val="single" w:sz="4" w:space="0" w:color="646464"/>
            </w:tcBorders>
            <w:shd w:val="clear" w:color="auto" w:fill="auto"/>
          </w:tcPr>
          <w:p w14:paraId="115D6B32" w14:textId="77777777" w:rsidR="00676882" w:rsidRDefault="00676882" w:rsidP="00DF45FA">
            <w:pPr>
              <w:pStyle w:val="Note"/>
            </w:pPr>
            <w:r>
              <w:t xml:space="preserve">Note: The values in the tables are the net present value at a 3 per cent discount rate. The results are averaged over all households. </w:t>
            </w:r>
          </w:p>
          <w:p w14:paraId="47E60866" w14:textId="77777777" w:rsidR="00676882" w:rsidRDefault="00676882" w:rsidP="00DF45FA">
            <w:pPr>
              <w:pStyle w:val="Note"/>
            </w:pPr>
            <w:r>
              <w:t xml:space="preserve">Note: Individual upgrade costs will vary significantly between rental properties. Further, Class 2 properties are generally significantly cheaper than Class 1 properties. More details on data and assumptions regarding upgrade costs are available in Appendix </w:t>
            </w:r>
            <w:r w:rsidRPr="009E4AB1">
              <w:fldChar w:fldCharType="begin"/>
            </w:r>
            <w:r w:rsidRPr="009E4AB1">
              <w:instrText xml:space="preserve"> REF _Ref75766708 \r \h  \* MERGEFORMAT </w:instrText>
            </w:r>
            <w:r w:rsidRPr="009E4AB1">
              <w:fldChar w:fldCharType="separate"/>
            </w:r>
            <w:r>
              <w:t>B</w:t>
            </w:r>
            <w:r w:rsidRPr="009E4AB1">
              <w:fldChar w:fldCharType="end"/>
            </w:r>
            <w:r>
              <w:t>.</w:t>
            </w:r>
          </w:p>
          <w:p w14:paraId="5EDD0379" w14:textId="77777777" w:rsidR="00676882" w:rsidRDefault="00676882" w:rsidP="00DF45FA">
            <w:pPr>
              <w:pStyle w:val="Source"/>
            </w:pPr>
            <w:r>
              <w:t>Source: ACIL Allen</w:t>
            </w:r>
          </w:p>
        </w:tc>
      </w:tr>
      <w:tr w:rsidR="00676882" w14:paraId="513D5600"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770D387F" w14:textId="77777777" w:rsidR="00676882" w:rsidRDefault="00676882" w:rsidP="00DF45FA">
            <w:pPr>
              <w:pStyle w:val="spacer"/>
            </w:pPr>
          </w:p>
        </w:tc>
      </w:tr>
    </w:tbl>
    <w:bookmarkEnd w:id="227"/>
    <w:p w14:paraId="39190D33" w14:textId="77777777" w:rsidR="00676882" w:rsidRDefault="00676882" w:rsidP="00676882">
      <w:pPr>
        <w:pStyle w:val="BodyText"/>
      </w:pPr>
      <w:r>
        <w:t>The results for individual households will vary depending on:</w:t>
      </w:r>
    </w:p>
    <w:p w14:paraId="111C3725" w14:textId="77777777" w:rsidR="00676882" w:rsidRDefault="00676882" w:rsidP="00676882">
      <w:pPr>
        <w:pStyle w:val="ListBullet"/>
      </w:pPr>
      <w:r>
        <w:t>the initial condition of the property prior to upgrading</w:t>
      </w:r>
    </w:p>
    <w:p w14:paraId="027C4336" w14:textId="77777777" w:rsidR="00676882" w:rsidRDefault="00676882" w:rsidP="00676882">
      <w:pPr>
        <w:pStyle w:val="ListBullet"/>
      </w:pPr>
      <w:r>
        <w:t>the proportion of the net costs that are passed through to rent (that is, no cost pass-through, partial cost pass-through, or full cost pass-through)</w:t>
      </w:r>
    </w:p>
    <w:p w14:paraId="742B2E01" w14:textId="77777777" w:rsidR="00676882" w:rsidRDefault="00676882" w:rsidP="00676882">
      <w:pPr>
        <w:pStyle w:val="ListBullet"/>
      </w:pPr>
      <w:r>
        <w:t>whether the household is in public or private housing</w:t>
      </w:r>
    </w:p>
    <w:p w14:paraId="3790CFD5" w14:textId="77777777" w:rsidR="00676882" w:rsidRDefault="00676882" w:rsidP="00676882">
      <w:pPr>
        <w:pStyle w:val="ListBullet"/>
      </w:pPr>
      <w:r>
        <w:t>the nature and expense of the upgrades required.</w:t>
      </w:r>
    </w:p>
    <w:p w14:paraId="4981E556" w14:textId="77777777" w:rsidR="00676882" w:rsidRDefault="00676882" w:rsidP="00676882">
      <w:pPr>
        <w:pStyle w:val="Heading5"/>
      </w:pPr>
      <w:r>
        <w:t>Government subsidy</w:t>
      </w:r>
    </w:p>
    <w:p w14:paraId="1747EE9C" w14:textId="77777777" w:rsidR="00676882" w:rsidRDefault="00676882" w:rsidP="00676882">
      <w:pPr>
        <w:pStyle w:val="BodyText"/>
      </w:pPr>
      <w:r>
        <w:t xml:space="preserve">It is possible, and even likely, that some tenant households will be made worse-off overall unless the regulations and associated government programs prevent or reduce cost pass-through to renters. However, as noted in section </w:t>
      </w:r>
      <w:r w:rsidRPr="009E4AB1">
        <w:fldChar w:fldCharType="begin"/>
      </w:r>
      <w:r w:rsidRPr="009E4AB1">
        <w:instrText xml:space="preserve"> REF _Ref75169932 \r \h  \* MERGEFORMAT </w:instrText>
      </w:r>
      <w:r w:rsidRPr="009E4AB1">
        <w:fldChar w:fldCharType="separate"/>
      </w:r>
      <w:r>
        <w:t>4.1.1</w:t>
      </w:r>
      <w:r w:rsidRPr="009E4AB1">
        <w:fldChar w:fldCharType="end"/>
      </w:r>
      <w:r>
        <w:t>, the ACT Government provides several programs which help manage energy-efficiency improvements or assist with costs. Any subsidy does not increase or decrease the net value of the program at the economy-wide level. It is just a transfer from the government to individual households. The costs and benefits of the program remain the same.</w:t>
      </w:r>
    </w:p>
    <w:p w14:paraId="3D998C65" w14:textId="77777777" w:rsidR="00676882" w:rsidRDefault="00676882" w:rsidP="00676882">
      <w:pPr>
        <w:pStyle w:val="BodyText"/>
      </w:pPr>
      <w:r>
        <w:lastRenderedPageBreak/>
        <w:t xml:space="preserve">To illustrate how an $800 subsidy would affect the impacts on households, </w:t>
      </w:r>
      <w:r w:rsidRPr="009E4AB1">
        <w:fldChar w:fldCharType="begin"/>
      </w:r>
      <w:r w:rsidRPr="009E4AB1">
        <w:instrText xml:space="preserve"> REF _Ref80469621 \h  \* MERGEFORMAT </w:instrText>
      </w:r>
      <w:r w:rsidRPr="009E4AB1">
        <w:fldChar w:fldCharType="separate"/>
      </w:r>
      <w:r w:rsidRPr="00F32FCC">
        <w:t>Table 5.3</w:t>
      </w:r>
      <w:r w:rsidRPr="009E4AB1">
        <w:fldChar w:fldCharType="end"/>
      </w:r>
      <w:r>
        <w:t xml:space="preserve"> replicates </w:t>
      </w:r>
      <w:r w:rsidRPr="009E4AB1">
        <w:fldChar w:fldCharType="begin"/>
      </w:r>
      <w:r w:rsidRPr="009E4AB1">
        <w:instrText xml:space="preserve"> REF _Ref75879333 \h  \* MERGEFORMAT </w:instrText>
      </w:r>
      <w:r w:rsidRPr="009E4AB1">
        <w:fldChar w:fldCharType="separate"/>
      </w:r>
      <w:r w:rsidRPr="00F32FCC">
        <w:t>Table 5.2</w:t>
      </w:r>
      <w:r w:rsidRPr="009E4AB1">
        <w:fldChar w:fldCharType="end"/>
      </w:r>
      <w:r>
        <w:t xml:space="preserve"> with the subsidy applied. Importantly, a subsidy has the potential to help both rental providers and tenants:</w:t>
      </w:r>
    </w:p>
    <w:p w14:paraId="46ABE199" w14:textId="77777777" w:rsidR="00676882" w:rsidRDefault="00676882" w:rsidP="00676882">
      <w:pPr>
        <w:pStyle w:val="ListBullet"/>
      </w:pPr>
      <w:r>
        <w:t xml:space="preserve">A subsidy will help rental providers with upfront costs. The burden of the up-front cost is a particular concern for rental providers, particularly for those with the least capacity to pay. </w:t>
      </w:r>
    </w:p>
    <w:p w14:paraId="4AFA7B6E" w14:textId="77777777" w:rsidR="00676882" w:rsidRDefault="00676882" w:rsidP="00676882">
      <w:pPr>
        <w:pStyle w:val="ListBullet"/>
      </w:pPr>
      <w:r>
        <w:t>A subsidy has the capacity to lower the increase in rent passed through to tenants, increasing the net benefit to tenants even with full cost pass through.</w:t>
      </w:r>
    </w:p>
    <w:p w14:paraId="065E046E" w14:textId="77777777" w:rsidR="00676882" w:rsidRDefault="00676882" w:rsidP="00676882">
      <w:pPr>
        <w:pStyle w:val="Caption"/>
      </w:pPr>
      <w:bookmarkStart w:id="228" w:name="_Ref80469621"/>
      <w:bookmarkStart w:id="229" w:name="_Toc80719328"/>
      <w:r w:rsidRPr="00820CE4">
        <w:rPr>
          <w:rStyle w:val="CaptionLabel"/>
        </w:rPr>
        <w:t>Table </w:t>
      </w:r>
      <w:r w:rsidRPr="00820CE4">
        <w:rPr>
          <w:rStyle w:val="CaptionLabel"/>
        </w:rPr>
        <w:fldChar w:fldCharType="begin"/>
      </w:r>
      <w:r w:rsidRPr="00820CE4">
        <w:rPr>
          <w:rStyle w:val="CaptionLabel"/>
        </w:rPr>
        <w:instrText xml:space="preserve"> STYLEREF 1 \S \* MERGEFORMAT </w:instrText>
      </w:r>
      <w:r w:rsidRPr="00820CE4">
        <w:rPr>
          <w:rStyle w:val="CaptionLabel"/>
        </w:rPr>
        <w:fldChar w:fldCharType="separate"/>
      </w:r>
      <w:r>
        <w:rPr>
          <w:rStyle w:val="CaptionLabel"/>
          <w:noProof/>
        </w:rPr>
        <w:t>5</w:t>
      </w:r>
      <w:r w:rsidRPr="00820CE4">
        <w:rPr>
          <w:rStyle w:val="CaptionLabel"/>
        </w:rPr>
        <w:fldChar w:fldCharType="end"/>
      </w:r>
      <w:r w:rsidRPr="00820CE4">
        <w:rPr>
          <w:rStyle w:val="CaptionLabel"/>
        </w:rPr>
        <w:t>.</w:t>
      </w:r>
      <w:r w:rsidRPr="00820CE4">
        <w:rPr>
          <w:rStyle w:val="CaptionLabel"/>
        </w:rPr>
        <w:fldChar w:fldCharType="begin"/>
      </w:r>
      <w:r w:rsidRPr="00820CE4">
        <w:rPr>
          <w:rStyle w:val="CaptionLabel"/>
        </w:rPr>
        <w:instrText xml:space="preserve"> SEQ Table \* ARABIC \S 1 \* MERGEFORMAT </w:instrText>
      </w:r>
      <w:r w:rsidRPr="00820CE4">
        <w:rPr>
          <w:rStyle w:val="CaptionLabel"/>
        </w:rPr>
        <w:fldChar w:fldCharType="separate"/>
      </w:r>
      <w:r>
        <w:rPr>
          <w:rStyle w:val="CaptionLabel"/>
          <w:noProof/>
        </w:rPr>
        <w:t>3</w:t>
      </w:r>
      <w:r w:rsidRPr="00820CE4">
        <w:rPr>
          <w:rStyle w:val="CaptionLabel"/>
        </w:rPr>
        <w:fldChar w:fldCharType="end"/>
      </w:r>
      <w:bookmarkEnd w:id="228"/>
      <w:r>
        <w:tab/>
        <w:t>Average tenant household impact – with $800 subsidy to rental providers</w:t>
      </w:r>
      <w:bookmarkEnd w:id="229"/>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3"/>
        <w:tblDescription w:val="Average tenant household impact – with $800 subsidy to rental providers"/>
      </w:tblPr>
      <w:tblGrid>
        <w:gridCol w:w="454"/>
        <w:gridCol w:w="1984"/>
        <w:gridCol w:w="1560"/>
        <w:gridCol w:w="2835"/>
        <w:gridCol w:w="1557"/>
      </w:tblGrid>
      <w:tr w:rsidR="00676882" w14:paraId="3443A442" w14:textId="77777777" w:rsidTr="00DF45FA">
        <w:trPr>
          <w:tblHeader/>
        </w:trPr>
        <w:tc>
          <w:tcPr>
            <w:tcW w:w="2438" w:type="dxa"/>
            <w:gridSpan w:val="2"/>
            <w:tcBorders>
              <w:top w:val="nil"/>
              <w:bottom w:val="nil"/>
            </w:tcBorders>
            <w:shd w:val="clear" w:color="auto" w:fill="140034"/>
            <w:tcMar>
              <w:left w:w="454" w:type="dxa"/>
            </w:tcMar>
          </w:tcPr>
          <w:p w14:paraId="5FDC9ECA" w14:textId="77777777" w:rsidR="00676882" w:rsidRDefault="00676882" w:rsidP="00DF45FA">
            <w:pPr>
              <w:pStyle w:val="Tablecolumnheadings"/>
            </w:pPr>
          </w:p>
        </w:tc>
        <w:tc>
          <w:tcPr>
            <w:tcW w:w="1560" w:type="dxa"/>
            <w:tcBorders>
              <w:top w:val="nil"/>
              <w:bottom w:val="nil"/>
            </w:tcBorders>
            <w:shd w:val="clear" w:color="auto" w:fill="140034"/>
            <w:vAlign w:val="bottom"/>
          </w:tcPr>
          <w:p w14:paraId="2DC49961" w14:textId="77777777" w:rsidR="00676882" w:rsidRDefault="00676882" w:rsidP="00DF45FA">
            <w:pPr>
              <w:pStyle w:val="Tablecolumnheadings"/>
              <w:jc w:val="center"/>
            </w:pPr>
            <w:r w:rsidRPr="00645D18">
              <w:t>With</w:t>
            </w:r>
            <w:r>
              <w:t xml:space="preserve"> </w:t>
            </w:r>
            <w:r w:rsidRPr="00645D18">
              <w:t>no</w:t>
            </w:r>
            <w:r>
              <w:t xml:space="preserve"> </w:t>
            </w:r>
            <w:r w:rsidRPr="00645D18">
              <w:t>cost</w:t>
            </w:r>
            <w:r>
              <w:t xml:space="preserve"> </w:t>
            </w:r>
            <w:r w:rsidRPr="00645D18">
              <w:t>pass-through</w:t>
            </w:r>
            <w:r>
              <w:t xml:space="preserve"> </w:t>
            </w:r>
            <w:r>
              <w:br/>
              <w:t>($ NPV)</w:t>
            </w:r>
          </w:p>
        </w:tc>
        <w:tc>
          <w:tcPr>
            <w:tcW w:w="4392" w:type="dxa"/>
            <w:gridSpan w:val="2"/>
            <w:tcBorders>
              <w:top w:val="nil"/>
              <w:bottom w:val="nil"/>
              <w:right w:val="single" w:sz="6" w:space="0" w:color="140034"/>
            </w:tcBorders>
            <w:shd w:val="clear" w:color="auto" w:fill="140034"/>
            <w:vAlign w:val="bottom"/>
          </w:tcPr>
          <w:p w14:paraId="6A3CEA97" w14:textId="77777777" w:rsidR="00676882" w:rsidRDefault="00676882" w:rsidP="00DF45FA">
            <w:pPr>
              <w:pStyle w:val="Tablecolumnheadings"/>
              <w:jc w:val="center"/>
            </w:pPr>
            <w:r>
              <w:t xml:space="preserve">With full cost pass-through </w:t>
            </w:r>
          </w:p>
          <w:p w14:paraId="3E008037" w14:textId="77777777" w:rsidR="00676882" w:rsidRDefault="00676882" w:rsidP="00DF45FA">
            <w:pPr>
              <w:pStyle w:val="Tablecolumnheadings"/>
              <w:jc w:val="center"/>
            </w:pPr>
            <w:r>
              <w:t>($ NPV)</w:t>
            </w:r>
          </w:p>
        </w:tc>
      </w:tr>
      <w:tr w:rsidR="00676882" w14:paraId="58791CE3" w14:textId="77777777" w:rsidTr="00DF45FA">
        <w:trPr>
          <w:tblHeader/>
        </w:trPr>
        <w:tc>
          <w:tcPr>
            <w:tcW w:w="2438" w:type="dxa"/>
            <w:gridSpan w:val="2"/>
            <w:tcBorders>
              <w:top w:val="nil"/>
              <w:bottom w:val="nil"/>
            </w:tcBorders>
            <w:shd w:val="clear" w:color="auto" w:fill="140034"/>
            <w:tcMar>
              <w:left w:w="454" w:type="dxa"/>
            </w:tcMar>
          </w:tcPr>
          <w:p w14:paraId="22014F7F" w14:textId="77777777" w:rsidR="00676882" w:rsidRDefault="00676882" w:rsidP="00DF45FA">
            <w:pPr>
              <w:pStyle w:val="Tablecolumnheadings"/>
            </w:pPr>
            <w:r>
              <w:t>Scenario</w:t>
            </w:r>
          </w:p>
        </w:tc>
        <w:tc>
          <w:tcPr>
            <w:tcW w:w="1560" w:type="dxa"/>
            <w:tcBorders>
              <w:top w:val="nil"/>
              <w:bottom w:val="nil"/>
            </w:tcBorders>
            <w:shd w:val="clear" w:color="auto" w:fill="140034"/>
            <w:vAlign w:val="bottom"/>
          </w:tcPr>
          <w:p w14:paraId="2753749C" w14:textId="77777777" w:rsidR="00676882" w:rsidRDefault="00676882" w:rsidP="00DF45FA">
            <w:pPr>
              <w:pStyle w:val="Tablecolumnheadings"/>
              <w:jc w:val="center"/>
            </w:pPr>
            <w:r>
              <w:t xml:space="preserve">Tenant benefit </w:t>
            </w:r>
          </w:p>
        </w:tc>
        <w:tc>
          <w:tcPr>
            <w:tcW w:w="2835" w:type="dxa"/>
            <w:tcBorders>
              <w:top w:val="nil"/>
              <w:bottom w:val="nil"/>
            </w:tcBorders>
            <w:shd w:val="clear" w:color="auto" w:fill="140034"/>
            <w:vAlign w:val="bottom"/>
          </w:tcPr>
          <w:p w14:paraId="47AD445C" w14:textId="77777777" w:rsidR="00676882" w:rsidRDefault="00676882" w:rsidP="00DF45FA">
            <w:pPr>
              <w:pStyle w:val="Tablecolumnheadings"/>
              <w:jc w:val="center"/>
            </w:pPr>
            <w:r>
              <w:t>Upgrade costs for private rental providers / increase in rent</w:t>
            </w:r>
          </w:p>
        </w:tc>
        <w:tc>
          <w:tcPr>
            <w:tcW w:w="1557" w:type="dxa"/>
            <w:tcBorders>
              <w:top w:val="nil"/>
              <w:bottom w:val="nil"/>
              <w:right w:val="single" w:sz="6" w:space="0" w:color="140034"/>
            </w:tcBorders>
            <w:shd w:val="clear" w:color="auto" w:fill="140034"/>
            <w:vAlign w:val="bottom"/>
          </w:tcPr>
          <w:p w14:paraId="5D246665" w14:textId="77777777" w:rsidR="00676882" w:rsidRDefault="00676882" w:rsidP="00DF45FA">
            <w:pPr>
              <w:pStyle w:val="Tablecolumnheadings"/>
              <w:jc w:val="center"/>
            </w:pPr>
            <w:r>
              <w:t>Net benefit</w:t>
            </w:r>
          </w:p>
        </w:tc>
      </w:tr>
      <w:tr w:rsidR="00676882" w14:paraId="23749CFE" w14:textId="77777777" w:rsidTr="00DF45FA">
        <w:trPr>
          <w:gridBefore w:val="1"/>
          <w:wBefore w:w="454" w:type="dxa"/>
        </w:trPr>
        <w:tc>
          <w:tcPr>
            <w:tcW w:w="1984" w:type="dxa"/>
            <w:tcBorders>
              <w:top w:val="nil"/>
            </w:tcBorders>
            <w:shd w:val="clear" w:color="auto" w:fill="auto"/>
          </w:tcPr>
          <w:p w14:paraId="39561565" w14:textId="77777777" w:rsidR="00676882" w:rsidRDefault="00676882" w:rsidP="00DF45FA">
            <w:pPr>
              <w:pStyle w:val="Tabletext"/>
            </w:pPr>
            <w:r>
              <w:t xml:space="preserve">a) </w:t>
            </w:r>
            <w:r w:rsidRPr="00723B9E">
              <w:t>Insulation</w:t>
            </w:r>
            <w:r>
              <w:t xml:space="preserve"> </w:t>
            </w:r>
            <w:r w:rsidRPr="00723B9E">
              <w:t>R3</w:t>
            </w:r>
            <w:r>
              <w:t xml:space="preserve"> </w:t>
            </w:r>
            <w:r w:rsidRPr="00723B9E">
              <w:t>- 2</w:t>
            </w:r>
            <w:r>
              <w:t xml:space="preserve"> </w:t>
            </w:r>
            <w:r w:rsidRPr="00723B9E">
              <w:t>year</w:t>
            </w:r>
          </w:p>
        </w:tc>
        <w:tc>
          <w:tcPr>
            <w:tcW w:w="1560" w:type="dxa"/>
            <w:tcBorders>
              <w:top w:val="nil"/>
              <w:right w:val="single" w:sz="4" w:space="0" w:color="auto"/>
            </w:tcBorders>
            <w:shd w:val="clear" w:color="auto" w:fill="auto"/>
          </w:tcPr>
          <w:p w14:paraId="367F90DE" w14:textId="77777777" w:rsidR="00676882" w:rsidRDefault="00676882" w:rsidP="00DF45FA">
            <w:pPr>
              <w:pStyle w:val="Tabletext"/>
              <w:jc w:val="center"/>
            </w:pPr>
            <w:r w:rsidRPr="009D46FD">
              <w:t>$8,914</w:t>
            </w:r>
          </w:p>
        </w:tc>
        <w:tc>
          <w:tcPr>
            <w:tcW w:w="2835" w:type="dxa"/>
            <w:tcBorders>
              <w:top w:val="nil"/>
              <w:left w:val="single" w:sz="4" w:space="0" w:color="auto"/>
            </w:tcBorders>
            <w:shd w:val="clear" w:color="auto" w:fill="DBDBDB" w:themeFill="accent3" w:themeFillTint="66"/>
          </w:tcPr>
          <w:p w14:paraId="56E571EF"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-$1,270</w:t>
            </w:r>
          </w:p>
        </w:tc>
        <w:tc>
          <w:tcPr>
            <w:tcW w:w="1557" w:type="dxa"/>
            <w:tcBorders>
              <w:top w:val="nil"/>
            </w:tcBorders>
            <w:shd w:val="clear" w:color="auto" w:fill="auto"/>
          </w:tcPr>
          <w:p w14:paraId="3B50BD22" w14:textId="77777777" w:rsidR="00676882" w:rsidRDefault="00676882" w:rsidP="00DF45FA">
            <w:pPr>
              <w:pStyle w:val="Tabletext"/>
              <w:jc w:val="center"/>
            </w:pPr>
            <w:r w:rsidRPr="00B71F90">
              <w:t>$7,644</w:t>
            </w:r>
          </w:p>
        </w:tc>
      </w:tr>
      <w:tr w:rsidR="00676882" w14:paraId="082BE320" w14:textId="77777777" w:rsidTr="00DF45FA">
        <w:trPr>
          <w:gridBefore w:val="1"/>
          <w:wBefore w:w="454" w:type="dxa"/>
        </w:trPr>
        <w:tc>
          <w:tcPr>
            <w:tcW w:w="1984" w:type="dxa"/>
            <w:shd w:val="clear" w:color="auto" w:fill="auto"/>
          </w:tcPr>
          <w:p w14:paraId="4BB7755E" w14:textId="77777777" w:rsidR="00676882" w:rsidRDefault="00676882" w:rsidP="00DF45FA">
            <w:pPr>
              <w:pStyle w:val="Tabletext"/>
            </w:pPr>
            <w:r>
              <w:t xml:space="preserve">b) </w:t>
            </w:r>
            <w:r w:rsidRPr="00723B9E">
              <w:t>Insulation</w:t>
            </w:r>
            <w:r>
              <w:t xml:space="preserve"> </w:t>
            </w:r>
            <w:r w:rsidRPr="00723B9E">
              <w:t>R3</w:t>
            </w:r>
            <w:r>
              <w:t xml:space="preserve"> </w:t>
            </w:r>
            <w:r w:rsidRPr="00723B9E">
              <w:t>- 4</w:t>
            </w:r>
            <w:r>
              <w:t xml:space="preserve"> </w:t>
            </w:r>
            <w:r w:rsidRPr="00723B9E">
              <w:t>year</w:t>
            </w:r>
          </w:p>
        </w:tc>
        <w:tc>
          <w:tcPr>
            <w:tcW w:w="1560" w:type="dxa"/>
            <w:tcBorders>
              <w:right w:val="single" w:sz="4" w:space="0" w:color="auto"/>
            </w:tcBorders>
            <w:shd w:val="clear" w:color="auto" w:fill="auto"/>
          </w:tcPr>
          <w:p w14:paraId="581E80B9" w14:textId="77777777" w:rsidR="00676882" w:rsidRDefault="00676882" w:rsidP="00DF45FA">
            <w:pPr>
              <w:pStyle w:val="Tabletext"/>
              <w:jc w:val="center"/>
            </w:pPr>
            <w:r w:rsidRPr="009D46FD">
              <w:t>$8,825</w:t>
            </w:r>
          </w:p>
        </w:tc>
        <w:tc>
          <w:tcPr>
            <w:tcW w:w="2835" w:type="dxa"/>
            <w:tcBorders>
              <w:top w:val="single" w:sz="4" w:space="0" w:color="646464"/>
              <w:left w:val="single" w:sz="4" w:space="0" w:color="auto"/>
            </w:tcBorders>
            <w:shd w:val="clear" w:color="auto" w:fill="DBDBDB" w:themeFill="accent3" w:themeFillTint="66"/>
          </w:tcPr>
          <w:p w14:paraId="253D106D"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-$1,232</w:t>
            </w:r>
          </w:p>
        </w:tc>
        <w:tc>
          <w:tcPr>
            <w:tcW w:w="1557" w:type="dxa"/>
            <w:shd w:val="clear" w:color="auto" w:fill="auto"/>
          </w:tcPr>
          <w:p w14:paraId="32ABE98F" w14:textId="77777777" w:rsidR="00676882" w:rsidRDefault="00676882" w:rsidP="00DF45FA">
            <w:pPr>
              <w:pStyle w:val="Tabletext"/>
              <w:jc w:val="center"/>
            </w:pPr>
            <w:r w:rsidRPr="00B71F90">
              <w:t>$7,593</w:t>
            </w:r>
          </w:p>
        </w:tc>
      </w:tr>
      <w:tr w:rsidR="00676882" w14:paraId="6FAECD14" w14:textId="77777777" w:rsidTr="00DF45FA">
        <w:trPr>
          <w:gridBefore w:val="1"/>
          <w:wBefore w:w="454" w:type="dxa"/>
        </w:trPr>
        <w:tc>
          <w:tcPr>
            <w:tcW w:w="1984" w:type="dxa"/>
            <w:shd w:val="clear" w:color="auto" w:fill="auto"/>
          </w:tcPr>
          <w:p w14:paraId="16B503BE" w14:textId="77777777" w:rsidR="00676882" w:rsidRDefault="00676882" w:rsidP="00DF45FA">
            <w:pPr>
              <w:pStyle w:val="Tabletext"/>
            </w:pPr>
            <w:r>
              <w:t xml:space="preserve">c) </w:t>
            </w:r>
            <w:r w:rsidRPr="00723B9E">
              <w:t>Insulation</w:t>
            </w:r>
            <w:r>
              <w:t xml:space="preserve"> </w:t>
            </w:r>
            <w:r w:rsidRPr="00723B9E">
              <w:t>R5</w:t>
            </w:r>
            <w:r>
              <w:t xml:space="preserve"> </w:t>
            </w:r>
            <w:r w:rsidRPr="00723B9E">
              <w:t>- 2</w:t>
            </w:r>
            <w:r>
              <w:t xml:space="preserve"> </w:t>
            </w:r>
            <w:r w:rsidRPr="00723B9E">
              <w:t>year</w:t>
            </w:r>
          </w:p>
        </w:tc>
        <w:tc>
          <w:tcPr>
            <w:tcW w:w="1560" w:type="dxa"/>
            <w:tcBorders>
              <w:right w:val="single" w:sz="4" w:space="0" w:color="auto"/>
            </w:tcBorders>
            <w:shd w:val="clear" w:color="auto" w:fill="auto"/>
          </w:tcPr>
          <w:p w14:paraId="395D3D95" w14:textId="77777777" w:rsidR="00676882" w:rsidRDefault="00676882" w:rsidP="00DF45FA">
            <w:pPr>
              <w:pStyle w:val="Tabletext"/>
              <w:jc w:val="center"/>
            </w:pPr>
            <w:r w:rsidRPr="009D46FD">
              <w:t>$10,819</w:t>
            </w:r>
          </w:p>
        </w:tc>
        <w:tc>
          <w:tcPr>
            <w:tcW w:w="2835" w:type="dxa"/>
            <w:tcBorders>
              <w:top w:val="single" w:sz="4" w:space="0" w:color="646464"/>
              <w:left w:val="single" w:sz="4" w:space="0" w:color="auto"/>
            </w:tcBorders>
            <w:shd w:val="clear" w:color="auto" w:fill="DBDBDB" w:themeFill="accent3" w:themeFillTint="66"/>
          </w:tcPr>
          <w:p w14:paraId="49104163"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-$1,588</w:t>
            </w:r>
          </w:p>
        </w:tc>
        <w:tc>
          <w:tcPr>
            <w:tcW w:w="1557" w:type="dxa"/>
            <w:shd w:val="clear" w:color="auto" w:fill="auto"/>
          </w:tcPr>
          <w:p w14:paraId="0FA95F04" w14:textId="77777777" w:rsidR="00676882" w:rsidRDefault="00676882" w:rsidP="00DF45FA">
            <w:pPr>
              <w:pStyle w:val="Tabletext"/>
              <w:jc w:val="center"/>
            </w:pPr>
            <w:r w:rsidRPr="00B71F90">
              <w:t>$9,231</w:t>
            </w:r>
          </w:p>
        </w:tc>
      </w:tr>
      <w:tr w:rsidR="00676882" w14:paraId="25810DA4" w14:textId="77777777" w:rsidTr="00DF45FA">
        <w:trPr>
          <w:gridBefore w:val="1"/>
          <w:wBefore w:w="454" w:type="dxa"/>
        </w:trPr>
        <w:tc>
          <w:tcPr>
            <w:tcW w:w="1984" w:type="dxa"/>
            <w:shd w:val="clear" w:color="auto" w:fill="auto"/>
          </w:tcPr>
          <w:p w14:paraId="1FFE740D" w14:textId="77777777" w:rsidR="00676882" w:rsidRDefault="00676882" w:rsidP="00DF45FA">
            <w:pPr>
              <w:pStyle w:val="Tabletext"/>
            </w:pPr>
            <w:r>
              <w:t xml:space="preserve">d) </w:t>
            </w:r>
            <w:r w:rsidRPr="00723B9E">
              <w:t>Insulation</w:t>
            </w:r>
            <w:r>
              <w:t xml:space="preserve"> </w:t>
            </w:r>
            <w:r w:rsidRPr="00723B9E">
              <w:t>R5</w:t>
            </w:r>
            <w:r>
              <w:t xml:space="preserve"> </w:t>
            </w:r>
            <w:r w:rsidRPr="00723B9E">
              <w:t>- 4</w:t>
            </w:r>
            <w:r>
              <w:t xml:space="preserve"> </w:t>
            </w:r>
            <w:r w:rsidRPr="00723B9E">
              <w:t>year</w:t>
            </w:r>
          </w:p>
        </w:tc>
        <w:tc>
          <w:tcPr>
            <w:tcW w:w="1560" w:type="dxa"/>
            <w:tcBorders>
              <w:right w:val="single" w:sz="4" w:space="0" w:color="auto"/>
            </w:tcBorders>
            <w:shd w:val="clear" w:color="auto" w:fill="auto"/>
          </w:tcPr>
          <w:p w14:paraId="7FB6CCE4" w14:textId="77777777" w:rsidR="00676882" w:rsidRDefault="00676882" w:rsidP="00DF45FA">
            <w:pPr>
              <w:pStyle w:val="Tabletext"/>
              <w:jc w:val="center"/>
            </w:pPr>
            <w:r w:rsidRPr="009D46FD">
              <w:t>$10,712</w:t>
            </w:r>
          </w:p>
        </w:tc>
        <w:tc>
          <w:tcPr>
            <w:tcW w:w="2835" w:type="dxa"/>
            <w:tcBorders>
              <w:top w:val="single" w:sz="4" w:space="0" w:color="646464"/>
              <w:left w:val="single" w:sz="4" w:space="0" w:color="auto"/>
            </w:tcBorders>
            <w:shd w:val="clear" w:color="auto" w:fill="DBDBDB" w:themeFill="accent3" w:themeFillTint="66"/>
          </w:tcPr>
          <w:p w14:paraId="22DF538C"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-$1,549</w:t>
            </w:r>
          </w:p>
        </w:tc>
        <w:tc>
          <w:tcPr>
            <w:tcW w:w="1557" w:type="dxa"/>
            <w:shd w:val="clear" w:color="auto" w:fill="auto"/>
          </w:tcPr>
          <w:p w14:paraId="6C94DA21" w14:textId="77777777" w:rsidR="00676882" w:rsidRDefault="00676882" w:rsidP="00DF45FA">
            <w:pPr>
              <w:pStyle w:val="Tabletext"/>
              <w:jc w:val="center"/>
            </w:pPr>
            <w:r w:rsidRPr="00B71F90">
              <w:t>$9,163</w:t>
            </w:r>
          </w:p>
        </w:tc>
      </w:tr>
      <w:tr w:rsidR="00676882" w14:paraId="63D45623" w14:textId="77777777" w:rsidTr="00DF45FA">
        <w:trPr>
          <w:gridBefore w:val="1"/>
          <w:wBefore w:w="454" w:type="dxa"/>
        </w:trPr>
        <w:tc>
          <w:tcPr>
            <w:tcW w:w="1984" w:type="dxa"/>
            <w:shd w:val="clear" w:color="auto" w:fill="auto"/>
          </w:tcPr>
          <w:p w14:paraId="62F5048C" w14:textId="77777777" w:rsidR="00676882" w:rsidRDefault="00676882" w:rsidP="00DF45FA">
            <w:pPr>
              <w:pStyle w:val="Tabletext"/>
            </w:pPr>
            <w:r>
              <w:t xml:space="preserve">e) </w:t>
            </w:r>
            <w:r w:rsidRPr="00723B9E">
              <w:t>Heater</w:t>
            </w:r>
            <w:r>
              <w:t xml:space="preserve"> </w:t>
            </w:r>
            <w:r w:rsidRPr="00723B9E">
              <w:t>- 2</w:t>
            </w:r>
            <w:r>
              <w:t xml:space="preserve"> </w:t>
            </w:r>
            <w:r w:rsidRPr="00723B9E">
              <w:t>year</w:t>
            </w:r>
          </w:p>
        </w:tc>
        <w:tc>
          <w:tcPr>
            <w:tcW w:w="1560" w:type="dxa"/>
            <w:tcBorders>
              <w:right w:val="single" w:sz="4" w:space="0" w:color="auto"/>
            </w:tcBorders>
            <w:shd w:val="clear" w:color="auto" w:fill="auto"/>
          </w:tcPr>
          <w:p w14:paraId="6CBC62FF" w14:textId="77777777" w:rsidR="00676882" w:rsidRDefault="00676882" w:rsidP="00DF45FA">
            <w:pPr>
              <w:pStyle w:val="Tabletext"/>
              <w:jc w:val="center"/>
            </w:pPr>
            <w:r w:rsidRPr="009D46FD">
              <w:t>$8,162</w:t>
            </w:r>
          </w:p>
        </w:tc>
        <w:tc>
          <w:tcPr>
            <w:tcW w:w="2835" w:type="dxa"/>
            <w:tcBorders>
              <w:top w:val="single" w:sz="4" w:space="0" w:color="646464"/>
              <w:left w:val="single" w:sz="4" w:space="0" w:color="auto"/>
            </w:tcBorders>
            <w:shd w:val="clear" w:color="auto" w:fill="DBDBDB" w:themeFill="accent3" w:themeFillTint="66"/>
          </w:tcPr>
          <w:p w14:paraId="122EBF4F"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-$2,389</w:t>
            </w:r>
          </w:p>
        </w:tc>
        <w:tc>
          <w:tcPr>
            <w:tcW w:w="1557" w:type="dxa"/>
            <w:shd w:val="clear" w:color="auto" w:fill="auto"/>
          </w:tcPr>
          <w:p w14:paraId="266DF81E" w14:textId="77777777" w:rsidR="00676882" w:rsidRDefault="00676882" w:rsidP="00DF45FA">
            <w:pPr>
              <w:pStyle w:val="Tabletext"/>
              <w:jc w:val="center"/>
            </w:pPr>
            <w:r w:rsidRPr="00B71F90">
              <w:t>$5,773</w:t>
            </w:r>
          </w:p>
        </w:tc>
      </w:tr>
      <w:tr w:rsidR="00676882" w14:paraId="037D3824" w14:textId="77777777" w:rsidTr="00DF45FA">
        <w:trPr>
          <w:gridBefore w:val="1"/>
          <w:wBefore w:w="454" w:type="dxa"/>
        </w:trPr>
        <w:tc>
          <w:tcPr>
            <w:tcW w:w="1984" w:type="dxa"/>
            <w:shd w:val="clear" w:color="auto" w:fill="auto"/>
          </w:tcPr>
          <w:p w14:paraId="63F9623E" w14:textId="77777777" w:rsidR="00676882" w:rsidRDefault="00676882" w:rsidP="00DF45FA">
            <w:pPr>
              <w:pStyle w:val="Tabletext"/>
            </w:pPr>
            <w:r>
              <w:t xml:space="preserve">f) </w:t>
            </w:r>
            <w:r w:rsidRPr="00723B9E">
              <w:t>Heater</w:t>
            </w:r>
            <w:r>
              <w:t xml:space="preserve"> </w:t>
            </w:r>
            <w:r w:rsidRPr="00723B9E">
              <w:t>- 4</w:t>
            </w:r>
            <w:r>
              <w:t xml:space="preserve"> </w:t>
            </w:r>
            <w:r w:rsidRPr="00723B9E">
              <w:t>year</w:t>
            </w:r>
          </w:p>
        </w:tc>
        <w:tc>
          <w:tcPr>
            <w:tcW w:w="1560" w:type="dxa"/>
            <w:tcBorders>
              <w:right w:val="single" w:sz="4" w:space="0" w:color="auto"/>
            </w:tcBorders>
            <w:shd w:val="clear" w:color="auto" w:fill="auto"/>
          </w:tcPr>
          <w:p w14:paraId="713AC315" w14:textId="77777777" w:rsidR="00676882" w:rsidRDefault="00676882" w:rsidP="00DF45FA">
            <w:pPr>
              <w:pStyle w:val="Tabletext"/>
              <w:jc w:val="center"/>
            </w:pPr>
            <w:r w:rsidRPr="009D46FD">
              <w:t>$8,042</w:t>
            </w:r>
          </w:p>
        </w:tc>
        <w:tc>
          <w:tcPr>
            <w:tcW w:w="2835" w:type="dxa"/>
            <w:tcBorders>
              <w:top w:val="single" w:sz="4" w:space="0" w:color="646464"/>
              <w:left w:val="single" w:sz="4" w:space="0" w:color="auto"/>
            </w:tcBorders>
            <w:shd w:val="clear" w:color="auto" w:fill="DBDBDB" w:themeFill="accent3" w:themeFillTint="66"/>
          </w:tcPr>
          <w:p w14:paraId="765ADF4E"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-$2,374</w:t>
            </w:r>
          </w:p>
        </w:tc>
        <w:tc>
          <w:tcPr>
            <w:tcW w:w="1557" w:type="dxa"/>
            <w:shd w:val="clear" w:color="auto" w:fill="auto"/>
          </w:tcPr>
          <w:p w14:paraId="1735BC15" w14:textId="77777777" w:rsidR="00676882" w:rsidRDefault="00676882" w:rsidP="00DF45FA">
            <w:pPr>
              <w:pStyle w:val="Tabletext"/>
              <w:jc w:val="center"/>
            </w:pPr>
            <w:r w:rsidRPr="00B71F90">
              <w:t>$5,668</w:t>
            </w:r>
          </w:p>
        </w:tc>
      </w:tr>
      <w:tr w:rsidR="00676882" w14:paraId="568DEF20" w14:textId="77777777" w:rsidTr="00DF45FA">
        <w:trPr>
          <w:gridBefore w:val="1"/>
          <w:wBefore w:w="454" w:type="dxa"/>
        </w:trPr>
        <w:tc>
          <w:tcPr>
            <w:tcW w:w="1984" w:type="dxa"/>
            <w:shd w:val="clear" w:color="auto" w:fill="auto"/>
          </w:tcPr>
          <w:p w14:paraId="75DF6DA1" w14:textId="77777777" w:rsidR="00676882" w:rsidRDefault="00676882" w:rsidP="00DF45FA">
            <w:pPr>
              <w:pStyle w:val="Tabletext"/>
            </w:pPr>
            <w:r>
              <w:t xml:space="preserve">g) </w:t>
            </w:r>
            <w:r w:rsidRPr="00723B9E">
              <w:t>Performance</w:t>
            </w:r>
            <w:r>
              <w:t xml:space="preserve"> </w:t>
            </w:r>
            <w:r w:rsidRPr="00723B9E">
              <w:t>2</w:t>
            </w:r>
            <w:r>
              <w:t xml:space="preserve"> star </w:t>
            </w:r>
            <w:r w:rsidRPr="00723B9E">
              <w:t>- 2</w:t>
            </w:r>
            <w:r>
              <w:t xml:space="preserve"> </w:t>
            </w:r>
            <w:r w:rsidRPr="00723B9E">
              <w:t>year</w:t>
            </w:r>
          </w:p>
        </w:tc>
        <w:tc>
          <w:tcPr>
            <w:tcW w:w="1560" w:type="dxa"/>
            <w:tcBorders>
              <w:right w:val="single" w:sz="4" w:space="0" w:color="auto"/>
            </w:tcBorders>
            <w:shd w:val="clear" w:color="auto" w:fill="auto"/>
          </w:tcPr>
          <w:p w14:paraId="177DAE4E" w14:textId="77777777" w:rsidR="00676882" w:rsidRDefault="00676882" w:rsidP="00DF45FA">
            <w:pPr>
              <w:pStyle w:val="Tabletext"/>
              <w:jc w:val="center"/>
            </w:pPr>
            <w:r w:rsidRPr="009D46FD">
              <w:t>$10,566</w:t>
            </w:r>
          </w:p>
        </w:tc>
        <w:tc>
          <w:tcPr>
            <w:tcW w:w="2835" w:type="dxa"/>
            <w:tcBorders>
              <w:top w:val="single" w:sz="4" w:space="0" w:color="646464"/>
              <w:left w:val="single" w:sz="4" w:space="0" w:color="auto"/>
            </w:tcBorders>
            <w:shd w:val="clear" w:color="auto" w:fill="DBDBDB" w:themeFill="accent3" w:themeFillTint="66"/>
          </w:tcPr>
          <w:p w14:paraId="4B94A0B4"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-$3,850</w:t>
            </w:r>
          </w:p>
        </w:tc>
        <w:tc>
          <w:tcPr>
            <w:tcW w:w="1557" w:type="dxa"/>
            <w:shd w:val="clear" w:color="auto" w:fill="auto"/>
          </w:tcPr>
          <w:p w14:paraId="1FE60657" w14:textId="77777777" w:rsidR="00676882" w:rsidRDefault="00676882" w:rsidP="00DF45FA">
            <w:pPr>
              <w:pStyle w:val="Tabletext"/>
              <w:jc w:val="center"/>
            </w:pPr>
            <w:r w:rsidRPr="00B71F90">
              <w:t>$6,716</w:t>
            </w:r>
          </w:p>
        </w:tc>
      </w:tr>
      <w:tr w:rsidR="00676882" w14:paraId="1A3A2065" w14:textId="77777777" w:rsidTr="00DF45FA">
        <w:trPr>
          <w:gridBefore w:val="1"/>
          <w:wBefore w:w="454" w:type="dxa"/>
        </w:trPr>
        <w:tc>
          <w:tcPr>
            <w:tcW w:w="1984" w:type="dxa"/>
            <w:shd w:val="clear" w:color="auto" w:fill="auto"/>
          </w:tcPr>
          <w:p w14:paraId="1E1B8F52" w14:textId="77777777" w:rsidR="00676882" w:rsidRDefault="00676882" w:rsidP="00DF45FA">
            <w:pPr>
              <w:pStyle w:val="Tabletext"/>
            </w:pPr>
            <w:r>
              <w:t xml:space="preserve">h) </w:t>
            </w:r>
            <w:r w:rsidRPr="00723B9E">
              <w:t>Performance</w:t>
            </w:r>
            <w:r>
              <w:t xml:space="preserve"> </w:t>
            </w:r>
            <w:r w:rsidRPr="00723B9E">
              <w:t>2</w:t>
            </w:r>
            <w:r>
              <w:t xml:space="preserve"> star </w:t>
            </w:r>
            <w:r w:rsidRPr="00723B9E">
              <w:t>- 4</w:t>
            </w:r>
            <w:r>
              <w:t xml:space="preserve"> </w:t>
            </w:r>
            <w:r w:rsidRPr="00723B9E">
              <w:t>year</w:t>
            </w:r>
          </w:p>
        </w:tc>
        <w:tc>
          <w:tcPr>
            <w:tcW w:w="1560" w:type="dxa"/>
            <w:tcBorders>
              <w:right w:val="single" w:sz="4" w:space="0" w:color="auto"/>
            </w:tcBorders>
            <w:shd w:val="clear" w:color="auto" w:fill="auto"/>
          </w:tcPr>
          <w:p w14:paraId="2255F776" w14:textId="77777777" w:rsidR="00676882" w:rsidRDefault="00676882" w:rsidP="00DF45FA">
            <w:pPr>
              <w:pStyle w:val="Tabletext"/>
              <w:jc w:val="center"/>
            </w:pPr>
            <w:r w:rsidRPr="009D46FD">
              <w:t>$10,612</w:t>
            </w:r>
          </w:p>
        </w:tc>
        <w:tc>
          <w:tcPr>
            <w:tcW w:w="2835" w:type="dxa"/>
            <w:tcBorders>
              <w:top w:val="single" w:sz="4" w:space="0" w:color="646464"/>
              <w:left w:val="single" w:sz="4" w:space="0" w:color="auto"/>
            </w:tcBorders>
            <w:shd w:val="clear" w:color="auto" w:fill="DBDBDB" w:themeFill="accent3" w:themeFillTint="66"/>
          </w:tcPr>
          <w:p w14:paraId="570325F5"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-$3,835</w:t>
            </w:r>
          </w:p>
        </w:tc>
        <w:tc>
          <w:tcPr>
            <w:tcW w:w="1557" w:type="dxa"/>
            <w:shd w:val="clear" w:color="auto" w:fill="auto"/>
          </w:tcPr>
          <w:p w14:paraId="2ED41BC5" w14:textId="77777777" w:rsidR="00676882" w:rsidRDefault="00676882" w:rsidP="00DF45FA">
            <w:pPr>
              <w:pStyle w:val="Tabletext"/>
              <w:jc w:val="center"/>
            </w:pPr>
            <w:r w:rsidRPr="00B71F90">
              <w:t>$6,777</w:t>
            </w:r>
          </w:p>
        </w:tc>
      </w:tr>
      <w:tr w:rsidR="00676882" w14:paraId="6F4D4BA6" w14:textId="77777777" w:rsidTr="00DF45FA">
        <w:trPr>
          <w:gridBefore w:val="1"/>
          <w:wBefore w:w="454" w:type="dxa"/>
        </w:trPr>
        <w:tc>
          <w:tcPr>
            <w:tcW w:w="1984" w:type="dxa"/>
            <w:shd w:val="clear" w:color="auto" w:fill="auto"/>
          </w:tcPr>
          <w:p w14:paraId="42F995A3" w14:textId="77777777" w:rsidR="00676882" w:rsidRDefault="00676882" w:rsidP="00DF45FA">
            <w:pPr>
              <w:pStyle w:val="Tabletext"/>
            </w:pPr>
            <w:r>
              <w:t xml:space="preserve">i) </w:t>
            </w:r>
            <w:r w:rsidRPr="00723B9E">
              <w:t>Performance</w:t>
            </w:r>
            <w:r>
              <w:t xml:space="preserve"> </w:t>
            </w:r>
            <w:r w:rsidRPr="00723B9E">
              <w:t>3</w:t>
            </w:r>
            <w:r>
              <w:t xml:space="preserve"> star </w:t>
            </w:r>
            <w:r w:rsidRPr="00723B9E">
              <w:t>- 2</w:t>
            </w:r>
            <w:r>
              <w:t xml:space="preserve"> </w:t>
            </w:r>
            <w:r w:rsidRPr="00723B9E">
              <w:t>year</w:t>
            </w:r>
          </w:p>
        </w:tc>
        <w:tc>
          <w:tcPr>
            <w:tcW w:w="1560" w:type="dxa"/>
            <w:tcBorders>
              <w:right w:val="single" w:sz="4" w:space="0" w:color="auto"/>
            </w:tcBorders>
            <w:shd w:val="clear" w:color="auto" w:fill="auto"/>
          </w:tcPr>
          <w:p w14:paraId="7BEE6AF9" w14:textId="77777777" w:rsidR="00676882" w:rsidRDefault="00676882" w:rsidP="00DF45FA">
            <w:pPr>
              <w:pStyle w:val="Tabletext"/>
              <w:jc w:val="center"/>
            </w:pPr>
            <w:r w:rsidRPr="009D46FD">
              <w:t>$13,813</w:t>
            </w:r>
          </w:p>
        </w:tc>
        <w:tc>
          <w:tcPr>
            <w:tcW w:w="2835" w:type="dxa"/>
            <w:tcBorders>
              <w:top w:val="single" w:sz="4" w:space="0" w:color="646464"/>
              <w:left w:val="single" w:sz="4" w:space="0" w:color="auto"/>
            </w:tcBorders>
            <w:shd w:val="clear" w:color="auto" w:fill="DBDBDB" w:themeFill="accent3" w:themeFillTint="66"/>
          </w:tcPr>
          <w:p w14:paraId="048ACDB8"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-$6,731</w:t>
            </w:r>
          </w:p>
        </w:tc>
        <w:tc>
          <w:tcPr>
            <w:tcW w:w="1557" w:type="dxa"/>
            <w:shd w:val="clear" w:color="auto" w:fill="auto"/>
          </w:tcPr>
          <w:p w14:paraId="5C02B7AD" w14:textId="77777777" w:rsidR="00676882" w:rsidRDefault="00676882" w:rsidP="00DF45FA">
            <w:pPr>
              <w:pStyle w:val="Tabletext"/>
              <w:jc w:val="center"/>
            </w:pPr>
            <w:r w:rsidRPr="00B71F90">
              <w:t>$7,082</w:t>
            </w:r>
          </w:p>
        </w:tc>
      </w:tr>
      <w:tr w:rsidR="00676882" w14:paraId="1A31D785" w14:textId="77777777" w:rsidTr="00DF45FA">
        <w:trPr>
          <w:gridBefore w:val="1"/>
          <w:wBefore w:w="454" w:type="dxa"/>
        </w:trPr>
        <w:tc>
          <w:tcPr>
            <w:tcW w:w="1984" w:type="dxa"/>
            <w:shd w:val="clear" w:color="auto" w:fill="auto"/>
          </w:tcPr>
          <w:p w14:paraId="035C1D6A" w14:textId="77777777" w:rsidR="00676882" w:rsidRDefault="00676882" w:rsidP="00DF45FA">
            <w:pPr>
              <w:pStyle w:val="Tabletext"/>
            </w:pPr>
            <w:r>
              <w:t xml:space="preserve">j) </w:t>
            </w:r>
            <w:r w:rsidRPr="00723B9E">
              <w:t>Performance</w:t>
            </w:r>
            <w:r>
              <w:t xml:space="preserve"> </w:t>
            </w:r>
            <w:r w:rsidRPr="00723B9E">
              <w:t>3</w:t>
            </w:r>
            <w:r>
              <w:t xml:space="preserve"> star </w:t>
            </w:r>
            <w:r w:rsidRPr="00723B9E">
              <w:t>- 4</w:t>
            </w:r>
            <w:r>
              <w:t xml:space="preserve"> </w:t>
            </w:r>
            <w:r w:rsidRPr="00723B9E">
              <w:t>year</w:t>
            </w:r>
          </w:p>
        </w:tc>
        <w:tc>
          <w:tcPr>
            <w:tcW w:w="1560" w:type="dxa"/>
            <w:tcBorders>
              <w:right w:val="single" w:sz="4" w:space="0" w:color="auto"/>
            </w:tcBorders>
            <w:shd w:val="clear" w:color="auto" w:fill="auto"/>
          </w:tcPr>
          <w:p w14:paraId="7FE11397" w14:textId="77777777" w:rsidR="00676882" w:rsidRDefault="00676882" w:rsidP="00DF45FA">
            <w:pPr>
              <w:pStyle w:val="Tabletext"/>
              <w:jc w:val="center"/>
            </w:pPr>
            <w:r w:rsidRPr="009D46FD">
              <w:t>$13,900</w:t>
            </w:r>
          </w:p>
        </w:tc>
        <w:tc>
          <w:tcPr>
            <w:tcW w:w="2835" w:type="dxa"/>
            <w:tcBorders>
              <w:top w:val="single" w:sz="4" w:space="0" w:color="646464"/>
              <w:left w:val="single" w:sz="4" w:space="0" w:color="auto"/>
            </w:tcBorders>
            <w:shd w:val="clear" w:color="auto" w:fill="DBDBDB" w:themeFill="accent3" w:themeFillTint="66"/>
          </w:tcPr>
          <w:p w14:paraId="78B98EE0" w14:textId="77777777" w:rsidR="00676882" w:rsidRPr="003012B7" w:rsidRDefault="00676882" w:rsidP="00DF45FA">
            <w:pPr>
              <w:pStyle w:val="Tabletext"/>
              <w:jc w:val="center"/>
              <w:rPr>
                <w:color w:val="C00000"/>
                <w14:shadow w14:blurRad="50800" w14:dist="50800" w14:dir="5400000" w14:sx="0" w14:sy="0" w14:kx="0" w14:ky="0" w14:algn="ctr">
                  <w14:schemeClr w14:val="accent3">
                    <w14:lumMod w14:val="40000"/>
                    <w14:lumOff w14:val="60000"/>
                  </w14:schemeClr>
                </w14:shadow>
              </w:rPr>
            </w:pPr>
            <w:r w:rsidRPr="006B0263">
              <w:rPr>
                <w:color w:val="C00000"/>
              </w:rPr>
              <w:t>-$6,706</w:t>
            </w:r>
          </w:p>
        </w:tc>
        <w:tc>
          <w:tcPr>
            <w:tcW w:w="1557" w:type="dxa"/>
            <w:shd w:val="clear" w:color="auto" w:fill="auto"/>
          </w:tcPr>
          <w:p w14:paraId="01AB0D82" w14:textId="77777777" w:rsidR="00676882" w:rsidRDefault="00676882" w:rsidP="00DF45FA">
            <w:pPr>
              <w:pStyle w:val="Tabletext"/>
              <w:jc w:val="center"/>
            </w:pPr>
            <w:r w:rsidRPr="00B71F90">
              <w:t>$7,194</w:t>
            </w:r>
          </w:p>
        </w:tc>
      </w:tr>
      <w:tr w:rsidR="00676882" w14:paraId="6E872961" w14:textId="77777777" w:rsidTr="00DF45FA">
        <w:trPr>
          <w:gridBefore w:val="1"/>
          <w:wBefore w:w="454" w:type="dxa"/>
        </w:trPr>
        <w:tc>
          <w:tcPr>
            <w:tcW w:w="7936" w:type="dxa"/>
            <w:gridSpan w:val="4"/>
            <w:tcBorders>
              <w:bottom w:val="single" w:sz="4" w:space="0" w:color="646464"/>
            </w:tcBorders>
            <w:shd w:val="clear" w:color="auto" w:fill="auto"/>
          </w:tcPr>
          <w:p w14:paraId="0525D201" w14:textId="77777777" w:rsidR="00676882" w:rsidRDefault="00676882" w:rsidP="00DF45FA">
            <w:pPr>
              <w:pStyle w:val="Note"/>
            </w:pPr>
            <w:r>
              <w:t xml:space="preserve">Note: The values in the tables are the net present value at a 3 per cent discount rate. The results are averaged over all households. </w:t>
            </w:r>
          </w:p>
          <w:p w14:paraId="16F61BD3" w14:textId="77777777" w:rsidR="00676882" w:rsidRDefault="00676882" w:rsidP="00DF45FA">
            <w:pPr>
              <w:pStyle w:val="Note"/>
            </w:pPr>
            <w:r>
              <w:t xml:space="preserve">Note: Individual upgrade costs will vary significantly between rental properties. Further, Class 2 properties are generally significantly cheaper than Class 1 properties. More details on data and assumptions regarding upgrade costs are available in Appendix </w:t>
            </w:r>
            <w:r w:rsidRPr="009E4AB1">
              <w:fldChar w:fldCharType="begin"/>
            </w:r>
            <w:r w:rsidRPr="009E4AB1">
              <w:instrText xml:space="preserve"> REF _Ref75766708 \r \h  \* MERGEFORMAT </w:instrText>
            </w:r>
            <w:r w:rsidRPr="009E4AB1">
              <w:fldChar w:fldCharType="separate"/>
            </w:r>
            <w:r>
              <w:t>B</w:t>
            </w:r>
            <w:r w:rsidRPr="009E4AB1">
              <w:fldChar w:fldCharType="end"/>
            </w:r>
            <w:r>
              <w:t>.</w:t>
            </w:r>
          </w:p>
          <w:p w14:paraId="7A962E9D" w14:textId="77777777" w:rsidR="00676882" w:rsidRDefault="00676882" w:rsidP="00DF45FA">
            <w:pPr>
              <w:pStyle w:val="Source"/>
            </w:pPr>
            <w:r>
              <w:t>Source: ACIL Allen</w:t>
            </w:r>
          </w:p>
        </w:tc>
      </w:tr>
      <w:tr w:rsidR="00676882" w14:paraId="30DECD8F"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524B6141" w14:textId="77777777" w:rsidR="00676882" w:rsidRDefault="00676882" w:rsidP="00DF45FA">
            <w:pPr>
              <w:pStyle w:val="spacer"/>
            </w:pPr>
          </w:p>
        </w:tc>
      </w:tr>
    </w:tbl>
    <w:p w14:paraId="6E80C3B5" w14:textId="77777777" w:rsidR="00676882" w:rsidRDefault="00676882" w:rsidP="00676882">
      <w:pPr>
        <w:pStyle w:val="Heading4"/>
      </w:pPr>
      <w:bookmarkStart w:id="230" w:name="_Ref75897881"/>
      <w:r>
        <w:t>Impacts on private rental providers and the rental market</w:t>
      </w:r>
      <w:bookmarkEnd w:id="230"/>
    </w:p>
    <w:p w14:paraId="5CE0F202" w14:textId="77777777" w:rsidR="00676882" w:rsidRDefault="00676882" w:rsidP="00676882">
      <w:pPr>
        <w:pStyle w:val="BodyText"/>
      </w:pPr>
      <w:r>
        <w:t xml:space="preserve">Impacts on rental providers are a function of the capital costs of the upgrades, the increased maintenance costs associated with the upgrades (where applicable), the tax benefits, and the proportion of the net costs that can be passed through to tenants in the form of increased rents. Accordingly, the same investment in ceiling insulation will have different impacts on two different rental providers. The total impacts on rental providers with and without cost pass-through are given in </w:t>
      </w:r>
      <w:r w:rsidRPr="009E4AB1">
        <w:fldChar w:fldCharType="begin"/>
      </w:r>
      <w:r w:rsidRPr="009E4AB1">
        <w:instrText xml:space="preserve"> REF _Ref80451983 \h  \* MERGEFORMAT </w:instrText>
      </w:r>
      <w:r w:rsidRPr="009E4AB1">
        <w:fldChar w:fldCharType="separate"/>
      </w:r>
      <w:r w:rsidRPr="00F32FCC">
        <w:t>Figure 5.13</w:t>
      </w:r>
      <w:r w:rsidRPr="009E4AB1">
        <w:fldChar w:fldCharType="end"/>
      </w:r>
      <w:r>
        <w:t>. This includes the upgrade costs to rental providers, with and without cost pass-through.</w:t>
      </w:r>
    </w:p>
    <w:p w14:paraId="3CB12F49" w14:textId="77777777" w:rsidR="00676882" w:rsidRPr="000B1F27" w:rsidRDefault="00676882" w:rsidP="00676882">
      <w:pPr>
        <w:pStyle w:val="BodyText"/>
        <w:rPr>
          <w:rFonts w:ascii="Calibri" w:hAnsi="Calibri" w:cs="Calibri"/>
        </w:rPr>
      </w:pPr>
      <w:r>
        <w:t xml:space="preserve">Given the extremely low vacancy rates — about 0.9 per cent, the lowest of any capital city — the ACT rental market is a ‘sellers’ market’ where rental providers have stronger negotiating positions. Accordingly, the degree of cost pass-through will be predominantly governed by the response from rental providers. </w:t>
      </w:r>
    </w:p>
    <w:p w14:paraId="746FE752" w14:textId="77777777" w:rsidR="00676882" w:rsidRDefault="00676882" w:rsidP="00676882">
      <w:pPr>
        <w:pStyle w:val="Heading5"/>
      </w:pPr>
      <w:r>
        <w:lastRenderedPageBreak/>
        <w:t>Impacts on rental returns</w:t>
      </w:r>
    </w:p>
    <w:p w14:paraId="040A32E6" w14:textId="77777777" w:rsidR="00676882" w:rsidRDefault="00676882" w:rsidP="00676882">
      <w:bookmarkStart w:id="231" w:name="_Hlk75983182"/>
      <w:bookmarkStart w:id="232" w:name="_Hlk75983163"/>
      <w:r>
        <w:t xml:space="preserve">The impacts on rental returns for a Class 1 (house or townhouse) and Class 2 (unit or apartment) for median rent and median house prices are given in </w:t>
      </w:r>
      <w:r w:rsidRPr="009E4AB1">
        <w:rPr>
          <w:highlight w:val="yellow"/>
        </w:rPr>
        <w:fldChar w:fldCharType="begin"/>
      </w:r>
      <w:r w:rsidRPr="009E4AB1">
        <w:instrText xml:space="preserve"> REF _Ref75897024 \h  \* MERGEFORMAT </w:instrText>
      </w:r>
      <w:r w:rsidRPr="009E4AB1">
        <w:rPr>
          <w:highlight w:val="yellow"/>
        </w:rPr>
      </w:r>
      <w:r w:rsidRPr="009E4AB1">
        <w:rPr>
          <w:highlight w:val="yellow"/>
        </w:rPr>
        <w:fldChar w:fldCharType="separate"/>
      </w:r>
      <w:r w:rsidRPr="00F32FCC">
        <w:t>Table 5.4</w:t>
      </w:r>
      <w:r w:rsidRPr="009E4AB1">
        <w:rPr>
          <w:highlight w:val="yellow"/>
        </w:rPr>
        <w:fldChar w:fldCharType="end"/>
      </w:r>
      <w:r>
        <w:t xml:space="preserve"> and </w:t>
      </w:r>
      <w:r w:rsidRPr="009E4AB1">
        <w:fldChar w:fldCharType="begin"/>
      </w:r>
      <w:r w:rsidRPr="009E4AB1">
        <w:instrText xml:space="preserve"> REF _Ref80451292 \h  \* MERGEFORMAT </w:instrText>
      </w:r>
      <w:r w:rsidRPr="009E4AB1">
        <w:fldChar w:fldCharType="separate"/>
      </w:r>
      <w:r w:rsidRPr="00F32FCC">
        <w:t>Table 5.5</w:t>
      </w:r>
      <w:r w:rsidRPr="009E4AB1">
        <w:fldChar w:fldCharType="end"/>
      </w:r>
      <w:r>
        <w:t xml:space="preserve">. The analysis provides a general picture of the scale of the impact on rental returns for a general property. The results assume no cost pass-through. </w:t>
      </w:r>
      <w:r w:rsidRPr="00B846A9">
        <w:t>They</w:t>
      </w:r>
      <w:r>
        <w:t xml:space="preserve"> </w:t>
      </w:r>
      <w:r w:rsidRPr="00B846A9">
        <w:t>assessed</w:t>
      </w:r>
      <w:r>
        <w:t xml:space="preserve"> </w:t>
      </w:r>
      <w:r w:rsidRPr="00B846A9">
        <w:t>the</w:t>
      </w:r>
      <w:r>
        <w:t xml:space="preserve"> </w:t>
      </w:r>
      <w:r w:rsidRPr="00B846A9">
        <w:t>impact</w:t>
      </w:r>
      <w:r>
        <w:t xml:space="preserve"> </w:t>
      </w:r>
      <w:r w:rsidRPr="00B846A9">
        <w:t>of</w:t>
      </w:r>
      <w:r>
        <w:t xml:space="preserve"> the insulation standard </w:t>
      </w:r>
      <w:r w:rsidRPr="00B846A9">
        <w:t>on</w:t>
      </w:r>
      <w:r>
        <w:t xml:space="preserve"> </w:t>
      </w:r>
      <w:r w:rsidRPr="00B846A9">
        <w:t>rental</w:t>
      </w:r>
      <w:r>
        <w:t xml:space="preserve"> properties </w:t>
      </w:r>
      <w:r w:rsidRPr="00B846A9">
        <w:t>to</w:t>
      </w:r>
      <w:r>
        <w:t xml:space="preserve"> </w:t>
      </w:r>
      <w:r w:rsidRPr="00B846A9">
        <w:t>be</w:t>
      </w:r>
      <w:r>
        <w:t xml:space="preserve"> </w:t>
      </w:r>
      <w:r w:rsidRPr="00B846A9">
        <w:t>in</w:t>
      </w:r>
      <w:r>
        <w:t xml:space="preserve"> </w:t>
      </w:r>
      <w:r w:rsidRPr="00B846A9">
        <w:t>the</w:t>
      </w:r>
      <w:r>
        <w:t xml:space="preserve"> </w:t>
      </w:r>
      <w:r w:rsidRPr="00B846A9">
        <w:t>order</w:t>
      </w:r>
      <w:r>
        <w:t xml:space="preserve"> </w:t>
      </w:r>
      <w:r w:rsidRPr="00B846A9">
        <w:t>of</w:t>
      </w:r>
      <w:r>
        <w:t xml:space="preserve"> </w:t>
      </w:r>
      <w:r w:rsidRPr="00B846A9">
        <w:t>$100</w:t>
      </w:r>
      <w:r>
        <w:t xml:space="preserve"> </w:t>
      </w:r>
      <w:r w:rsidRPr="00B846A9">
        <w:t>per</w:t>
      </w:r>
      <w:r>
        <w:t xml:space="preserve"> </w:t>
      </w:r>
      <w:r w:rsidRPr="00B846A9">
        <w:t>annum,</w:t>
      </w:r>
      <w:r>
        <w:t xml:space="preserve"> </w:t>
      </w:r>
      <w:r w:rsidRPr="00B846A9">
        <w:t>or</w:t>
      </w:r>
      <w:r>
        <w:t xml:space="preserve"> </w:t>
      </w:r>
      <w:r w:rsidRPr="00B846A9">
        <w:t>around</w:t>
      </w:r>
      <w:r>
        <w:t xml:space="preserve"> </w:t>
      </w:r>
      <w:r w:rsidRPr="00B846A9">
        <w:t>$2</w:t>
      </w:r>
      <w:r>
        <w:t xml:space="preserve"> </w:t>
      </w:r>
      <w:r w:rsidRPr="00B846A9">
        <w:t>per</w:t>
      </w:r>
      <w:r>
        <w:t xml:space="preserve"> </w:t>
      </w:r>
      <w:r w:rsidRPr="00B846A9">
        <w:t>week.</w:t>
      </w:r>
    </w:p>
    <w:p w14:paraId="164F49A5" w14:textId="77777777" w:rsidR="00676882" w:rsidRDefault="00676882" w:rsidP="00676882">
      <w:pPr>
        <w:pStyle w:val="Caption"/>
      </w:pPr>
      <w:bookmarkStart w:id="233" w:name="_Ref75897024"/>
      <w:bookmarkStart w:id="234" w:name="_Toc80719329"/>
      <w:bookmarkStart w:id="235" w:name="_Hlk75983218"/>
      <w:bookmarkEnd w:id="231"/>
      <w:r w:rsidRPr="008D506A">
        <w:rPr>
          <w:rStyle w:val="CaptionLabel"/>
        </w:rPr>
        <w:t>Table </w:t>
      </w:r>
      <w:r w:rsidRPr="008D506A">
        <w:rPr>
          <w:rStyle w:val="CaptionLabel"/>
        </w:rPr>
        <w:fldChar w:fldCharType="begin"/>
      </w:r>
      <w:r w:rsidRPr="008D506A">
        <w:rPr>
          <w:rStyle w:val="CaptionLabel"/>
        </w:rPr>
        <w:instrText xml:space="preserve"> STYLEREF 1 \S \* MERGEFORMAT </w:instrText>
      </w:r>
      <w:r w:rsidRPr="008D506A">
        <w:rPr>
          <w:rStyle w:val="CaptionLabel"/>
        </w:rPr>
        <w:fldChar w:fldCharType="separate"/>
      </w:r>
      <w:r>
        <w:rPr>
          <w:rStyle w:val="CaptionLabel"/>
          <w:noProof/>
        </w:rPr>
        <w:t>5</w:t>
      </w:r>
      <w:r w:rsidRPr="008D506A">
        <w:rPr>
          <w:rStyle w:val="CaptionLabel"/>
        </w:rPr>
        <w:fldChar w:fldCharType="end"/>
      </w:r>
      <w:r w:rsidRPr="008D506A">
        <w:rPr>
          <w:rStyle w:val="CaptionLabel"/>
        </w:rPr>
        <w:t>.</w:t>
      </w:r>
      <w:r w:rsidRPr="008D506A">
        <w:rPr>
          <w:rStyle w:val="CaptionLabel"/>
        </w:rPr>
        <w:fldChar w:fldCharType="begin"/>
      </w:r>
      <w:r w:rsidRPr="008D506A">
        <w:rPr>
          <w:rStyle w:val="CaptionLabel"/>
        </w:rPr>
        <w:instrText xml:space="preserve"> SEQ Table \* ARABIC \S 1 \* MERGEFORMAT </w:instrText>
      </w:r>
      <w:r w:rsidRPr="008D506A">
        <w:rPr>
          <w:rStyle w:val="CaptionLabel"/>
        </w:rPr>
        <w:fldChar w:fldCharType="separate"/>
      </w:r>
      <w:r>
        <w:rPr>
          <w:rStyle w:val="CaptionLabel"/>
          <w:noProof/>
        </w:rPr>
        <w:t>4</w:t>
      </w:r>
      <w:r w:rsidRPr="008D506A">
        <w:rPr>
          <w:rStyle w:val="CaptionLabel"/>
        </w:rPr>
        <w:fldChar w:fldCharType="end"/>
      </w:r>
      <w:bookmarkEnd w:id="233"/>
      <w:r>
        <w:tab/>
        <w:t>Impacts on rental return for Class 1 properties</w:t>
      </w:r>
      <w:bookmarkEnd w:id="234"/>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4 5.4"/>
        <w:tblDescription w:val="Impacts on rental return for Class 1 properties"/>
      </w:tblPr>
      <w:tblGrid>
        <w:gridCol w:w="454"/>
        <w:gridCol w:w="1984"/>
        <w:gridCol w:w="1984"/>
        <w:gridCol w:w="1984"/>
        <w:gridCol w:w="1984"/>
      </w:tblGrid>
      <w:tr w:rsidR="00676882" w14:paraId="0C3E3D87" w14:textId="77777777" w:rsidTr="00DF45FA">
        <w:trPr>
          <w:tblHeader/>
        </w:trPr>
        <w:tc>
          <w:tcPr>
            <w:tcW w:w="2438" w:type="dxa"/>
            <w:gridSpan w:val="2"/>
            <w:tcBorders>
              <w:top w:val="nil"/>
              <w:bottom w:val="nil"/>
            </w:tcBorders>
            <w:shd w:val="clear" w:color="auto" w:fill="140034"/>
            <w:tcMar>
              <w:left w:w="454" w:type="dxa"/>
            </w:tcMar>
          </w:tcPr>
          <w:p w14:paraId="7AC8F93B" w14:textId="77777777" w:rsidR="00676882" w:rsidRDefault="00676882" w:rsidP="00DF45FA">
            <w:pPr>
              <w:pStyle w:val="Tablecolumnheadings"/>
            </w:pPr>
            <w:r>
              <w:t>Scenario</w:t>
            </w:r>
          </w:p>
        </w:tc>
        <w:tc>
          <w:tcPr>
            <w:tcW w:w="1984" w:type="dxa"/>
            <w:tcBorders>
              <w:top w:val="nil"/>
              <w:bottom w:val="nil"/>
            </w:tcBorders>
            <w:shd w:val="clear" w:color="auto" w:fill="140034"/>
          </w:tcPr>
          <w:p w14:paraId="0B0E58C7" w14:textId="77777777" w:rsidR="00676882" w:rsidRDefault="00676882" w:rsidP="00DF45FA">
            <w:pPr>
              <w:pStyle w:val="Tablecolumnheadings"/>
              <w:jc w:val="right"/>
            </w:pPr>
            <w:r>
              <w:t>Annual cost</w:t>
            </w:r>
          </w:p>
        </w:tc>
        <w:tc>
          <w:tcPr>
            <w:tcW w:w="1984" w:type="dxa"/>
            <w:tcBorders>
              <w:top w:val="nil"/>
              <w:bottom w:val="nil"/>
            </w:tcBorders>
            <w:shd w:val="clear" w:color="auto" w:fill="140034"/>
          </w:tcPr>
          <w:p w14:paraId="40708603" w14:textId="77777777" w:rsidR="00676882" w:rsidRDefault="00676882" w:rsidP="00DF45FA">
            <w:pPr>
              <w:pStyle w:val="Tablecolumnheadings"/>
              <w:jc w:val="right"/>
            </w:pPr>
            <w:r>
              <w:t>Per cent of weekly median rent</w:t>
            </w:r>
          </w:p>
        </w:tc>
        <w:tc>
          <w:tcPr>
            <w:tcW w:w="1984" w:type="dxa"/>
            <w:tcBorders>
              <w:top w:val="nil"/>
              <w:bottom w:val="nil"/>
              <w:right w:val="single" w:sz="6" w:space="0" w:color="140034"/>
            </w:tcBorders>
            <w:shd w:val="clear" w:color="auto" w:fill="140034"/>
          </w:tcPr>
          <w:p w14:paraId="37D1F203" w14:textId="77777777" w:rsidR="00676882" w:rsidRDefault="00676882" w:rsidP="00DF45FA">
            <w:pPr>
              <w:pStyle w:val="Tablecolumnheadings"/>
              <w:jc w:val="right"/>
            </w:pPr>
            <w:r>
              <w:t>Total cost as a per cent of median property value (change in rental return)</w:t>
            </w:r>
          </w:p>
        </w:tc>
      </w:tr>
      <w:tr w:rsidR="00676882" w14:paraId="0A36971C" w14:textId="77777777" w:rsidTr="00DF45FA">
        <w:trPr>
          <w:gridBefore w:val="1"/>
          <w:wBefore w:w="454" w:type="dxa"/>
        </w:trPr>
        <w:tc>
          <w:tcPr>
            <w:tcW w:w="1984" w:type="dxa"/>
            <w:tcBorders>
              <w:top w:val="nil"/>
            </w:tcBorders>
            <w:shd w:val="clear" w:color="auto" w:fill="auto"/>
          </w:tcPr>
          <w:p w14:paraId="4ACB0EC0" w14:textId="77777777" w:rsidR="00676882" w:rsidRDefault="00676882" w:rsidP="00DF45FA">
            <w:pPr>
              <w:pStyle w:val="Tabletext"/>
              <w:keepNext/>
            </w:pPr>
            <w:r>
              <w:t>Insulation R3</w:t>
            </w:r>
          </w:p>
        </w:tc>
        <w:tc>
          <w:tcPr>
            <w:tcW w:w="1984" w:type="dxa"/>
            <w:tcBorders>
              <w:top w:val="nil"/>
            </w:tcBorders>
            <w:shd w:val="clear" w:color="auto" w:fill="auto"/>
            <w:vAlign w:val="center"/>
          </w:tcPr>
          <w:p w14:paraId="6B01CA1E" w14:textId="77777777" w:rsidR="00676882" w:rsidRDefault="00676882" w:rsidP="00DF45FA">
            <w:pPr>
              <w:pStyle w:val="Tabletext"/>
              <w:jc w:val="right"/>
            </w:pPr>
            <w:r w:rsidRPr="00E762FA">
              <w:t xml:space="preserve"> $133.72 </w:t>
            </w:r>
          </w:p>
        </w:tc>
        <w:tc>
          <w:tcPr>
            <w:tcW w:w="1984" w:type="dxa"/>
            <w:tcBorders>
              <w:top w:val="nil"/>
            </w:tcBorders>
            <w:shd w:val="clear" w:color="auto" w:fill="auto"/>
            <w:vAlign w:val="center"/>
          </w:tcPr>
          <w:p w14:paraId="3EB3D018" w14:textId="77777777" w:rsidR="00676882" w:rsidRDefault="00676882" w:rsidP="00DF45FA">
            <w:pPr>
              <w:pStyle w:val="Tabletext"/>
              <w:jc w:val="right"/>
            </w:pPr>
            <w:r w:rsidRPr="00E762FA">
              <w:t>0.45%</w:t>
            </w:r>
          </w:p>
        </w:tc>
        <w:tc>
          <w:tcPr>
            <w:tcW w:w="1984" w:type="dxa"/>
            <w:tcBorders>
              <w:top w:val="nil"/>
            </w:tcBorders>
            <w:shd w:val="clear" w:color="auto" w:fill="auto"/>
            <w:vAlign w:val="center"/>
          </w:tcPr>
          <w:p w14:paraId="1342F17A" w14:textId="77777777" w:rsidR="00676882" w:rsidRDefault="00676882" w:rsidP="00DF45FA">
            <w:pPr>
              <w:pStyle w:val="Tabletext"/>
              <w:jc w:val="right"/>
            </w:pPr>
            <w:r w:rsidRPr="00E762FA">
              <w:t>0.17%</w:t>
            </w:r>
          </w:p>
        </w:tc>
      </w:tr>
      <w:tr w:rsidR="00676882" w14:paraId="294534DE" w14:textId="77777777" w:rsidTr="00DF45FA">
        <w:trPr>
          <w:gridBefore w:val="1"/>
          <w:wBefore w:w="454" w:type="dxa"/>
        </w:trPr>
        <w:tc>
          <w:tcPr>
            <w:tcW w:w="1984" w:type="dxa"/>
            <w:shd w:val="clear" w:color="auto" w:fill="auto"/>
          </w:tcPr>
          <w:p w14:paraId="6B4FD314" w14:textId="77777777" w:rsidR="00676882" w:rsidRDefault="00676882" w:rsidP="00DF45FA">
            <w:pPr>
              <w:pStyle w:val="Tabletext"/>
              <w:keepNext/>
            </w:pPr>
            <w:r w:rsidRPr="0096432C">
              <w:t>Insulation</w:t>
            </w:r>
            <w:r>
              <w:t xml:space="preserve"> </w:t>
            </w:r>
            <w:r w:rsidRPr="0096432C">
              <w:t>R5</w:t>
            </w:r>
          </w:p>
        </w:tc>
        <w:tc>
          <w:tcPr>
            <w:tcW w:w="1984" w:type="dxa"/>
            <w:shd w:val="clear" w:color="auto" w:fill="auto"/>
            <w:vAlign w:val="center"/>
          </w:tcPr>
          <w:p w14:paraId="70619229" w14:textId="77777777" w:rsidR="00676882" w:rsidRDefault="00676882" w:rsidP="00DF45FA">
            <w:pPr>
              <w:pStyle w:val="Tabletext"/>
              <w:jc w:val="right"/>
            </w:pPr>
            <w:r w:rsidRPr="00E762FA">
              <w:t xml:space="preserve"> $163.82 </w:t>
            </w:r>
          </w:p>
        </w:tc>
        <w:tc>
          <w:tcPr>
            <w:tcW w:w="1984" w:type="dxa"/>
            <w:shd w:val="clear" w:color="auto" w:fill="auto"/>
            <w:vAlign w:val="center"/>
          </w:tcPr>
          <w:p w14:paraId="6A311E50" w14:textId="77777777" w:rsidR="00676882" w:rsidRDefault="00676882" w:rsidP="00DF45FA">
            <w:pPr>
              <w:pStyle w:val="Tabletext"/>
              <w:jc w:val="right"/>
            </w:pPr>
            <w:r w:rsidRPr="00E762FA">
              <w:t>0.55%</w:t>
            </w:r>
          </w:p>
        </w:tc>
        <w:tc>
          <w:tcPr>
            <w:tcW w:w="1984" w:type="dxa"/>
            <w:shd w:val="clear" w:color="auto" w:fill="auto"/>
            <w:vAlign w:val="center"/>
          </w:tcPr>
          <w:p w14:paraId="7964C0CB" w14:textId="77777777" w:rsidR="00676882" w:rsidRDefault="00676882" w:rsidP="00DF45FA">
            <w:pPr>
              <w:pStyle w:val="Tabletext"/>
              <w:jc w:val="right"/>
            </w:pPr>
            <w:r w:rsidRPr="00E762FA">
              <w:t>0.21%</w:t>
            </w:r>
          </w:p>
        </w:tc>
      </w:tr>
      <w:tr w:rsidR="00676882" w14:paraId="25A0E193" w14:textId="77777777" w:rsidTr="00DF45FA">
        <w:trPr>
          <w:gridBefore w:val="1"/>
          <w:wBefore w:w="454" w:type="dxa"/>
        </w:trPr>
        <w:tc>
          <w:tcPr>
            <w:tcW w:w="1984" w:type="dxa"/>
            <w:shd w:val="clear" w:color="auto" w:fill="auto"/>
          </w:tcPr>
          <w:p w14:paraId="5F09EBB5" w14:textId="77777777" w:rsidR="00676882" w:rsidRDefault="00676882" w:rsidP="00DF45FA">
            <w:pPr>
              <w:pStyle w:val="Tabletext"/>
              <w:keepNext/>
            </w:pPr>
            <w:r w:rsidRPr="0096432C">
              <w:t>Heater</w:t>
            </w:r>
          </w:p>
        </w:tc>
        <w:tc>
          <w:tcPr>
            <w:tcW w:w="1984" w:type="dxa"/>
            <w:shd w:val="clear" w:color="auto" w:fill="auto"/>
            <w:vAlign w:val="center"/>
          </w:tcPr>
          <w:p w14:paraId="1AA46E66" w14:textId="77777777" w:rsidR="00676882" w:rsidRDefault="00676882" w:rsidP="00DF45FA">
            <w:pPr>
              <w:pStyle w:val="Tabletext"/>
              <w:jc w:val="right"/>
            </w:pPr>
            <w:r w:rsidRPr="00E762FA">
              <w:t xml:space="preserve"> $274.15 </w:t>
            </w:r>
          </w:p>
        </w:tc>
        <w:tc>
          <w:tcPr>
            <w:tcW w:w="1984" w:type="dxa"/>
            <w:shd w:val="clear" w:color="auto" w:fill="auto"/>
            <w:vAlign w:val="center"/>
          </w:tcPr>
          <w:p w14:paraId="312C0B42" w14:textId="77777777" w:rsidR="00676882" w:rsidRDefault="00676882" w:rsidP="00DF45FA">
            <w:pPr>
              <w:pStyle w:val="Tabletext"/>
              <w:jc w:val="right"/>
            </w:pPr>
            <w:r w:rsidRPr="00E762FA">
              <w:t>0.92%</w:t>
            </w:r>
          </w:p>
        </w:tc>
        <w:tc>
          <w:tcPr>
            <w:tcW w:w="1984" w:type="dxa"/>
            <w:shd w:val="clear" w:color="auto" w:fill="auto"/>
            <w:vAlign w:val="center"/>
          </w:tcPr>
          <w:p w14:paraId="01B8B268" w14:textId="77777777" w:rsidR="00676882" w:rsidRDefault="00676882" w:rsidP="00DF45FA">
            <w:pPr>
              <w:pStyle w:val="Tabletext"/>
              <w:jc w:val="right"/>
            </w:pPr>
            <w:r w:rsidRPr="00E762FA">
              <w:t>0.35%</w:t>
            </w:r>
          </w:p>
        </w:tc>
      </w:tr>
      <w:tr w:rsidR="00676882" w14:paraId="351C2170" w14:textId="77777777" w:rsidTr="00DF45FA">
        <w:trPr>
          <w:gridBefore w:val="1"/>
          <w:wBefore w:w="454" w:type="dxa"/>
        </w:trPr>
        <w:tc>
          <w:tcPr>
            <w:tcW w:w="1984" w:type="dxa"/>
            <w:shd w:val="clear" w:color="auto" w:fill="auto"/>
          </w:tcPr>
          <w:p w14:paraId="27FA9B2C" w14:textId="77777777" w:rsidR="00676882" w:rsidRDefault="00676882" w:rsidP="00DF45FA">
            <w:pPr>
              <w:pStyle w:val="Tabletext"/>
            </w:pPr>
            <w:r w:rsidRPr="0096432C">
              <w:t>Performance</w:t>
            </w:r>
            <w:r>
              <w:t xml:space="preserve"> 2 stars</w:t>
            </w:r>
          </w:p>
        </w:tc>
        <w:tc>
          <w:tcPr>
            <w:tcW w:w="1984" w:type="dxa"/>
            <w:shd w:val="clear" w:color="auto" w:fill="auto"/>
            <w:vAlign w:val="center"/>
          </w:tcPr>
          <w:p w14:paraId="541FBE80" w14:textId="77777777" w:rsidR="00676882" w:rsidRDefault="00676882" w:rsidP="00DF45FA">
            <w:pPr>
              <w:pStyle w:val="Tabletext"/>
              <w:jc w:val="right"/>
            </w:pPr>
            <w:r w:rsidRPr="00E762FA">
              <w:t xml:space="preserve"> $347.60 </w:t>
            </w:r>
          </w:p>
        </w:tc>
        <w:tc>
          <w:tcPr>
            <w:tcW w:w="1984" w:type="dxa"/>
            <w:shd w:val="clear" w:color="auto" w:fill="auto"/>
            <w:vAlign w:val="center"/>
          </w:tcPr>
          <w:p w14:paraId="60DC1455" w14:textId="77777777" w:rsidR="00676882" w:rsidRDefault="00676882" w:rsidP="00DF45FA">
            <w:pPr>
              <w:pStyle w:val="Tabletext"/>
              <w:jc w:val="right"/>
            </w:pPr>
            <w:r w:rsidRPr="00E762FA">
              <w:t>1.17%</w:t>
            </w:r>
          </w:p>
        </w:tc>
        <w:tc>
          <w:tcPr>
            <w:tcW w:w="1984" w:type="dxa"/>
            <w:shd w:val="clear" w:color="auto" w:fill="auto"/>
            <w:vAlign w:val="center"/>
          </w:tcPr>
          <w:p w14:paraId="7604E6EE" w14:textId="77777777" w:rsidR="00676882" w:rsidRDefault="00676882" w:rsidP="00DF45FA">
            <w:pPr>
              <w:pStyle w:val="Tabletext"/>
              <w:jc w:val="right"/>
            </w:pPr>
            <w:r w:rsidRPr="00E762FA">
              <w:t>0.45%</w:t>
            </w:r>
          </w:p>
        </w:tc>
      </w:tr>
      <w:tr w:rsidR="00676882" w14:paraId="4A73F4A1" w14:textId="77777777" w:rsidTr="00DF45FA">
        <w:trPr>
          <w:gridBefore w:val="1"/>
          <w:wBefore w:w="454" w:type="dxa"/>
        </w:trPr>
        <w:tc>
          <w:tcPr>
            <w:tcW w:w="1984" w:type="dxa"/>
            <w:shd w:val="clear" w:color="auto" w:fill="auto"/>
          </w:tcPr>
          <w:p w14:paraId="133B8B99" w14:textId="77777777" w:rsidR="00676882" w:rsidRDefault="00676882" w:rsidP="00DF45FA">
            <w:pPr>
              <w:pStyle w:val="Tabletext"/>
            </w:pPr>
            <w:r w:rsidRPr="0096432C">
              <w:t>Performance</w:t>
            </w:r>
            <w:r>
              <w:t xml:space="preserve"> 3 stars</w:t>
            </w:r>
          </w:p>
        </w:tc>
        <w:tc>
          <w:tcPr>
            <w:tcW w:w="1984" w:type="dxa"/>
            <w:shd w:val="clear" w:color="auto" w:fill="auto"/>
            <w:vAlign w:val="center"/>
          </w:tcPr>
          <w:p w14:paraId="6E67321D" w14:textId="77777777" w:rsidR="00676882" w:rsidRDefault="00676882" w:rsidP="00DF45FA">
            <w:pPr>
              <w:pStyle w:val="Tabletext"/>
              <w:jc w:val="right"/>
            </w:pPr>
            <w:r w:rsidRPr="00E762FA">
              <w:t xml:space="preserve"> $589.24 </w:t>
            </w:r>
          </w:p>
        </w:tc>
        <w:tc>
          <w:tcPr>
            <w:tcW w:w="1984" w:type="dxa"/>
            <w:shd w:val="clear" w:color="auto" w:fill="auto"/>
            <w:vAlign w:val="center"/>
          </w:tcPr>
          <w:p w14:paraId="07FA71F5" w14:textId="77777777" w:rsidR="00676882" w:rsidRDefault="00676882" w:rsidP="00DF45FA">
            <w:pPr>
              <w:pStyle w:val="Tabletext"/>
              <w:jc w:val="right"/>
            </w:pPr>
            <w:r w:rsidRPr="00E762FA">
              <w:t>1.99%</w:t>
            </w:r>
          </w:p>
        </w:tc>
        <w:tc>
          <w:tcPr>
            <w:tcW w:w="1984" w:type="dxa"/>
            <w:shd w:val="clear" w:color="auto" w:fill="auto"/>
            <w:vAlign w:val="center"/>
          </w:tcPr>
          <w:p w14:paraId="2DF27B61" w14:textId="77777777" w:rsidR="00676882" w:rsidRDefault="00676882" w:rsidP="00DF45FA">
            <w:pPr>
              <w:pStyle w:val="Tabletext"/>
              <w:jc w:val="right"/>
            </w:pPr>
            <w:r w:rsidRPr="00E762FA">
              <w:t>0.76%</w:t>
            </w:r>
          </w:p>
        </w:tc>
      </w:tr>
      <w:tr w:rsidR="00676882" w14:paraId="21620F80" w14:textId="77777777" w:rsidTr="00DF45FA">
        <w:trPr>
          <w:gridBefore w:val="1"/>
          <w:wBefore w:w="454" w:type="dxa"/>
        </w:trPr>
        <w:tc>
          <w:tcPr>
            <w:tcW w:w="7936" w:type="dxa"/>
            <w:gridSpan w:val="4"/>
            <w:tcBorders>
              <w:bottom w:val="single" w:sz="4" w:space="0" w:color="646464"/>
            </w:tcBorders>
            <w:shd w:val="clear" w:color="auto" w:fill="auto"/>
          </w:tcPr>
          <w:p w14:paraId="5D7CADC3" w14:textId="77777777" w:rsidR="00676882" w:rsidRDefault="00676882" w:rsidP="00DF45FA">
            <w:pPr>
              <w:pStyle w:val="Source"/>
              <w:rPr>
                <w:i w:val="0"/>
                <w:iCs/>
              </w:rPr>
            </w:pPr>
            <w:r>
              <w:rPr>
                <w:i w:val="0"/>
                <w:iCs/>
              </w:rPr>
              <w:t xml:space="preserve">Note: Phase-in rates do not impact the rental return for individual rental providers. </w:t>
            </w:r>
          </w:p>
          <w:p w14:paraId="1322F38D" w14:textId="77777777" w:rsidR="00676882" w:rsidRDefault="00676882" w:rsidP="00DF45FA">
            <w:pPr>
              <w:pStyle w:val="Source"/>
              <w:rPr>
                <w:i w:val="0"/>
                <w:iCs/>
              </w:rPr>
            </w:pPr>
            <w:r>
              <w:rPr>
                <w:i w:val="0"/>
                <w:iCs/>
              </w:rPr>
              <w:t>Note 2: Assumptions underlying the analysis: Holding period – 10 years; marginal tax rate including Medicare levy – 39 per cent; discount rate 4 per cent.</w:t>
            </w:r>
          </w:p>
          <w:p w14:paraId="3EE6164E" w14:textId="77777777" w:rsidR="00676882" w:rsidRDefault="00676882" w:rsidP="00DF45FA">
            <w:pPr>
              <w:pStyle w:val="Source"/>
              <w:rPr>
                <w:i w:val="0"/>
                <w:iCs/>
              </w:rPr>
            </w:pPr>
            <w:r>
              <w:rPr>
                <w:i w:val="0"/>
                <w:iCs/>
              </w:rPr>
              <w:t xml:space="preserve">Note 3: Data underlying analysis: Median Class 1 house price - $780,000; median </w:t>
            </w:r>
            <w:proofErr w:type="gramStart"/>
            <w:r>
              <w:rPr>
                <w:i w:val="0"/>
                <w:iCs/>
              </w:rPr>
              <w:t>3 bedroom</w:t>
            </w:r>
            <w:proofErr w:type="gramEnd"/>
            <w:r>
              <w:rPr>
                <w:i w:val="0"/>
                <w:iCs/>
              </w:rPr>
              <w:t xml:space="preserve"> house rents - $570 </w:t>
            </w:r>
            <w:sdt>
              <w:sdtPr>
                <w:rPr>
                  <w:i w:val="0"/>
                  <w:iCs/>
                </w:rPr>
                <w:id w:val="699508889"/>
                <w:citation/>
              </w:sdtPr>
              <w:sdtContent>
                <w:r>
                  <w:rPr>
                    <w:i w:val="0"/>
                    <w:iCs/>
                  </w:rPr>
                  <w:fldChar w:fldCharType="begin"/>
                </w:r>
                <w:r>
                  <w:rPr>
                    <w:i w:val="0"/>
                    <w:iCs/>
                  </w:rPr>
                  <w:instrText xml:space="preserve"> CITATION CMT21 \l 3081 </w:instrText>
                </w:r>
                <w:r>
                  <w:rPr>
                    <w:i w:val="0"/>
                    <w:iCs/>
                  </w:rPr>
                  <w:fldChar w:fldCharType="separate"/>
                </w:r>
                <w:r>
                  <w:rPr>
                    <w:noProof/>
                  </w:rPr>
                  <w:t>(CMTEDD, 2021)</w:t>
                </w:r>
                <w:r>
                  <w:rPr>
                    <w:i w:val="0"/>
                    <w:iCs/>
                  </w:rPr>
                  <w:fldChar w:fldCharType="end"/>
                </w:r>
              </w:sdtContent>
            </w:sdt>
            <w:r>
              <w:rPr>
                <w:i w:val="0"/>
                <w:iCs/>
              </w:rPr>
              <w:t>.</w:t>
            </w:r>
          </w:p>
          <w:p w14:paraId="1BF27D03" w14:textId="77777777" w:rsidR="00676882" w:rsidRPr="00E51AFA" w:rsidRDefault="00676882" w:rsidP="00DF45FA">
            <w:pPr>
              <w:pStyle w:val="Source"/>
              <w:rPr>
                <w:i w:val="0"/>
                <w:iCs/>
              </w:rPr>
            </w:pPr>
            <w:r>
              <w:rPr>
                <w:i w:val="0"/>
                <w:iCs/>
              </w:rPr>
              <w:t>Note 4: The analysis provided in this table is general in nature and not representative of any individual rental property investor. It is not intended or suitable to be used for individual investment decisions.</w:t>
            </w:r>
          </w:p>
          <w:p w14:paraId="40B2AB4A" w14:textId="77777777" w:rsidR="00676882" w:rsidRDefault="00676882" w:rsidP="00DF45FA">
            <w:pPr>
              <w:pStyle w:val="Source"/>
            </w:pPr>
            <w:r>
              <w:t>Source: ACIL Allen</w:t>
            </w:r>
          </w:p>
        </w:tc>
      </w:tr>
    </w:tbl>
    <w:p w14:paraId="49F95E44" w14:textId="77777777" w:rsidR="00676882" w:rsidRDefault="00676882" w:rsidP="00676882"/>
    <w:p w14:paraId="7EA23C74" w14:textId="77777777" w:rsidR="00676882" w:rsidRDefault="00676882" w:rsidP="00676882">
      <w:pPr>
        <w:pStyle w:val="Caption"/>
        <w:ind w:left="0" w:firstLine="0"/>
      </w:pPr>
      <w:bookmarkStart w:id="236" w:name="_Ref75897175"/>
      <w:bookmarkStart w:id="237" w:name="_Ref80451292"/>
      <w:bookmarkStart w:id="238" w:name="_Toc80719330"/>
      <w:r w:rsidRPr="008D506A">
        <w:rPr>
          <w:rStyle w:val="CaptionLabel"/>
        </w:rPr>
        <w:t>Table </w:t>
      </w:r>
      <w:r w:rsidRPr="008D506A">
        <w:rPr>
          <w:rStyle w:val="CaptionLabel"/>
        </w:rPr>
        <w:fldChar w:fldCharType="begin"/>
      </w:r>
      <w:r w:rsidRPr="008D506A">
        <w:rPr>
          <w:rStyle w:val="CaptionLabel"/>
        </w:rPr>
        <w:instrText xml:space="preserve"> STYLEREF 1 \S \* MERGEFORMAT </w:instrText>
      </w:r>
      <w:r w:rsidRPr="008D506A">
        <w:rPr>
          <w:rStyle w:val="CaptionLabel"/>
        </w:rPr>
        <w:fldChar w:fldCharType="separate"/>
      </w:r>
      <w:r>
        <w:rPr>
          <w:rStyle w:val="CaptionLabel"/>
          <w:noProof/>
        </w:rPr>
        <w:t>5</w:t>
      </w:r>
      <w:r w:rsidRPr="008D506A">
        <w:rPr>
          <w:rStyle w:val="CaptionLabel"/>
        </w:rPr>
        <w:fldChar w:fldCharType="end"/>
      </w:r>
      <w:r w:rsidRPr="008D506A">
        <w:rPr>
          <w:rStyle w:val="CaptionLabel"/>
        </w:rPr>
        <w:t>.</w:t>
      </w:r>
      <w:r w:rsidRPr="008D506A">
        <w:rPr>
          <w:rStyle w:val="CaptionLabel"/>
        </w:rPr>
        <w:fldChar w:fldCharType="begin"/>
      </w:r>
      <w:r w:rsidRPr="008D506A">
        <w:rPr>
          <w:rStyle w:val="CaptionLabel"/>
        </w:rPr>
        <w:instrText xml:space="preserve"> SEQ Table \* ARABIC \S 1 \* MERGEFORMAT </w:instrText>
      </w:r>
      <w:r w:rsidRPr="008D506A">
        <w:rPr>
          <w:rStyle w:val="CaptionLabel"/>
        </w:rPr>
        <w:fldChar w:fldCharType="separate"/>
      </w:r>
      <w:r>
        <w:rPr>
          <w:rStyle w:val="CaptionLabel"/>
          <w:noProof/>
        </w:rPr>
        <w:t>5</w:t>
      </w:r>
      <w:r w:rsidRPr="008D506A">
        <w:rPr>
          <w:rStyle w:val="CaptionLabel"/>
        </w:rPr>
        <w:fldChar w:fldCharType="end"/>
      </w:r>
      <w:bookmarkEnd w:id="236"/>
      <w:bookmarkEnd w:id="237"/>
      <w:r>
        <w:tab/>
        <w:t>Impacts on rental return for Class 2 properties</w:t>
      </w:r>
      <w:bookmarkEnd w:id="238"/>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5"/>
        <w:tblDescription w:val="Impacts on rental return for Class 2 properties"/>
      </w:tblPr>
      <w:tblGrid>
        <w:gridCol w:w="454"/>
        <w:gridCol w:w="1984"/>
        <w:gridCol w:w="1984"/>
        <w:gridCol w:w="1984"/>
        <w:gridCol w:w="1984"/>
      </w:tblGrid>
      <w:tr w:rsidR="00676882" w14:paraId="7972D803" w14:textId="77777777" w:rsidTr="00DF45FA">
        <w:trPr>
          <w:tblHeader/>
        </w:trPr>
        <w:tc>
          <w:tcPr>
            <w:tcW w:w="2438" w:type="dxa"/>
            <w:gridSpan w:val="2"/>
            <w:tcBorders>
              <w:top w:val="nil"/>
              <w:bottom w:val="nil"/>
            </w:tcBorders>
            <w:shd w:val="clear" w:color="auto" w:fill="140034"/>
            <w:tcMar>
              <w:left w:w="454" w:type="dxa"/>
            </w:tcMar>
          </w:tcPr>
          <w:p w14:paraId="30F6219B" w14:textId="77777777" w:rsidR="00676882" w:rsidRDefault="00676882" w:rsidP="00DF45FA">
            <w:pPr>
              <w:pStyle w:val="Tablecolumnheadings"/>
            </w:pPr>
            <w:r>
              <w:t>Scenario</w:t>
            </w:r>
          </w:p>
        </w:tc>
        <w:tc>
          <w:tcPr>
            <w:tcW w:w="1984" w:type="dxa"/>
            <w:tcBorders>
              <w:top w:val="nil"/>
              <w:bottom w:val="nil"/>
            </w:tcBorders>
            <w:shd w:val="clear" w:color="auto" w:fill="140034"/>
          </w:tcPr>
          <w:p w14:paraId="6D740DB3" w14:textId="77777777" w:rsidR="00676882" w:rsidRDefault="00676882" w:rsidP="00DF45FA">
            <w:pPr>
              <w:pStyle w:val="Tablecolumnheadings"/>
              <w:jc w:val="right"/>
            </w:pPr>
            <w:r>
              <w:t>Annual cost</w:t>
            </w:r>
          </w:p>
        </w:tc>
        <w:tc>
          <w:tcPr>
            <w:tcW w:w="1984" w:type="dxa"/>
            <w:tcBorders>
              <w:top w:val="nil"/>
              <w:bottom w:val="nil"/>
            </w:tcBorders>
            <w:shd w:val="clear" w:color="auto" w:fill="140034"/>
          </w:tcPr>
          <w:p w14:paraId="183E766E" w14:textId="77777777" w:rsidR="00676882" w:rsidRDefault="00676882" w:rsidP="00DF45FA">
            <w:pPr>
              <w:pStyle w:val="Tablecolumnheadings"/>
              <w:jc w:val="right"/>
            </w:pPr>
            <w:r>
              <w:t>Per cent of weekly median rent</w:t>
            </w:r>
          </w:p>
        </w:tc>
        <w:tc>
          <w:tcPr>
            <w:tcW w:w="1984" w:type="dxa"/>
            <w:tcBorders>
              <w:top w:val="nil"/>
              <w:bottom w:val="nil"/>
              <w:right w:val="single" w:sz="6" w:space="0" w:color="140034"/>
            </w:tcBorders>
            <w:shd w:val="clear" w:color="auto" w:fill="140034"/>
          </w:tcPr>
          <w:p w14:paraId="2F520ABE" w14:textId="77777777" w:rsidR="00676882" w:rsidRDefault="00676882" w:rsidP="00DF45FA">
            <w:pPr>
              <w:pStyle w:val="Tablecolumnheadings"/>
              <w:jc w:val="right"/>
            </w:pPr>
            <w:r>
              <w:t>Total cost as a per cent of median property value (change in rental return)</w:t>
            </w:r>
          </w:p>
        </w:tc>
      </w:tr>
      <w:tr w:rsidR="00676882" w14:paraId="6552A2D3" w14:textId="77777777" w:rsidTr="00DF45FA">
        <w:trPr>
          <w:gridBefore w:val="1"/>
          <w:wBefore w:w="454" w:type="dxa"/>
        </w:trPr>
        <w:tc>
          <w:tcPr>
            <w:tcW w:w="1984" w:type="dxa"/>
            <w:tcBorders>
              <w:top w:val="nil"/>
            </w:tcBorders>
            <w:shd w:val="clear" w:color="auto" w:fill="auto"/>
          </w:tcPr>
          <w:p w14:paraId="45D5E5BF" w14:textId="77777777" w:rsidR="00676882" w:rsidRDefault="00676882" w:rsidP="00DF45FA">
            <w:pPr>
              <w:pStyle w:val="Tabletext"/>
            </w:pPr>
            <w:r>
              <w:t>Insulation R3</w:t>
            </w:r>
          </w:p>
        </w:tc>
        <w:tc>
          <w:tcPr>
            <w:tcW w:w="1984" w:type="dxa"/>
            <w:tcBorders>
              <w:top w:val="nil"/>
            </w:tcBorders>
            <w:shd w:val="clear" w:color="auto" w:fill="auto"/>
          </w:tcPr>
          <w:p w14:paraId="39DBB790" w14:textId="77777777" w:rsidR="00676882" w:rsidRDefault="00676882" w:rsidP="00DF45FA">
            <w:pPr>
              <w:pStyle w:val="Tabletext"/>
              <w:jc w:val="right"/>
            </w:pPr>
            <w:r w:rsidRPr="00CA46BF">
              <w:t xml:space="preserve"> $67.95 </w:t>
            </w:r>
          </w:p>
        </w:tc>
        <w:tc>
          <w:tcPr>
            <w:tcW w:w="1984" w:type="dxa"/>
            <w:tcBorders>
              <w:top w:val="nil"/>
            </w:tcBorders>
            <w:shd w:val="clear" w:color="auto" w:fill="auto"/>
          </w:tcPr>
          <w:p w14:paraId="3D1DEDB9" w14:textId="77777777" w:rsidR="00676882" w:rsidRDefault="00676882" w:rsidP="00DF45FA">
            <w:pPr>
              <w:pStyle w:val="Tabletext"/>
              <w:jc w:val="right"/>
            </w:pPr>
            <w:r w:rsidRPr="00CA46BF">
              <w:t>0.25%</w:t>
            </w:r>
          </w:p>
        </w:tc>
        <w:tc>
          <w:tcPr>
            <w:tcW w:w="1984" w:type="dxa"/>
            <w:tcBorders>
              <w:top w:val="nil"/>
            </w:tcBorders>
            <w:shd w:val="clear" w:color="auto" w:fill="auto"/>
          </w:tcPr>
          <w:p w14:paraId="4035A6F4" w14:textId="77777777" w:rsidR="00676882" w:rsidRDefault="00676882" w:rsidP="00DF45FA">
            <w:pPr>
              <w:pStyle w:val="Tabletext"/>
              <w:jc w:val="right"/>
            </w:pPr>
            <w:r w:rsidRPr="00CA46BF">
              <w:t>0.14%</w:t>
            </w:r>
          </w:p>
        </w:tc>
      </w:tr>
      <w:tr w:rsidR="00676882" w14:paraId="4D93A1E8" w14:textId="77777777" w:rsidTr="00DF45FA">
        <w:trPr>
          <w:gridBefore w:val="1"/>
          <w:wBefore w:w="454" w:type="dxa"/>
        </w:trPr>
        <w:tc>
          <w:tcPr>
            <w:tcW w:w="1984" w:type="dxa"/>
            <w:shd w:val="clear" w:color="auto" w:fill="auto"/>
          </w:tcPr>
          <w:p w14:paraId="2E3D5DBB" w14:textId="77777777" w:rsidR="00676882" w:rsidRDefault="00676882" w:rsidP="00DF45FA">
            <w:pPr>
              <w:pStyle w:val="Tabletext"/>
            </w:pPr>
            <w:r w:rsidRPr="0096432C">
              <w:t>Insulation</w:t>
            </w:r>
            <w:r>
              <w:t xml:space="preserve"> </w:t>
            </w:r>
            <w:r w:rsidRPr="0096432C">
              <w:t>R5</w:t>
            </w:r>
          </w:p>
        </w:tc>
        <w:tc>
          <w:tcPr>
            <w:tcW w:w="1984" w:type="dxa"/>
            <w:shd w:val="clear" w:color="auto" w:fill="auto"/>
          </w:tcPr>
          <w:p w14:paraId="0341AA0D" w14:textId="77777777" w:rsidR="00676882" w:rsidRDefault="00676882" w:rsidP="00DF45FA">
            <w:pPr>
              <w:pStyle w:val="Tabletext"/>
              <w:jc w:val="right"/>
            </w:pPr>
            <w:r w:rsidRPr="00CA46BF">
              <w:t xml:space="preserve"> $77.61 </w:t>
            </w:r>
          </w:p>
        </w:tc>
        <w:tc>
          <w:tcPr>
            <w:tcW w:w="1984" w:type="dxa"/>
            <w:shd w:val="clear" w:color="auto" w:fill="auto"/>
          </w:tcPr>
          <w:p w14:paraId="09256368" w14:textId="77777777" w:rsidR="00676882" w:rsidRDefault="00676882" w:rsidP="00DF45FA">
            <w:pPr>
              <w:pStyle w:val="Tabletext"/>
              <w:jc w:val="right"/>
            </w:pPr>
            <w:r w:rsidRPr="00CA46BF">
              <w:t>0.29%</w:t>
            </w:r>
          </w:p>
        </w:tc>
        <w:tc>
          <w:tcPr>
            <w:tcW w:w="1984" w:type="dxa"/>
            <w:shd w:val="clear" w:color="auto" w:fill="auto"/>
          </w:tcPr>
          <w:p w14:paraId="7A63467A" w14:textId="77777777" w:rsidR="00676882" w:rsidRDefault="00676882" w:rsidP="00DF45FA">
            <w:pPr>
              <w:pStyle w:val="Tabletext"/>
              <w:jc w:val="right"/>
            </w:pPr>
            <w:r w:rsidRPr="00CA46BF">
              <w:t>0.16%</w:t>
            </w:r>
          </w:p>
        </w:tc>
      </w:tr>
      <w:tr w:rsidR="00676882" w14:paraId="3A190D66" w14:textId="77777777" w:rsidTr="00DF45FA">
        <w:trPr>
          <w:gridBefore w:val="1"/>
          <w:wBefore w:w="454" w:type="dxa"/>
        </w:trPr>
        <w:tc>
          <w:tcPr>
            <w:tcW w:w="1984" w:type="dxa"/>
            <w:shd w:val="clear" w:color="auto" w:fill="auto"/>
          </w:tcPr>
          <w:p w14:paraId="33B72C0E" w14:textId="77777777" w:rsidR="00676882" w:rsidRDefault="00676882" w:rsidP="00DF45FA">
            <w:pPr>
              <w:pStyle w:val="Tabletext"/>
            </w:pPr>
            <w:r w:rsidRPr="0096432C">
              <w:t>Heater</w:t>
            </w:r>
          </w:p>
        </w:tc>
        <w:tc>
          <w:tcPr>
            <w:tcW w:w="1984" w:type="dxa"/>
            <w:shd w:val="clear" w:color="auto" w:fill="auto"/>
          </w:tcPr>
          <w:p w14:paraId="1521E8B5" w14:textId="77777777" w:rsidR="00676882" w:rsidRDefault="00676882" w:rsidP="00DF45FA">
            <w:pPr>
              <w:pStyle w:val="Tabletext"/>
              <w:jc w:val="right"/>
            </w:pPr>
            <w:r w:rsidRPr="00CA46BF">
              <w:t xml:space="preserve"> $149.76 </w:t>
            </w:r>
          </w:p>
        </w:tc>
        <w:tc>
          <w:tcPr>
            <w:tcW w:w="1984" w:type="dxa"/>
            <w:shd w:val="clear" w:color="auto" w:fill="auto"/>
          </w:tcPr>
          <w:p w14:paraId="50E93681" w14:textId="77777777" w:rsidR="00676882" w:rsidRDefault="00676882" w:rsidP="00DF45FA">
            <w:pPr>
              <w:pStyle w:val="Tabletext"/>
              <w:jc w:val="right"/>
            </w:pPr>
            <w:r w:rsidRPr="00CA46BF">
              <w:t>0.55%</w:t>
            </w:r>
          </w:p>
        </w:tc>
        <w:tc>
          <w:tcPr>
            <w:tcW w:w="1984" w:type="dxa"/>
            <w:shd w:val="clear" w:color="auto" w:fill="auto"/>
          </w:tcPr>
          <w:p w14:paraId="1DDCC909" w14:textId="77777777" w:rsidR="00676882" w:rsidRDefault="00676882" w:rsidP="00DF45FA">
            <w:pPr>
              <w:pStyle w:val="Tabletext"/>
              <w:jc w:val="right"/>
            </w:pPr>
            <w:r w:rsidRPr="00CA46BF">
              <w:t>0.30%</w:t>
            </w:r>
          </w:p>
        </w:tc>
      </w:tr>
      <w:tr w:rsidR="00676882" w14:paraId="2589C805" w14:textId="77777777" w:rsidTr="00DF45FA">
        <w:trPr>
          <w:gridBefore w:val="1"/>
          <w:wBefore w:w="454" w:type="dxa"/>
        </w:trPr>
        <w:tc>
          <w:tcPr>
            <w:tcW w:w="1984" w:type="dxa"/>
            <w:shd w:val="clear" w:color="auto" w:fill="auto"/>
          </w:tcPr>
          <w:p w14:paraId="6E23E58F" w14:textId="77777777" w:rsidR="00676882" w:rsidRPr="004A0036" w:rsidRDefault="00676882" w:rsidP="00DF45FA">
            <w:pPr>
              <w:pStyle w:val="Tabletext"/>
            </w:pPr>
            <w:r w:rsidRPr="004A0036">
              <w:t>Performance</w:t>
            </w:r>
            <w:r>
              <w:t xml:space="preserve"> </w:t>
            </w:r>
            <w:r w:rsidRPr="004A0036">
              <w:t>2</w:t>
            </w:r>
            <w:r>
              <w:t xml:space="preserve"> </w:t>
            </w:r>
            <w:r w:rsidRPr="004A0036">
              <w:t>stars</w:t>
            </w:r>
          </w:p>
        </w:tc>
        <w:tc>
          <w:tcPr>
            <w:tcW w:w="1984" w:type="dxa"/>
            <w:shd w:val="clear" w:color="auto" w:fill="auto"/>
          </w:tcPr>
          <w:p w14:paraId="722A812D" w14:textId="77777777" w:rsidR="00676882" w:rsidRPr="004A0036" w:rsidRDefault="00676882" w:rsidP="00DF45FA">
            <w:pPr>
              <w:pStyle w:val="Tabletext"/>
              <w:jc w:val="right"/>
            </w:pPr>
            <w:r>
              <w:t>NA</w:t>
            </w:r>
          </w:p>
        </w:tc>
        <w:tc>
          <w:tcPr>
            <w:tcW w:w="1984" w:type="dxa"/>
            <w:shd w:val="clear" w:color="auto" w:fill="auto"/>
          </w:tcPr>
          <w:p w14:paraId="63AAA0A5" w14:textId="77777777" w:rsidR="00676882" w:rsidRPr="004A0036" w:rsidRDefault="00676882" w:rsidP="00DF45FA">
            <w:pPr>
              <w:pStyle w:val="Tabletext"/>
              <w:jc w:val="right"/>
            </w:pPr>
            <w:r>
              <w:t>NA</w:t>
            </w:r>
          </w:p>
        </w:tc>
        <w:tc>
          <w:tcPr>
            <w:tcW w:w="1984" w:type="dxa"/>
            <w:shd w:val="clear" w:color="auto" w:fill="auto"/>
          </w:tcPr>
          <w:p w14:paraId="23E1B92D" w14:textId="77777777" w:rsidR="00676882" w:rsidRPr="004A0036" w:rsidRDefault="00676882" w:rsidP="00DF45FA">
            <w:pPr>
              <w:pStyle w:val="Tabletext"/>
              <w:jc w:val="right"/>
            </w:pPr>
            <w:r>
              <w:t>NA</w:t>
            </w:r>
          </w:p>
        </w:tc>
      </w:tr>
      <w:tr w:rsidR="00676882" w14:paraId="73AE21E5" w14:textId="77777777" w:rsidTr="00DF45FA">
        <w:trPr>
          <w:gridBefore w:val="1"/>
          <w:wBefore w:w="454" w:type="dxa"/>
        </w:trPr>
        <w:tc>
          <w:tcPr>
            <w:tcW w:w="1984" w:type="dxa"/>
            <w:shd w:val="clear" w:color="auto" w:fill="auto"/>
          </w:tcPr>
          <w:p w14:paraId="31CB2509" w14:textId="77777777" w:rsidR="00676882" w:rsidRPr="00020982" w:rsidRDefault="00676882" w:rsidP="00DF45FA">
            <w:pPr>
              <w:pStyle w:val="Tabletext"/>
              <w:rPr>
                <w:highlight w:val="yellow"/>
              </w:rPr>
            </w:pPr>
            <w:r w:rsidRPr="00AA3338">
              <w:t>Performance</w:t>
            </w:r>
            <w:r>
              <w:t xml:space="preserve"> </w:t>
            </w:r>
            <w:r w:rsidRPr="00AA3338">
              <w:t>3</w:t>
            </w:r>
            <w:r>
              <w:t xml:space="preserve"> </w:t>
            </w:r>
            <w:r w:rsidRPr="00AA3338">
              <w:t>stars</w:t>
            </w:r>
          </w:p>
        </w:tc>
        <w:tc>
          <w:tcPr>
            <w:tcW w:w="1984" w:type="dxa"/>
            <w:shd w:val="clear" w:color="auto" w:fill="auto"/>
          </w:tcPr>
          <w:p w14:paraId="59588D1B" w14:textId="77777777" w:rsidR="00676882" w:rsidRPr="00020982" w:rsidRDefault="00676882" w:rsidP="00DF45FA">
            <w:pPr>
              <w:pStyle w:val="Tabletext"/>
              <w:jc w:val="right"/>
            </w:pPr>
            <w:r w:rsidRPr="00CA46BF">
              <w:t xml:space="preserve"> $314.44 </w:t>
            </w:r>
          </w:p>
        </w:tc>
        <w:tc>
          <w:tcPr>
            <w:tcW w:w="1984" w:type="dxa"/>
            <w:shd w:val="clear" w:color="auto" w:fill="auto"/>
          </w:tcPr>
          <w:p w14:paraId="352A1F8C" w14:textId="77777777" w:rsidR="00676882" w:rsidRPr="00020982" w:rsidRDefault="00676882" w:rsidP="00DF45FA">
            <w:pPr>
              <w:pStyle w:val="Tabletext"/>
              <w:jc w:val="right"/>
            </w:pPr>
            <w:r w:rsidRPr="00CA46BF">
              <w:t>1.16%</w:t>
            </w:r>
          </w:p>
        </w:tc>
        <w:tc>
          <w:tcPr>
            <w:tcW w:w="1984" w:type="dxa"/>
            <w:shd w:val="clear" w:color="auto" w:fill="auto"/>
          </w:tcPr>
          <w:p w14:paraId="2C09166D" w14:textId="77777777" w:rsidR="00676882" w:rsidRPr="00020982" w:rsidRDefault="00676882" w:rsidP="00DF45FA">
            <w:pPr>
              <w:pStyle w:val="Tabletext"/>
              <w:jc w:val="right"/>
            </w:pPr>
            <w:r w:rsidRPr="00CA46BF">
              <w:t>0.63%</w:t>
            </w:r>
          </w:p>
        </w:tc>
      </w:tr>
      <w:tr w:rsidR="00676882" w14:paraId="5278FCD0" w14:textId="77777777" w:rsidTr="00DF45FA">
        <w:trPr>
          <w:gridBefore w:val="1"/>
          <w:wBefore w:w="454" w:type="dxa"/>
        </w:trPr>
        <w:tc>
          <w:tcPr>
            <w:tcW w:w="7936" w:type="dxa"/>
            <w:gridSpan w:val="4"/>
            <w:tcBorders>
              <w:bottom w:val="single" w:sz="4" w:space="0" w:color="646464"/>
            </w:tcBorders>
            <w:shd w:val="clear" w:color="auto" w:fill="auto"/>
          </w:tcPr>
          <w:p w14:paraId="7A574746" w14:textId="77777777" w:rsidR="00676882" w:rsidRDefault="00676882" w:rsidP="00DF45FA">
            <w:pPr>
              <w:pStyle w:val="Source"/>
              <w:rPr>
                <w:i w:val="0"/>
                <w:iCs/>
              </w:rPr>
            </w:pPr>
            <w:r>
              <w:rPr>
                <w:i w:val="0"/>
                <w:iCs/>
              </w:rPr>
              <w:t xml:space="preserve">Note: Phase-in rates do not impact the rental return for individual rental providers. </w:t>
            </w:r>
          </w:p>
          <w:p w14:paraId="015636A7" w14:textId="77777777" w:rsidR="00676882" w:rsidRDefault="00676882" w:rsidP="00DF45FA">
            <w:pPr>
              <w:pStyle w:val="Source"/>
              <w:rPr>
                <w:i w:val="0"/>
                <w:iCs/>
              </w:rPr>
            </w:pPr>
            <w:r>
              <w:rPr>
                <w:i w:val="0"/>
                <w:iCs/>
              </w:rPr>
              <w:t>Note 2: Assumptions underlying the analysis: Holding period – 10 years; marginal tax rate including Medicare levy – 39 per cent; discount rate 4 per cent.</w:t>
            </w:r>
          </w:p>
          <w:p w14:paraId="637B5FA2" w14:textId="77777777" w:rsidR="00676882" w:rsidRDefault="00676882" w:rsidP="00DF45FA">
            <w:pPr>
              <w:pStyle w:val="Source"/>
              <w:rPr>
                <w:i w:val="0"/>
                <w:iCs/>
              </w:rPr>
            </w:pPr>
            <w:r>
              <w:rPr>
                <w:i w:val="0"/>
                <w:iCs/>
              </w:rPr>
              <w:t xml:space="preserve">Note 3: Data underlying analysis: Median Class </w:t>
            </w:r>
            <w:proofErr w:type="gramStart"/>
            <w:r>
              <w:rPr>
                <w:i w:val="0"/>
                <w:iCs/>
              </w:rPr>
              <w:t>2 unit</w:t>
            </w:r>
            <w:proofErr w:type="gramEnd"/>
            <w:r>
              <w:rPr>
                <w:i w:val="0"/>
                <w:iCs/>
              </w:rPr>
              <w:t xml:space="preserve"> price - $500,000 </w:t>
            </w:r>
            <w:sdt>
              <w:sdtPr>
                <w:rPr>
                  <w:i w:val="0"/>
                  <w:iCs/>
                </w:rPr>
                <w:id w:val="705599483"/>
                <w:citation/>
              </w:sdtPr>
              <w:sdtContent>
                <w:r>
                  <w:rPr>
                    <w:i w:val="0"/>
                    <w:iCs/>
                  </w:rPr>
                  <w:fldChar w:fldCharType="begin"/>
                </w:r>
                <w:r>
                  <w:rPr>
                    <w:i w:val="0"/>
                    <w:iCs/>
                  </w:rPr>
                  <w:instrText xml:space="preserve"> CITATION All21 \l 3081 </w:instrText>
                </w:r>
                <w:r>
                  <w:rPr>
                    <w:i w:val="0"/>
                    <w:iCs/>
                  </w:rPr>
                  <w:fldChar w:fldCharType="separate"/>
                </w:r>
                <w:r>
                  <w:rPr>
                    <w:noProof/>
                  </w:rPr>
                  <w:t>(Allhomes, 2021)</w:t>
                </w:r>
                <w:r>
                  <w:rPr>
                    <w:i w:val="0"/>
                    <w:iCs/>
                  </w:rPr>
                  <w:fldChar w:fldCharType="end"/>
                </w:r>
              </w:sdtContent>
            </w:sdt>
            <w:r>
              <w:rPr>
                <w:i w:val="0"/>
                <w:iCs/>
              </w:rPr>
              <w:t xml:space="preserve">; median 2 bedroom unit rents - $520 </w:t>
            </w:r>
            <w:sdt>
              <w:sdtPr>
                <w:rPr>
                  <w:i w:val="0"/>
                  <w:iCs/>
                </w:rPr>
                <w:id w:val="-453714366"/>
                <w:citation/>
              </w:sdtPr>
              <w:sdtContent>
                <w:r>
                  <w:rPr>
                    <w:i w:val="0"/>
                    <w:iCs/>
                  </w:rPr>
                  <w:fldChar w:fldCharType="begin"/>
                </w:r>
                <w:r>
                  <w:rPr>
                    <w:i w:val="0"/>
                    <w:iCs/>
                  </w:rPr>
                  <w:instrText xml:space="preserve"> CITATION CMT21 \l 3081 </w:instrText>
                </w:r>
                <w:r>
                  <w:rPr>
                    <w:i w:val="0"/>
                    <w:iCs/>
                  </w:rPr>
                  <w:fldChar w:fldCharType="separate"/>
                </w:r>
                <w:r>
                  <w:rPr>
                    <w:noProof/>
                  </w:rPr>
                  <w:t>(CMTEDD, 2021)</w:t>
                </w:r>
                <w:r>
                  <w:rPr>
                    <w:i w:val="0"/>
                    <w:iCs/>
                  </w:rPr>
                  <w:fldChar w:fldCharType="end"/>
                </w:r>
              </w:sdtContent>
            </w:sdt>
            <w:r>
              <w:rPr>
                <w:i w:val="0"/>
                <w:iCs/>
              </w:rPr>
              <w:t>.</w:t>
            </w:r>
          </w:p>
          <w:p w14:paraId="0F10C82F" w14:textId="77777777" w:rsidR="00676882" w:rsidRPr="00E51AFA" w:rsidRDefault="00676882" w:rsidP="00DF45FA">
            <w:pPr>
              <w:pStyle w:val="Source"/>
              <w:rPr>
                <w:i w:val="0"/>
                <w:iCs/>
              </w:rPr>
            </w:pPr>
            <w:r>
              <w:rPr>
                <w:i w:val="0"/>
                <w:iCs/>
              </w:rPr>
              <w:t>Note 4: The analysis provided in this table is general in nature and not representative of any individual rental property investor. It is not intended or suitable to be used for individual investment decisions.</w:t>
            </w:r>
          </w:p>
          <w:p w14:paraId="11DC7B75" w14:textId="77777777" w:rsidR="00676882" w:rsidRDefault="00676882" w:rsidP="00DF45FA">
            <w:pPr>
              <w:pStyle w:val="Source"/>
            </w:pPr>
            <w:r>
              <w:t>Source: ACIL Allen</w:t>
            </w:r>
          </w:p>
        </w:tc>
      </w:tr>
      <w:tr w:rsidR="00676882" w14:paraId="19FBCCEE"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06879214" w14:textId="77777777" w:rsidR="00676882" w:rsidRDefault="00676882" w:rsidP="00DF45FA">
            <w:pPr>
              <w:pStyle w:val="spacer"/>
            </w:pPr>
          </w:p>
        </w:tc>
      </w:tr>
    </w:tbl>
    <w:p w14:paraId="6BF17AC2" w14:textId="77777777" w:rsidR="00676882" w:rsidRDefault="00676882" w:rsidP="00676882">
      <w:r>
        <w:t xml:space="preserve">The results in </w:t>
      </w:r>
      <w:r w:rsidRPr="009E4AB1">
        <w:fldChar w:fldCharType="begin"/>
      </w:r>
      <w:r w:rsidRPr="009E4AB1">
        <w:instrText xml:space="preserve"> REF _Ref75897024 \h  \* MERGEFORMAT </w:instrText>
      </w:r>
      <w:r w:rsidRPr="009E4AB1">
        <w:fldChar w:fldCharType="separate"/>
      </w:r>
      <w:r w:rsidRPr="00F32FCC">
        <w:t>Table 5.4</w:t>
      </w:r>
      <w:r w:rsidRPr="009E4AB1">
        <w:fldChar w:fldCharType="end"/>
      </w:r>
      <w:r>
        <w:t xml:space="preserve"> and </w:t>
      </w:r>
      <w:r w:rsidRPr="009E4AB1">
        <w:fldChar w:fldCharType="begin"/>
      </w:r>
      <w:r w:rsidRPr="009E4AB1">
        <w:instrText xml:space="preserve"> REF _Ref75897175 \h  \* MERGEFORMAT </w:instrText>
      </w:r>
      <w:r w:rsidRPr="009E4AB1">
        <w:fldChar w:fldCharType="separate"/>
      </w:r>
      <w:r w:rsidRPr="00F32FCC">
        <w:t>Table 5.5</w:t>
      </w:r>
      <w:r w:rsidRPr="009E4AB1">
        <w:fldChar w:fldCharType="end"/>
      </w:r>
      <w:r>
        <w:t xml:space="preserve"> indicate that the minimum standard options are unlikely to have sizable impacts on the rental returns for all rental providers. The impacts, assuming no cost pass-through, are likely to be marginal for most investors. However, the impacts may be material for some rental providers with already low rental returns, or for those with low property values which require the most extensive upgrading to meet the minimum standards.</w:t>
      </w:r>
    </w:p>
    <w:p w14:paraId="29FF5C70" w14:textId="77777777" w:rsidR="00676882" w:rsidRDefault="00676882" w:rsidP="00676882">
      <w:r>
        <w:lastRenderedPageBreak/>
        <w:t>These results are based on the average net present value upgrade costs per unit (inclusive of inspections and rectification costs as required) for each scenario of:</w:t>
      </w:r>
    </w:p>
    <w:p w14:paraId="448A072F" w14:textId="77777777" w:rsidR="00676882" w:rsidRDefault="00676882" w:rsidP="00676882">
      <w:pPr>
        <w:pStyle w:val="ListBullet"/>
      </w:pPr>
      <w:r>
        <w:t>insulation R3 $2,070</w:t>
      </w:r>
    </w:p>
    <w:p w14:paraId="7E426F63" w14:textId="77777777" w:rsidR="00676882" w:rsidRDefault="00676882" w:rsidP="00676882">
      <w:pPr>
        <w:pStyle w:val="ListBullet"/>
      </w:pPr>
      <w:r>
        <w:t>insulation R5: $2,388</w:t>
      </w:r>
    </w:p>
    <w:p w14:paraId="55B81695" w14:textId="77777777" w:rsidR="00676882" w:rsidRDefault="00676882" w:rsidP="00676882">
      <w:pPr>
        <w:pStyle w:val="ListBullet"/>
      </w:pPr>
      <w:r>
        <w:t>heater: $3,189</w:t>
      </w:r>
    </w:p>
    <w:p w14:paraId="12474872" w14:textId="77777777" w:rsidR="00676882" w:rsidRDefault="00676882" w:rsidP="00676882">
      <w:pPr>
        <w:pStyle w:val="ListBullet"/>
      </w:pPr>
      <w:r>
        <w:t>performance 2-star: $4,650</w:t>
      </w:r>
    </w:p>
    <w:p w14:paraId="53B2E99F" w14:textId="77777777" w:rsidR="00676882" w:rsidRDefault="00676882" w:rsidP="00676882">
      <w:pPr>
        <w:pStyle w:val="ListBullet"/>
      </w:pPr>
      <w:r>
        <w:t>performance 3-star: $7,506.</w:t>
      </w:r>
    </w:p>
    <w:p w14:paraId="11B9590C" w14:textId="77777777" w:rsidR="00676882" w:rsidRDefault="00676882" w:rsidP="00676882">
      <w:pPr>
        <w:pStyle w:val="BodyText"/>
      </w:pPr>
      <w:r>
        <w:t xml:space="preserve">More information on upgrade costs is included in section </w:t>
      </w:r>
      <w:r w:rsidRPr="009E4AB1">
        <w:fldChar w:fldCharType="begin"/>
      </w:r>
      <w:r w:rsidRPr="009E4AB1">
        <w:instrText xml:space="preserve"> REF _Ref80467181 \r \h  \* MERGEFORMAT </w:instrText>
      </w:r>
      <w:r w:rsidRPr="009E4AB1">
        <w:fldChar w:fldCharType="separate"/>
      </w:r>
      <w:r>
        <w:t>B.2</w:t>
      </w:r>
      <w:r w:rsidRPr="009E4AB1">
        <w:fldChar w:fldCharType="end"/>
      </w:r>
      <w:r>
        <w:t xml:space="preserve">, and are sensitivity tested in section </w:t>
      </w:r>
      <w:r w:rsidRPr="009E4AB1">
        <w:fldChar w:fldCharType="begin"/>
      </w:r>
      <w:r w:rsidRPr="009E4AB1">
        <w:instrText xml:space="preserve"> REF _Ref80467227 \r \h  \* MERGEFORMAT </w:instrText>
      </w:r>
      <w:r w:rsidRPr="009E4AB1">
        <w:fldChar w:fldCharType="separate"/>
      </w:r>
      <w:r>
        <w:t>5.4.5</w:t>
      </w:r>
      <w:r w:rsidRPr="009E4AB1">
        <w:fldChar w:fldCharType="end"/>
      </w:r>
      <w:r>
        <w:t xml:space="preserve"> and section </w:t>
      </w:r>
      <w:r w:rsidRPr="009E4AB1">
        <w:fldChar w:fldCharType="begin"/>
      </w:r>
      <w:r w:rsidRPr="009E4AB1">
        <w:instrText xml:space="preserve"> REF _Ref76308359 \r \h  \* MERGEFORMAT </w:instrText>
      </w:r>
      <w:r w:rsidRPr="009E4AB1">
        <w:fldChar w:fldCharType="separate"/>
      </w:r>
      <w:r>
        <w:t>5.4.6</w:t>
      </w:r>
      <w:r w:rsidRPr="009E4AB1">
        <w:fldChar w:fldCharType="end"/>
      </w:r>
      <w:r>
        <w:t>.</w:t>
      </w:r>
    </w:p>
    <w:bookmarkEnd w:id="232"/>
    <w:bookmarkEnd w:id="235"/>
    <w:p w14:paraId="0E99E480" w14:textId="77777777" w:rsidR="00676882" w:rsidRDefault="00676882" w:rsidP="00676882">
      <w:pPr>
        <w:pStyle w:val="Heading6"/>
      </w:pPr>
      <w:r>
        <w:t>Liquidity constraints</w:t>
      </w:r>
    </w:p>
    <w:p w14:paraId="40DFAC63" w14:textId="77777777" w:rsidR="00676882" w:rsidRDefault="00676882" w:rsidP="00676882">
      <w:pPr>
        <w:pStyle w:val="BodyText"/>
      </w:pPr>
      <w:r>
        <w:t>During the stakeholder consultation process, several groups identified that unexpected large capital outlays (for example, having to upgrade the insulation of a rental property) may put unbearable short-term pressures on some rental providers. Examples were given by groups representing real estate agents and financial advisors that some rental providers may be unable to afford existing unexpected maintenance costs — and that further costs would push some rental providers into mortgage stress. This is likely to lead to some rental providers selling their properties which in turn is likely to result in the property being upgraded to be more energy-efficient, or demolished and redeveloped, whether it is purchased by an investor or an owner occupier.</w:t>
      </w:r>
    </w:p>
    <w:p w14:paraId="5FE51A0B" w14:textId="77777777" w:rsidR="00676882" w:rsidRDefault="00676882" w:rsidP="00676882">
      <w:pPr>
        <w:pStyle w:val="Heading6"/>
      </w:pPr>
      <w:r>
        <w:t>Unquantified benefits of the minimum standards to rental providers</w:t>
      </w:r>
    </w:p>
    <w:p w14:paraId="73250E28" w14:textId="77777777" w:rsidR="00676882" w:rsidRDefault="00676882" w:rsidP="00676882">
      <w:pPr>
        <w:pStyle w:val="BodyText"/>
      </w:pPr>
      <w:r>
        <w:t xml:space="preserve">It was noted by several stakeholders in separate workshops that there are </w:t>
      </w:r>
      <w:proofErr w:type="gramStart"/>
      <w:r>
        <w:t>a number of</w:t>
      </w:r>
      <w:proofErr w:type="gramEnd"/>
      <w:r>
        <w:t xml:space="preserve"> potentially beneficial impacts for rental providers, which can positively affect returns for rental providers:</w:t>
      </w:r>
    </w:p>
    <w:p w14:paraId="6F9CFF87" w14:textId="77777777" w:rsidR="00676882" w:rsidRDefault="00676882" w:rsidP="00676882">
      <w:pPr>
        <w:pStyle w:val="ListBullet"/>
      </w:pPr>
      <w:r>
        <w:t>Greater tenant retention in comfortable houses – for instance, tenants who come from other areas who are unfamiliar with Canberra’s climate often choose to move tenancies after the initial lease period to find a more comfortable home.</w:t>
      </w:r>
    </w:p>
    <w:p w14:paraId="7503C691" w14:textId="77777777" w:rsidR="00676882" w:rsidRDefault="00676882" w:rsidP="00676882">
      <w:pPr>
        <w:pStyle w:val="ListBullet"/>
      </w:pPr>
      <w:r>
        <w:t>Greater security of income – for some rental properties, improved energy efficiency will result in reduced bills which has the potential to alleviated financially-stressed household budgets. As a result, for some rental providers, they will secure more reliable rental incomes.</w:t>
      </w:r>
    </w:p>
    <w:p w14:paraId="2CE59181" w14:textId="77777777" w:rsidR="00676882" w:rsidRPr="009613A8" w:rsidRDefault="00676882" w:rsidP="00676882">
      <w:pPr>
        <w:pStyle w:val="ListBullet"/>
      </w:pPr>
      <w:r>
        <w:t>Capital appreciation – investments in thermal comfort and energy efficiency make properties more appealing to buyers. As a result, some rental providers will garner some capital appreciation from investments in the property.</w:t>
      </w:r>
    </w:p>
    <w:p w14:paraId="7E0BB9D5" w14:textId="77777777" w:rsidR="00676882" w:rsidRDefault="00676882" w:rsidP="00676882">
      <w:pPr>
        <w:pStyle w:val="Heading5"/>
      </w:pPr>
      <w:bookmarkStart w:id="239" w:name="_Hlk77255790"/>
      <w:r>
        <w:t>Response from rental providers to minimum standards</w:t>
      </w:r>
    </w:p>
    <w:bookmarkEnd w:id="239"/>
    <w:p w14:paraId="22E51485" w14:textId="77777777" w:rsidR="00676882" w:rsidRDefault="00676882" w:rsidP="00676882">
      <w:pPr>
        <w:pStyle w:val="BodyText"/>
      </w:pPr>
      <w:r>
        <w:t xml:space="preserve">ACIL Allen asked rental providers how they would respond to minimum standards on their existing rental properties. It is important to note that they were asked before details on the proposed standards were available, including before the potential costs and benefits were known. The majority (59 per cent) said they would increase the rent. The next largest group (21 per cent) said they would remove the property from the market and sell it — to either another rental provider or to an owner-occupier. About 16 per cent said that nothing would change under the proposed minimum standards. A further 5 per cent said they would redevelop the property or another option (see </w:t>
      </w:r>
      <w:r w:rsidRPr="009E4AB1">
        <w:fldChar w:fldCharType="begin"/>
      </w:r>
      <w:r w:rsidRPr="009E4AB1">
        <w:instrText xml:space="preserve"> REF _Ref80452005 \h  \* MERGEFORMAT </w:instrText>
      </w:r>
      <w:r w:rsidRPr="009E4AB1">
        <w:fldChar w:fldCharType="separate"/>
      </w:r>
      <w:r w:rsidRPr="00F32FCC">
        <w:t>Figure 5.14</w:t>
      </w:r>
      <w:r w:rsidRPr="009E4AB1">
        <w:fldChar w:fldCharType="end"/>
      </w:r>
      <w:r>
        <w:t>).</w:t>
      </w:r>
    </w:p>
    <w:p w14:paraId="4950FAC6" w14:textId="77777777" w:rsidR="00676882" w:rsidRDefault="00676882" w:rsidP="00676882">
      <w:pPr>
        <w:pStyle w:val="Caption"/>
      </w:pPr>
      <w:bookmarkStart w:id="240" w:name="_Ref80452005"/>
      <w:bookmarkStart w:id="241" w:name="_Toc80719274"/>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14</w:t>
      </w:r>
      <w:r w:rsidRPr="006B0263">
        <w:rPr>
          <w:rStyle w:val="CaptionLabel"/>
        </w:rPr>
        <w:fldChar w:fldCharType="end"/>
      </w:r>
      <w:bookmarkEnd w:id="240"/>
      <w:r>
        <w:tab/>
        <w:t>Reported response of rental providers</w:t>
      </w:r>
      <w:bookmarkEnd w:id="241"/>
    </w:p>
    <w:p w14:paraId="42B14A35" w14:textId="77777777" w:rsidR="00676882" w:rsidRPr="00AB776E" w:rsidRDefault="00676882" w:rsidP="00676882">
      <w:pPr>
        <w:pStyle w:val="BodyText"/>
      </w:pPr>
      <w:r>
        <w:rPr>
          <w:noProof/>
        </w:rPr>
        <w:drawing>
          <wp:inline distT="0" distB="0" distL="0" distR="0" wp14:anchorId="1F63FFD4" wp14:editId="5A5A2DEC">
            <wp:extent cx="5039360" cy="3016000"/>
            <wp:effectExtent l="0" t="0" r="0" b="0"/>
            <wp:docPr id="620" name="Picture 620"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Picture 620" descr="As per text."/>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039360" cy="3016000"/>
                    </a:xfrm>
                    <a:prstGeom prst="rect">
                      <a:avLst/>
                    </a:prstGeom>
                    <a:noFill/>
                  </pic:spPr>
                </pic:pic>
              </a:graphicData>
            </a:graphic>
          </wp:inline>
        </w:drawing>
      </w:r>
    </w:p>
    <w:p w14:paraId="2678A9A6" w14:textId="77777777" w:rsidR="00676882" w:rsidRPr="005A25BB" w:rsidRDefault="00676882" w:rsidP="00676882">
      <w:pPr>
        <w:pStyle w:val="BodyText"/>
        <w:spacing w:before="0" w:after="0" w:line="0" w:lineRule="atLeast"/>
        <w:rPr>
          <w:b/>
          <w:bCs/>
          <w:i/>
          <w:iCs/>
          <w:sz w:val="16"/>
          <w:szCs w:val="16"/>
        </w:rPr>
      </w:pPr>
      <w:r w:rsidRPr="005A25BB">
        <w:rPr>
          <w:i/>
          <w:iCs/>
          <w:sz w:val="16"/>
          <w:szCs w:val="16"/>
        </w:rPr>
        <w:t>Source: ACIL Allen</w:t>
      </w:r>
    </w:p>
    <w:p w14:paraId="7E110956" w14:textId="77777777" w:rsidR="00676882" w:rsidRDefault="00676882" w:rsidP="00676882">
      <w:pPr>
        <w:pStyle w:val="BodyText"/>
      </w:pPr>
      <w:r w:rsidRPr="00317FC0">
        <w:t>Of</w:t>
      </w:r>
      <w:r>
        <w:t xml:space="preserve"> </w:t>
      </w:r>
      <w:r w:rsidRPr="00317FC0">
        <w:t>those</w:t>
      </w:r>
      <w:r>
        <w:t xml:space="preserve"> who said they would increase rents, the majority (77 per cent) said they would pass through the additional cost in whole. About 17 per cent would increase rents by less than the additional costs, effectively sharing the costs with tenants. Five per cent said they would increase rents greater than the costs of any required upgrades (see </w:t>
      </w:r>
      <w:r w:rsidRPr="009E4AB1">
        <w:fldChar w:fldCharType="begin"/>
      </w:r>
      <w:r w:rsidRPr="009E4AB1">
        <w:instrText xml:space="preserve"> REF _Ref80452991 \h  \* MERGEFORMAT </w:instrText>
      </w:r>
      <w:r w:rsidRPr="009E4AB1">
        <w:fldChar w:fldCharType="separate"/>
      </w:r>
      <w:r w:rsidRPr="00F32FCC">
        <w:t>Figure 5.15</w:t>
      </w:r>
      <w:r w:rsidRPr="009E4AB1">
        <w:fldChar w:fldCharType="end"/>
      </w:r>
      <w:r>
        <w:t>).</w:t>
      </w:r>
    </w:p>
    <w:p w14:paraId="6EA025BF" w14:textId="77777777" w:rsidR="00676882" w:rsidRDefault="00676882" w:rsidP="00676882">
      <w:pPr>
        <w:pStyle w:val="Caption"/>
      </w:pPr>
      <w:bookmarkStart w:id="242" w:name="_Ref80452991"/>
      <w:bookmarkStart w:id="243" w:name="_Toc80719275"/>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15</w:t>
      </w:r>
      <w:r w:rsidRPr="006B0263">
        <w:rPr>
          <w:rStyle w:val="CaptionLabel"/>
        </w:rPr>
        <w:fldChar w:fldCharType="end"/>
      </w:r>
      <w:bookmarkEnd w:id="242"/>
      <w:r>
        <w:tab/>
        <w:t>Rental passthrough for rental properties</w:t>
      </w:r>
      <w:bookmarkEnd w:id="243"/>
    </w:p>
    <w:p w14:paraId="10D4F3D2" w14:textId="77777777" w:rsidR="00676882" w:rsidRPr="00900873" w:rsidRDefault="00676882" w:rsidP="00676882">
      <w:pPr>
        <w:pStyle w:val="BodyText"/>
      </w:pPr>
      <w:r>
        <w:rPr>
          <w:noProof/>
        </w:rPr>
        <w:drawing>
          <wp:inline distT="0" distB="0" distL="0" distR="0" wp14:anchorId="50A0A2A1" wp14:editId="3D8BE9E8">
            <wp:extent cx="5039360" cy="2169337"/>
            <wp:effectExtent l="0" t="0" r="8890" b="2540"/>
            <wp:docPr id="621" name="Picture 621"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Picture 621" descr="As per text."/>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039360" cy="2169337"/>
                    </a:xfrm>
                    <a:prstGeom prst="rect">
                      <a:avLst/>
                    </a:prstGeom>
                    <a:noFill/>
                  </pic:spPr>
                </pic:pic>
              </a:graphicData>
            </a:graphic>
          </wp:inline>
        </w:drawing>
      </w:r>
    </w:p>
    <w:p w14:paraId="549A7443" w14:textId="77777777" w:rsidR="00676882" w:rsidRPr="005A25BB" w:rsidRDefault="00676882" w:rsidP="00676882">
      <w:pPr>
        <w:pStyle w:val="BodyText"/>
        <w:spacing w:before="0" w:after="0" w:line="0" w:lineRule="atLeast"/>
        <w:rPr>
          <w:b/>
          <w:bCs/>
          <w:i/>
          <w:iCs/>
          <w:sz w:val="16"/>
          <w:szCs w:val="16"/>
        </w:rPr>
      </w:pPr>
      <w:r w:rsidRPr="005A25BB">
        <w:rPr>
          <w:i/>
          <w:iCs/>
          <w:sz w:val="16"/>
          <w:szCs w:val="16"/>
        </w:rPr>
        <w:t>Source: ACIL Allen</w:t>
      </w:r>
    </w:p>
    <w:p w14:paraId="446B184A" w14:textId="77777777" w:rsidR="00676882" w:rsidRDefault="00676882" w:rsidP="00676882">
      <w:pPr>
        <w:pStyle w:val="Heading5"/>
      </w:pPr>
      <w:r>
        <w:t>Interaction with existing regulation</w:t>
      </w:r>
    </w:p>
    <w:p w14:paraId="5B8FA294" w14:textId="77777777" w:rsidR="00676882" w:rsidRDefault="00676882" w:rsidP="00676882">
      <w:pPr>
        <w:pStyle w:val="BodyText"/>
      </w:pPr>
      <w:r>
        <w:t xml:space="preserve">Stakeholders consulted highlighted that the </w:t>
      </w:r>
      <w:r>
        <w:rPr>
          <w:i/>
          <w:iCs/>
        </w:rPr>
        <w:t xml:space="preserve">Residential Tenancies Amendment Act </w:t>
      </w:r>
      <w:sdt>
        <w:sdtPr>
          <w:rPr>
            <w:i/>
            <w:iCs/>
          </w:rPr>
          <w:id w:val="-902602364"/>
          <w:citation/>
        </w:sdtPr>
        <w:sdtContent>
          <w:r w:rsidRPr="000D6339">
            <w:rPr>
              <w:i/>
              <w:iCs/>
            </w:rPr>
            <w:fldChar w:fldCharType="begin"/>
          </w:r>
          <w:r w:rsidRPr="000D6339">
            <w:rPr>
              <w:i/>
              <w:iCs/>
            </w:rPr>
            <w:instrText xml:space="preserve">CITATION Res19 \n  \t  \l 3081 </w:instrText>
          </w:r>
          <w:r w:rsidRPr="000D6339">
            <w:rPr>
              <w:i/>
              <w:iCs/>
            </w:rPr>
            <w:fldChar w:fldCharType="separate"/>
          </w:r>
          <w:r>
            <w:rPr>
              <w:noProof/>
            </w:rPr>
            <w:t>(2019)</w:t>
          </w:r>
          <w:r w:rsidRPr="000D6339">
            <w:rPr>
              <w:i/>
              <w:iCs/>
            </w:rPr>
            <w:fldChar w:fldCharType="end"/>
          </w:r>
        </w:sdtContent>
      </w:sdt>
      <w:r>
        <w:rPr>
          <w:i/>
          <w:iCs/>
        </w:rPr>
        <w:t xml:space="preserve"> </w:t>
      </w:r>
      <w:r>
        <w:t xml:space="preserve">would inhibit the capacity for rental providers to readily pass-through costs to tenants (see section </w:t>
      </w:r>
      <w:r w:rsidRPr="009E4AB1">
        <w:fldChar w:fldCharType="begin"/>
      </w:r>
      <w:r w:rsidRPr="009E4AB1">
        <w:instrText xml:space="preserve"> REF _Ref72492184 \r \h  \* MERGEFORMAT </w:instrText>
      </w:r>
      <w:r w:rsidRPr="009E4AB1">
        <w:fldChar w:fldCharType="separate"/>
      </w:r>
      <w:r>
        <w:t>E.4</w:t>
      </w:r>
      <w:r w:rsidRPr="009E4AB1">
        <w:fldChar w:fldCharType="end"/>
      </w:r>
      <w:r>
        <w:t xml:space="preserve">). The current rental laws limit the capacity for rental providers to increase rents above a consumer price index-based formula. The laws were acknowledged as difficult to navigate and hard to interpret — for rental providers and tenants alike. </w:t>
      </w:r>
    </w:p>
    <w:p w14:paraId="305CDD7C" w14:textId="77777777" w:rsidR="00676882" w:rsidRDefault="00676882" w:rsidP="00676882">
      <w:pPr>
        <w:pStyle w:val="BodyText"/>
      </w:pPr>
      <w:r>
        <w:t xml:space="preserve">The changes under the </w:t>
      </w:r>
      <w:r>
        <w:rPr>
          <w:i/>
          <w:iCs/>
        </w:rPr>
        <w:t xml:space="preserve">Residential Tenancies Amendment Act (2019), </w:t>
      </w:r>
      <w:r w:rsidRPr="00BA4AD7">
        <w:t>however</w:t>
      </w:r>
      <w:r>
        <w:rPr>
          <w:i/>
          <w:iCs/>
        </w:rPr>
        <w:t xml:space="preserve">, </w:t>
      </w:r>
      <w:r>
        <w:t xml:space="preserve">will not prevent rent increases on existing leases above a prescribed rate, which is linked to the Consumer Price Index. While rent cannot be increased above the prescribed rate during the term of an agreement, rental providers can apply to the ACT Civil and Administrative Tribunal (ACAT) for rent increases above the prescribed amount at the end of a twelve-month period for existing leases. Under the </w:t>
      </w:r>
      <w:r w:rsidRPr="00C8770E">
        <w:rPr>
          <w:i/>
          <w:iCs/>
        </w:rPr>
        <w:lastRenderedPageBreak/>
        <w:t>Residential</w:t>
      </w:r>
      <w:r>
        <w:rPr>
          <w:i/>
          <w:iCs/>
        </w:rPr>
        <w:t xml:space="preserve"> </w:t>
      </w:r>
      <w:r w:rsidRPr="00C8770E">
        <w:rPr>
          <w:i/>
          <w:iCs/>
        </w:rPr>
        <w:t>Tenancies</w:t>
      </w:r>
      <w:r>
        <w:rPr>
          <w:i/>
          <w:iCs/>
        </w:rPr>
        <w:t xml:space="preserve"> </w:t>
      </w:r>
      <w:r w:rsidRPr="00C8770E">
        <w:rPr>
          <w:i/>
          <w:iCs/>
        </w:rPr>
        <w:t>ACT</w:t>
      </w:r>
      <w:r>
        <w:rPr>
          <w:i/>
          <w:iCs/>
        </w:rPr>
        <w:t xml:space="preserve"> </w:t>
      </w:r>
      <w:sdt>
        <w:sdtPr>
          <w:rPr>
            <w:i/>
            <w:iCs/>
          </w:rPr>
          <w:id w:val="1321776584"/>
          <w:citation/>
        </w:sdtPr>
        <w:sdtContent>
          <w:r w:rsidRPr="000D6339">
            <w:rPr>
              <w:i/>
              <w:iCs/>
            </w:rPr>
            <w:fldChar w:fldCharType="begin"/>
          </w:r>
          <w:r w:rsidRPr="000D6339">
            <w:rPr>
              <w:i/>
              <w:iCs/>
            </w:rPr>
            <w:instrText xml:space="preserve">CITATION Res97 \n  \t  \l 3081 </w:instrText>
          </w:r>
          <w:r w:rsidRPr="000D6339">
            <w:rPr>
              <w:i/>
              <w:iCs/>
            </w:rPr>
            <w:fldChar w:fldCharType="separate"/>
          </w:r>
          <w:r>
            <w:rPr>
              <w:noProof/>
            </w:rPr>
            <w:t>(1997)</w:t>
          </w:r>
          <w:r w:rsidRPr="000D6339">
            <w:rPr>
              <w:i/>
              <w:iCs/>
            </w:rPr>
            <w:fldChar w:fldCharType="end"/>
          </w:r>
        </w:sdtContent>
      </w:sdt>
      <w:r>
        <w:t>, ACAT can recognise “outgoings”, “</w:t>
      </w:r>
      <w:r w:rsidRPr="00881713">
        <w:t>the</w:t>
      </w:r>
      <w:r>
        <w:t xml:space="preserve"> </w:t>
      </w:r>
      <w:r w:rsidRPr="00881713">
        <w:t>value</w:t>
      </w:r>
      <w:r>
        <w:t xml:space="preserve"> </w:t>
      </w:r>
      <w:r w:rsidRPr="00881713">
        <w:t>of</w:t>
      </w:r>
      <w:r>
        <w:t xml:space="preserve"> </w:t>
      </w:r>
      <w:r w:rsidRPr="00881713">
        <w:t>fixtures</w:t>
      </w:r>
      <w:r>
        <w:t xml:space="preserve"> </w:t>
      </w:r>
      <w:r w:rsidRPr="00881713">
        <w:t>and</w:t>
      </w:r>
      <w:r>
        <w:t xml:space="preserve"> </w:t>
      </w:r>
      <w:r w:rsidRPr="00881713">
        <w:t>goods</w:t>
      </w:r>
      <w:r>
        <w:t xml:space="preserve"> </w:t>
      </w:r>
      <w:r w:rsidRPr="00881713">
        <w:t>supplied</w:t>
      </w:r>
      <w:r>
        <w:t xml:space="preserve"> </w:t>
      </w:r>
      <w:r w:rsidRPr="00881713">
        <w:t>by</w:t>
      </w:r>
      <w:r>
        <w:t xml:space="preserve"> </w:t>
      </w:r>
      <w:r w:rsidRPr="00881713">
        <w:t>the</w:t>
      </w:r>
      <w:r>
        <w:t xml:space="preserve"> </w:t>
      </w:r>
      <w:r w:rsidRPr="00881713">
        <w:t>lessor</w:t>
      </w:r>
      <w:r>
        <w:t xml:space="preserve"> </w:t>
      </w:r>
      <w:r w:rsidRPr="00881713">
        <w:t>as</w:t>
      </w:r>
      <w:r>
        <w:t xml:space="preserve"> </w:t>
      </w:r>
      <w:r w:rsidRPr="00881713">
        <w:t>part</w:t>
      </w:r>
      <w:r>
        <w:t xml:space="preserve"> </w:t>
      </w:r>
      <w:r w:rsidRPr="00881713">
        <w:t>of</w:t>
      </w:r>
      <w:r>
        <w:t xml:space="preserve"> </w:t>
      </w:r>
      <w:r w:rsidRPr="00881713">
        <w:t>the</w:t>
      </w:r>
      <w:r>
        <w:t xml:space="preserve"> </w:t>
      </w:r>
      <w:r w:rsidRPr="00881713">
        <w:t>tenancy</w:t>
      </w:r>
      <w:r>
        <w:t>” and “</w:t>
      </w:r>
      <w:r w:rsidRPr="00400206">
        <w:t>the</w:t>
      </w:r>
      <w:r>
        <w:t xml:space="preserve"> </w:t>
      </w:r>
      <w:r w:rsidRPr="00400206">
        <w:t>value</w:t>
      </w:r>
      <w:r>
        <w:t xml:space="preserve"> </w:t>
      </w:r>
      <w:r w:rsidRPr="00400206">
        <w:t>of</w:t>
      </w:r>
      <w:r>
        <w:t xml:space="preserve"> </w:t>
      </w:r>
      <w:r w:rsidRPr="00400206">
        <w:t>any</w:t>
      </w:r>
      <w:r>
        <w:t xml:space="preserve"> </w:t>
      </w:r>
      <w:r w:rsidRPr="00400206">
        <w:t>work</w:t>
      </w:r>
      <w:r>
        <w:t xml:space="preserve"> </w:t>
      </w:r>
      <w:r w:rsidRPr="00400206">
        <w:t>performed</w:t>
      </w:r>
      <w:r>
        <w:t xml:space="preserve"> </w:t>
      </w:r>
      <w:r w:rsidRPr="00400206">
        <w:t>or</w:t>
      </w:r>
      <w:r>
        <w:t xml:space="preserve"> </w:t>
      </w:r>
      <w:r w:rsidRPr="00400206">
        <w:t>improvements</w:t>
      </w:r>
      <w:r>
        <w:t>” in rental properties in approving excessive rent increases.</w:t>
      </w:r>
    </w:p>
    <w:p w14:paraId="75A9B017" w14:textId="77777777" w:rsidR="00676882" w:rsidRPr="00635420" w:rsidRDefault="00676882" w:rsidP="00676882">
      <w:pPr>
        <w:pStyle w:val="BodyText"/>
      </w:pPr>
      <w:r>
        <w:t xml:space="preserve">For new rental agreements, rental providers can propose any rent they like, so long as tenants agree. If many — if not most — of the upgrades will be triggered by new rental agreements during the phase-in period, the provision limiting rent increases in the </w:t>
      </w:r>
      <w:r>
        <w:rPr>
          <w:i/>
          <w:iCs/>
        </w:rPr>
        <w:t>Residential Tenancies Amendment Act (2019)</w:t>
      </w:r>
      <w:r>
        <w:t xml:space="preserve"> will not apply.</w:t>
      </w:r>
    </w:p>
    <w:p w14:paraId="09D55E97" w14:textId="77777777" w:rsidR="00676882" w:rsidRDefault="00676882" w:rsidP="00676882">
      <w:pPr>
        <w:pStyle w:val="BodyText"/>
      </w:pPr>
      <w:r>
        <w:t>Groups representing rental providers indicated that changes to taxation have also impacted returns to rental properties in recent years. Though the interaction with tax conditions is general. It will vary considerably amongst rental providers based on their own circumstances and are partly addressed above.</w:t>
      </w:r>
    </w:p>
    <w:p w14:paraId="599A80A0" w14:textId="77777777" w:rsidR="00676882" w:rsidRDefault="00676882" w:rsidP="00676882">
      <w:pPr>
        <w:pStyle w:val="Heading5"/>
      </w:pPr>
      <w:bookmarkStart w:id="244" w:name="_Hlk75983658"/>
      <w:r>
        <w:t>Impacts on the rental market</w:t>
      </w:r>
    </w:p>
    <w:p w14:paraId="174555B1" w14:textId="77777777" w:rsidR="00676882" w:rsidRDefault="00676882" w:rsidP="00676882">
      <w:pPr>
        <w:pStyle w:val="BodyText"/>
      </w:pPr>
      <w:r>
        <w:t xml:space="preserve">The impacts on the rental market from the proposed standards are an important consideration. Canberra has vacancy rates of 0.9 per cent, the lowest of any capital city </w:t>
      </w:r>
      <w:sdt>
        <w:sdtPr>
          <w:id w:val="114022371"/>
          <w:citation/>
        </w:sdtPr>
        <w:sdtContent>
          <w:r>
            <w:fldChar w:fldCharType="begin"/>
          </w:r>
          <w:r>
            <w:instrText xml:space="preserve"> CITATION CMT21 \l 3081 </w:instrText>
          </w:r>
          <w:r>
            <w:fldChar w:fldCharType="separate"/>
          </w:r>
          <w:r>
            <w:rPr>
              <w:noProof/>
            </w:rPr>
            <w:t>(CMTEDD, 2021)</w:t>
          </w:r>
          <w:r>
            <w:fldChar w:fldCharType="end"/>
          </w:r>
        </w:sdtContent>
      </w:sdt>
      <w:r>
        <w:t>. Tenants who responded to ACIL Allen’s survey indicated how difficult it can be to find rental properties. 50 per cent of respondents said it would be impossible to find an equivalent rental property to their current dwelling within their budget, a further 38.5 per cent thought it would be difficult. Only 11.5 per cent of respondents thought it would be possible to find an equivalent rental property.</w:t>
      </w:r>
    </w:p>
    <w:p w14:paraId="59F5196D" w14:textId="77777777" w:rsidR="00676882" w:rsidRDefault="00676882" w:rsidP="00676882">
      <w:pPr>
        <w:pStyle w:val="BodyText"/>
      </w:pPr>
      <w:r>
        <w:t xml:space="preserve">The full extent of the impacts on the rental market is beyond the scope of this report. However, the analysis of rental returns, above, as well as the survey results suggest that the proposed standards will not drive </w:t>
      </w:r>
      <w:proofErr w:type="gramStart"/>
      <w:r>
        <w:t>the majority of</w:t>
      </w:r>
      <w:proofErr w:type="gramEnd"/>
      <w:r>
        <w:t xml:space="preserve"> rental providers to withdraw their property from the rental market. </w:t>
      </w:r>
    </w:p>
    <w:p w14:paraId="2ADD584B" w14:textId="77777777" w:rsidR="00676882" w:rsidRDefault="00676882" w:rsidP="00676882">
      <w:pPr>
        <w:pStyle w:val="BodyText"/>
      </w:pPr>
      <w:r>
        <w:t xml:space="preserve">While some rental providers may choose to sell their rental property to an investor who would prefer lower returns with less risk, other rental providers may sell their property to a new owner-occupier which may or may also relieve demand on the rental market. A portion of rental providers may demolish an existing low energy-efficiency rental property (for example, an ex-government 400 series house in Canberra’s older suburbs — illustrated in </w:t>
      </w:r>
      <w:r w:rsidRPr="009E4AB1">
        <w:fldChar w:fldCharType="begin"/>
      </w:r>
      <w:r w:rsidRPr="009E4AB1">
        <w:instrText xml:space="preserve"> REF _Ref80453063 \h  \* MERGEFORMAT </w:instrText>
      </w:r>
      <w:r w:rsidRPr="009E4AB1">
        <w:fldChar w:fldCharType="separate"/>
      </w:r>
      <w:r w:rsidRPr="00F32FCC">
        <w:t>Figure 5.16</w:t>
      </w:r>
      <w:r w:rsidRPr="009E4AB1">
        <w:fldChar w:fldCharType="end"/>
      </w:r>
      <w:r>
        <w:t xml:space="preserve">) and replace it with several new energy-efficient properties. </w:t>
      </w:r>
    </w:p>
    <w:p w14:paraId="08910C17" w14:textId="77777777" w:rsidR="00676882" w:rsidRDefault="00676882" w:rsidP="00676882">
      <w:pPr>
        <w:pStyle w:val="Caption"/>
      </w:pPr>
      <w:bookmarkStart w:id="245" w:name="_Ref80453063"/>
      <w:bookmarkStart w:id="246" w:name="_Toc80719276"/>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16</w:t>
      </w:r>
      <w:r w:rsidRPr="006B0263">
        <w:rPr>
          <w:rStyle w:val="CaptionLabel"/>
        </w:rPr>
        <w:fldChar w:fldCharType="end"/>
      </w:r>
      <w:bookmarkEnd w:id="245"/>
      <w:r>
        <w:tab/>
      </w:r>
      <w:r w:rsidRPr="004231C8">
        <w:t>400 series “ex-govie” properties common in Canberra’s older suburbs</w:t>
      </w:r>
      <w:bookmarkEnd w:id="246"/>
    </w:p>
    <w:p w14:paraId="3F8995D6" w14:textId="77777777" w:rsidR="00676882" w:rsidRDefault="00676882" w:rsidP="00676882">
      <w:pPr>
        <w:pStyle w:val="BodyText"/>
        <w:keepNext/>
      </w:pPr>
      <w:r>
        <w:rPr>
          <w:noProof/>
        </w:rPr>
        <w:drawing>
          <wp:inline distT="0" distB="0" distL="0" distR="0" wp14:anchorId="3B9946F1" wp14:editId="02436758">
            <wp:extent cx="5039360" cy="3361690"/>
            <wp:effectExtent l="0" t="0" r="8890" b="0"/>
            <wp:docPr id="622" name="Picture 622" descr="An original browning technical drawing of the ex-govie houses, common in Canberran suburb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Picture 622" descr="An original browning technical drawing of the ex-govie houses, common in Canberran suburbs."/>
                    <pic:cNvPicPr/>
                  </pic:nvPicPr>
                  <pic:blipFill>
                    <a:blip r:embed="rId70"/>
                    <a:stretch>
                      <a:fillRect/>
                    </a:stretch>
                  </pic:blipFill>
                  <pic:spPr>
                    <a:xfrm>
                      <a:off x="0" y="0"/>
                      <a:ext cx="5039360" cy="3361690"/>
                    </a:xfrm>
                    <a:prstGeom prst="rect">
                      <a:avLst/>
                    </a:prstGeom>
                  </pic:spPr>
                </pic:pic>
              </a:graphicData>
            </a:graphic>
          </wp:inline>
        </w:drawing>
      </w:r>
    </w:p>
    <w:p w14:paraId="1C461786" w14:textId="77777777" w:rsidR="00676882" w:rsidRPr="006B0263" w:rsidRDefault="00676882" w:rsidP="00676882">
      <w:pPr>
        <w:pStyle w:val="BodyText"/>
        <w:keepNext/>
        <w:spacing w:before="0" w:after="0" w:line="0" w:lineRule="atLeast"/>
        <w:rPr>
          <w:i/>
          <w:iCs/>
          <w:sz w:val="16"/>
          <w:szCs w:val="16"/>
        </w:rPr>
      </w:pPr>
      <w:r w:rsidRPr="006B0263">
        <w:rPr>
          <w:i/>
          <w:iCs/>
          <w:sz w:val="16"/>
          <w:szCs w:val="16"/>
        </w:rPr>
        <w:t xml:space="preserve">Source: ArchivesACT via </w:t>
      </w:r>
      <w:sdt>
        <w:sdtPr>
          <w:rPr>
            <w:i/>
            <w:iCs/>
            <w:sz w:val="16"/>
            <w:szCs w:val="16"/>
          </w:rPr>
          <w:id w:val="360793551"/>
          <w:citation/>
        </w:sdtPr>
        <w:sdtContent>
          <w:r w:rsidRPr="006B0263">
            <w:rPr>
              <w:i/>
              <w:iCs/>
              <w:sz w:val="16"/>
              <w:szCs w:val="16"/>
            </w:rPr>
            <w:fldChar w:fldCharType="begin"/>
          </w:r>
          <w:r w:rsidRPr="006B0263">
            <w:rPr>
              <w:i/>
              <w:iCs/>
              <w:sz w:val="16"/>
              <w:szCs w:val="16"/>
            </w:rPr>
            <w:instrText xml:space="preserve"> CITATION Son17 \l 3081 </w:instrText>
          </w:r>
          <w:r w:rsidRPr="006B0263">
            <w:rPr>
              <w:i/>
              <w:iCs/>
              <w:sz w:val="16"/>
              <w:szCs w:val="16"/>
            </w:rPr>
            <w:fldChar w:fldCharType="separate"/>
          </w:r>
          <w:r w:rsidRPr="006B0263">
            <w:rPr>
              <w:i/>
              <w:iCs/>
              <w:sz w:val="16"/>
              <w:szCs w:val="16"/>
            </w:rPr>
            <w:t>(Gee, 2017)</w:t>
          </w:r>
          <w:r w:rsidRPr="006B0263">
            <w:rPr>
              <w:i/>
              <w:iCs/>
              <w:sz w:val="16"/>
              <w:szCs w:val="16"/>
            </w:rPr>
            <w:fldChar w:fldCharType="end"/>
          </w:r>
        </w:sdtContent>
      </w:sdt>
    </w:p>
    <w:p w14:paraId="48012EEB" w14:textId="77777777" w:rsidR="00676882" w:rsidRDefault="00676882" w:rsidP="00676882">
      <w:pPr>
        <w:pStyle w:val="BodyText"/>
      </w:pPr>
      <w:r>
        <w:t>In any case, there is no obvious impact pathway which would lead to a smaller housing stock in total (supply) in the ACT, especially in the rental market — though the proposed standards could conceivably increase demand or increase rent (price) as a result of creating rental properties which provide more benefits to tenants.</w:t>
      </w:r>
    </w:p>
    <w:p w14:paraId="7071D2E5" w14:textId="77777777" w:rsidR="00676882" w:rsidRDefault="00676882" w:rsidP="00676882">
      <w:pPr>
        <w:pStyle w:val="BodyText"/>
      </w:pPr>
      <w:r>
        <w:t xml:space="preserve">The proposed standards may have implications for the rental market beyond those properties which are forced to upgrade. Energy-efficiency and thermal control is a desirable element of rental properties. Accordingly, it can attract a premium in the market — tenants may be willing to pay more for an energy efficient property. As lower energy-efficient properties are improved, it may decrease this premium somewhat. Accordingly, some of the rent increases for those upgraded properties will be partially offset by rent decreases in other properties over the long-term. </w:t>
      </w:r>
    </w:p>
    <w:p w14:paraId="59B4A01D" w14:textId="77777777" w:rsidR="00676882" w:rsidRDefault="00676882" w:rsidP="00676882">
      <w:pPr>
        <w:pStyle w:val="BodyText"/>
      </w:pPr>
      <w:r>
        <w:t>More research would be required to properly analyse and predict impacts on the ACT’s rental market.</w:t>
      </w:r>
    </w:p>
    <w:p w14:paraId="016F5B5F" w14:textId="77777777" w:rsidR="00676882" w:rsidRDefault="00676882" w:rsidP="00676882">
      <w:pPr>
        <w:pStyle w:val="Heading3"/>
      </w:pPr>
      <w:bookmarkStart w:id="247" w:name="_Ref76308269"/>
      <w:r>
        <w:t>Understanding distributional impacts</w:t>
      </w:r>
      <w:bookmarkEnd w:id="247"/>
    </w:p>
    <w:p w14:paraId="2810EF08" w14:textId="77777777" w:rsidR="00676882" w:rsidRDefault="00676882" w:rsidP="00676882">
      <w:pPr>
        <w:pStyle w:val="BodyText"/>
      </w:pPr>
      <w:r>
        <w:t xml:space="preserve">It may appear odd that some of the minimum standards are positive at a household level but may be negative at the economy-wide level. It would seem natural that, if the sum of benefits is positive for tenants — and possibly neutral for rental providers — that the options should be positive for society overall. </w:t>
      </w:r>
    </w:p>
    <w:p w14:paraId="2CAEBD22" w14:textId="77777777" w:rsidR="00676882" w:rsidRDefault="00676882" w:rsidP="00676882">
      <w:pPr>
        <w:pStyle w:val="BodyText"/>
      </w:pPr>
      <w:r>
        <w:t xml:space="preserve">However, in these cases the value of energy savings for tenants is greater than the resource savings to society overall. Fixed network costs and energy retail costs still need to be recovered by energy retailers. Thereby, a large part of the tenants’ benefit is a result of a transfer between individuals — from society </w:t>
      </w:r>
      <w:proofErr w:type="gramStart"/>
      <w:r>
        <w:t>as a whole to</w:t>
      </w:r>
      <w:proofErr w:type="gramEnd"/>
      <w:r>
        <w:t xml:space="preserve"> tenants. Similarly, tax deductions for rental providers, which help ameliorate upgrade costs, are exactly offset by tax losses to the rest of society. This is illustrated in </w:t>
      </w:r>
      <w:r w:rsidRPr="009E4AB1">
        <w:fldChar w:fldCharType="begin"/>
      </w:r>
      <w:r w:rsidRPr="009E4AB1">
        <w:instrText xml:space="preserve"> REF _Ref80698687 \h  \* MERGEFORMAT </w:instrText>
      </w:r>
      <w:r w:rsidRPr="009E4AB1">
        <w:fldChar w:fldCharType="separate"/>
      </w:r>
      <w:r w:rsidRPr="00F32FCC">
        <w:t>Figure 5.17</w:t>
      </w:r>
      <w:r w:rsidRPr="009E4AB1">
        <w:fldChar w:fldCharType="end"/>
      </w:r>
      <w:r>
        <w:t>.</w:t>
      </w:r>
    </w:p>
    <w:p w14:paraId="469A7B4F" w14:textId="77777777" w:rsidR="00676882" w:rsidRDefault="00676882" w:rsidP="00676882">
      <w:pPr>
        <w:pStyle w:val="Caption"/>
        <w:ind w:left="-709"/>
      </w:pPr>
      <w:bookmarkStart w:id="248" w:name="_Ref80698687"/>
      <w:bookmarkStart w:id="249" w:name="_Toc80719277"/>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17</w:t>
      </w:r>
      <w:r w:rsidRPr="006B0263">
        <w:rPr>
          <w:rStyle w:val="CaptionLabel"/>
        </w:rPr>
        <w:fldChar w:fldCharType="end"/>
      </w:r>
      <w:bookmarkEnd w:id="248"/>
      <w:r>
        <w:tab/>
        <w:t>Redistribution of costs and benefits</w:t>
      </w:r>
      <w:bookmarkEnd w:id="249"/>
    </w:p>
    <w:p w14:paraId="2F795F81" w14:textId="77777777" w:rsidR="00676882" w:rsidRDefault="00676882" w:rsidP="00676882">
      <w:pPr>
        <w:pStyle w:val="BodyText"/>
        <w:ind w:left="-1843"/>
      </w:pPr>
      <w:r>
        <w:rPr>
          <w:noProof/>
        </w:rPr>
        <w:drawing>
          <wp:inline distT="0" distB="0" distL="0" distR="0" wp14:anchorId="6EE03BA3" wp14:editId="2B5CBD8D">
            <wp:extent cx="6135017" cy="2771775"/>
            <wp:effectExtent l="0" t="0" r="0" b="0"/>
            <wp:docPr id="61" name="Picture 61" descr="Shows that increases in rent, tax deductions, avoided retail charges and reduced retail charge are all transfers between rental providers, tenants and othe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Shows that increases in rent, tax deductions, avoided retail charges and reduced retail charge are all transfers between rental providers, tenants and others. "/>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6140394" cy="2774204"/>
                    </a:xfrm>
                    <a:prstGeom prst="rect">
                      <a:avLst/>
                    </a:prstGeom>
                    <a:noFill/>
                    <a:ln>
                      <a:noFill/>
                    </a:ln>
                  </pic:spPr>
                </pic:pic>
              </a:graphicData>
            </a:graphic>
          </wp:inline>
        </w:drawing>
      </w:r>
    </w:p>
    <w:p w14:paraId="5E5192E8" w14:textId="77777777" w:rsidR="00676882" w:rsidRPr="00020982" w:rsidRDefault="00676882" w:rsidP="00676882">
      <w:pPr>
        <w:pStyle w:val="Source"/>
        <w:ind w:left="-1843"/>
        <w:rPr>
          <w:i w:val="0"/>
          <w:iCs/>
        </w:rPr>
      </w:pPr>
      <w:r>
        <w:rPr>
          <w:i w:val="0"/>
          <w:iCs/>
        </w:rPr>
        <w:t xml:space="preserve">Note: The scale of impacts </w:t>
      </w:r>
      <w:proofErr w:type="gramStart"/>
      <w:r>
        <w:rPr>
          <w:i w:val="0"/>
          <w:iCs/>
        </w:rPr>
        <w:t>are</w:t>
      </w:r>
      <w:proofErr w:type="gramEnd"/>
      <w:r>
        <w:rPr>
          <w:i w:val="0"/>
          <w:iCs/>
        </w:rPr>
        <w:t xml:space="preserve"> illustrative only.</w:t>
      </w:r>
    </w:p>
    <w:p w14:paraId="7A7DAD36" w14:textId="77777777" w:rsidR="00676882" w:rsidRPr="005A25BB" w:rsidRDefault="00676882" w:rsidP="00676882">
      <w:pPr>
        <w:pStyle w:val="BodyText"/>
        <w:spacing w:before="0" w:after="0" w:line="0" w:lineRule="atLeast"/>
        <w:ind w:left="-1843"/>
        <w:rPr>
          <w:b/>
          <w:bCs/>
          <w:i/>
          <w:iCs/>
          <w:sz w:val="16"/>
          <w:szCs w:val="16"/>
        </w:rPr>
      </w:pPr>
      <w:r w:rsidRPr="005A25BB">
        <w:rPr>
          <w:i/>
          <w:iCs/>
          <w:sz w:val="16"/>
          <w:szCs w:val="16"/>
        </w:rPr>
        <w:t>Source: ACIL Allen</w:t>
      </w:r>
    </w:p>
    <w:p w14:paraId="426AF624" w14:textId="77777777" w:rsidR="00676882" w:rsidRDefault="00676882" w:rsidP="00676882">
      <w:pPr>
        <w:pStyle w:val="BodyText"/>
      </w:pPr>
      <w:r>
        <w:t xml:space="preserve">The energy charges that are reduced for tenants, but which do not result in costs being avoided, are transferred to other energy users — even those who have nothing to do with the minimum standards — through higher energy prices. </w:t>
      </w:r>
      <w:bookmarkStart w:id="250" w:name="_Hlk77681074"/>
      <w:r>
        <w:t xml:space="preserve">The benefit to tenants is exactly offset by increased costs elsewhere. </w:t>
      </w:r>
      <w:bookmarkEnd w:id="250"/>
      <w:r>
        <w:t>This type of transfer is called a pecuniary externality. In modelling the net impacts, this transfer at an economy-wide level is accounted for by using wholesale energy prices and avoided network costs (as a proxy for avoided resource costs), which is why it is used in this CBA.</w:t>
      </w:r>
    </w:p>
    <w:p w14:paraId="1C7190EE" w14:textId="77777777" w:rsidR="00676882" w:rsidRPr="00181EE0" w:rsidRDefault="00676882" w:rsidP="00676882">
      <w:pPr>
        <w:pStyle w:val="BodyText"/>
      </w:pPr>
      <w:r>
        <w:t xml:space="preserve">While it is true that tenants can be made better off, and rental providers can be left no worse off, this is because a large part of this benefit is transferred to the rest of society. Because the impact analysis </w:t>
      </w:r>
      <w:proofErr w:type="gramStart"/>
      <w:r>
        <w:t>has to</w:t>
      </w:r>
      <w:proofErr w:type="gramEnd"/>
      <w:r>
        <w:t xml:space="preserve"> consider all net impacts, including these transfers, at the society level, a large part of the benefit to tenants must be offset in headline net present value results when assessing the policy overall.</w:t>
      </w:r>
    </w:p>
    <w:p w14:paraId="4BD1C9BC" w14:textId="77777777" w:rsidR="00676882" w:rsidRDefault="00676882" w:rsidP="00676882">
      <w:pPr>
        <w:pStyle w:val="Heading2"/>
      </w:pPr>
      <w:bookmarkStart w:id="251" w:name="_Ref75897882"/>
      <w:bookmarkStart w:id="252" w:name="_Ref76115394"/>
      <w:bookmarkStart w:id="253" w:name="_Ref80291341"/>
      <w:bookmarkStart w:id="254" w:name="_Toc80712593"/>
      <w:bookmarkEnd w:id="244"/>
      <w:r>
        <w:t>Non-measurable benefit</w:t>
      </w:r>
      <w:bookmarkEnd w:id="220"/>
      <w:bookmarkEnd w:id="251"/>
      <w:bookmarkEnd w:id="252"/>
      <w:r>
        <w:t>s</w:t>
      </w:r>
      <w:bookmarkEnd w:id="253"/>
      <w:bookmarkEnd w:id="254"/>
      <w:r>
        <w:t xml:space="preserve"> </w:t>
      </w:r>
      <w:bookmarkEnd w:id="221"/>
    </w:p>
    <w:p w14:paraId="4A3511E1" w14:textId="77777777" w:rsidR="00676882" w:rsidRDefault="00676882" w:rsidP="00676882">
      <w:pPr>
        <w:pStyle w:val="BodyText"/>
      </w:pPr>
      <w:r>
        <w:t xml:space="preserve">As noted above, in addition to the impacts quantified in the CBA of the proposed minimum standards, there are </w:t>
      </w:r>
      <w:proofErr w:type="gramStart"/>
      <w:r>
        <w:t>a number of</w:t>
      </w:r>
      <w:proofErr w:type="gramEnd"/>
      <w:r>
        <w:t xml:space="preserve"> other impacts (both costs and benefits) associated with energy efficiency – both private and public that cannot be quantified due to a lack of existing estimates for the Australian context. These multiple impacts were mapped in our report </w:t>
      </w:r>
      <w:r>
        <w:rPr>
          <w:i/>
          <w:iCs/>
        </w:rPr>
        <w:t xml:space="preserve">Assessment Framework for the Multiple Impacts of Household Energy Efficiency </w:t>
      </w:r>
      <w:sdt>
        <w:sdtPr>
          <w:id w:val="1845350463"/>
          <w:citation/>
        </w:sdtPr>
        <w:sdtContent>
          <w:r>
            <w:fldChar w:fldCharType="begin"/>
          </w:r>
          <w:r>
            <w:instrText xml:space="preserve">CITATION ACI171 \n  \t  \l 3081 </w:instrText>
          </w:r>
          <w:r>
            <w:fldChar w:fldCharType="separate"/>
          </w:r>
          <w:r>
            <w:rPr>
              <w:noProof/>
            </w:rPr>
            <w:t>(2017)</w:t>
          </w:r>
          <w:r>
            <w:fldChar w:fldCharType="end"/>
          </w:r>
        </w:sdtContent>
      </w:sdt>
      <w:r>
        <w:t xml:space="preserve"> (see </w:t>
      </w:r>
      <w:r w:rsidRPr="009E4AB1">
        <w:fldChar w:fldCharType="begin"/>
      </w:r>
      <w:r w:rsidRPr="009E4AB1">
        <w:instrText xml:space="preserve"> REF _Ref80698707 \h  \* MERGEFORMAT </w:instrText>
      </w:r>
      <w:r w:rsidRPr="009E4AB1">
        <w:fldChar w:fldCharType="separate"/>
      </w:r>
      <w:r w:rsidRPr="00F32FCC">
        <w:t>Figure 5.18</w:t>
      </w:r>
      <w:r w:rsidRPr="009E4AB1">
        <w:fldChar w:fldCharType="end"/>
      </w:r>
      <w:r>
        <w:t>) and include the impacts of energy efficiency on:</w:t>
      </w:r>
    </w:p>
    <w:p w14:paraId="70FBC3BF" w14:textId="77777777" w:rsidR="00676882" w:rsidRDefault="00676882" w:rsidP="00676882">
      <w:pPr>
        <w:pStyle w:val="ListBullet"/>
      </w:pPr>
      <w:r>
        <w:t>health</w:t>
      </w:r>
      <w:r>
        <w:rPr>
          <w:rStyle w:val="FootnoteReference"/>
        </w:rPr>
        <w:footnoteReference w:id="7"/>
      </w:r>
      <w:r>
        <w:t xml:space="preserve"> and wellbeing</w:t>
      </w:r>
    </w:p>
    <w:p w14:paraId="05915C85" w14:textId="77777777" w:rsidR="00676882" w:rsidRDefault="00676882" w:rsidP="00676882">
      <w:pPr>
        <w:pStyle w:val="ListBullet"/>
      </w:pPr>
      <w:r>
        <w:t>the energy system</w:t>
      </w:r>
    </w:p>
    <w:p w14:paraId="3496FD9C" w14:textId="77777777" w:rsidR="00676882" w:rsidRDefault="00676882" w:rsidP="00676882">
      <w:pPr>
        <w:pStyle w:val="ListBullet"/>
      </w:pPr>
      <w:r>
        <w:t>the overall economy</w:t>
      </w:r>
    </w:p>
    <w:p w14:paraId="1F8C125B" w14:textId="77777777" w:rsidR="00676882" w:rsidRDefault="00676882" w:rsidP="00676882">
      <w:pPr>
        <w:pStyle w:val="ListBullet"/>
      </w:pPr>
      <w:r>
        <w:t>other participant benefits.</w:t>
      </w:r>
    </w:p>
    <w:p w14:paraId="5BA8E7E0" w14:textId="77777777" w:rsidR="00676882" w:rsidRPr="006B0263" w:rsidRDefault="00676882" w:rsidP="00676882">
      <w:pPr>
        <w:spacing w:before="0" w:after="0" w:line="240" w:lineRule="auto"/>
        <w:rPr>
          <w:i/>
          <w:iCs/>
          <w:sz w:val="16"/>
          <w:szCs w:val="16"/>
        </w:rPr>
        <w:sectPr w:rsidR="00676882" w:rsidRPr="006B0263" w:rsidSect="00F32FCC">
          <w:pgSz w:w="11906" w:h="16838"/>
          <w:pgMar w:top="1134" w:right="851" w:bottom="1134" w:left="3119" w:header="454" w:footer="374" w:gutter="0"/>
          <w:cols w:space="720"/>
        </w:sectPr>
      </w:pPr>
    </w:p>
    <w:p w14:paraId="79D46CC4" w14:textId="77777777" w:rsidR="00676882" w:rsidRDefault="00676882" w:rsidP="00676882">
      <w:pPr>
        <w:pStyle w:val="BodyText"/>
      </w:pPr>
    </w:p>
    <w:p w14:paraId="655D86B9" w14:textId="77777777" w:rsidR="00676882" w:rsidRDefault="00676882" w:rsidP="00676882">
      <w:pPr>
        <w:spacing w:before="0" w:after="0" w:line="240" w:lineRule="auto"/>
        <w:ind w:left="-2268"/>
      </w:pPr>
      <w:bookmarkStart w:id="255" w:name="_Ref80698707"/>
      <w:bookmarkStart w:id="256" w:name="_Toc80719278"/>
      <w:r>
        <w:rPr>
          <w:rStyle w:val="CaptionLabel"/>
        </w:rPr>
        <w:t>Figure </w:t>
      </w:r>
      <w:r>
        <w:fldChar w:fldCharType="begin"/>
      </w:r>
      <w:r>
        <w:rPr>
          <w:rStyle w:val="CaptionLabel"/>
        </w:rPr>
        <w:instrText xml:space="preserve"> STYLEREF 1 \S \* MERGEFORMAT </w:instrText>
      </w:r>
      <w:r>
        <w:fldChar w:fldCharType="separate"/>
      </w:r>
      <w:r>
        <w:rPr>
          <w:rStyle w:val="CaptionLabel"/>
          <w:noProof/>
        </w:rPr>
        <w:t>5</w:t>
      </w:r>
      <w:r>
        <w:fldChar w:fldCharType="end"/>
      </w:r>
      <w:r>
        <w:rPr>
          <w:rStyle w:val="CaptionLabel"/>
        </w:rPr>
        <w:t>.</w:t>
      </w:r>
      <w:r>
        <w:fldChar w:fldCharType="begin"/>
      </w:r>
      <w:r>
        <w:rPr>
          <w:rStyle w:val="CaptionLabel"/>
        </w:rPr>
        <w:instrText xml:space="preserve"> SEQ Figure \* ARABIC \S 1 \* MERGEFORMAT </w:instrText>
      </w:r>
      <w:r>
        <w:fldChar w:fldCharType="separate"/>
      </w:r>
      <w:r>
        <w:rPr>
          <w:rStyle w:val="CaptionLabel"/>
          <w:noProof/>
        </w:rPr>
        <w:t>18</w:t>
      </w:r>
      <w:r>
        <w:fldChar w:fldCharType="end"/>
      </w:r>
      <w:bookmarkEnd w:id="255"/>
      <w:r>
        <w:tab/>
        <w:t>Energy efficiency impacts logic map</w:t>
      </w:r>
      <w:bookmarkEnd w:id="256"/>
    </w:p>
    <w:p w14:paraId="50065A39" w14:textId="77777777" w:rsidR="00676882" w:rsidRDefault="00676882" w:rsidP="00676882">
      <w:pPr>
        <w:spacing w:before="0" w:after="0" w:line="240" w:lineRule="auto"/>
        <w:ind w:left="-2268"/>
      </w:pPr>
      <w:r>
        <w:rPr>
          <w:noProof/>
        </w:rPr>
        <w:drawing>
          <wp:inline distT="0" distB="0" distL="0" distR="0" wp14:anchorId="1FE092D5" wp14:editId="056DA93C">
            <wp:extent cx="9539424" cy="5063705"/>
            <wp:effectExtent l="0" t="0" r="5080" b="3810"/>
            <wp:docPr id="520" name="Picture 520" descr="Shows a complex mapping of costs and benefits, such as energy savings, reduced financial stress, improved diet, and so forth as they propagate amongst groups and ultimately to society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Picture 520" descr="Shows a complex mapping of costs and benefits, such as energy savings, reduced financial stress, improved diet, and so forth as they propagate amongst groups and ultimately to society level."/>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9550959" cy="5069828"/>
                    </a:xfrm>
                    <a:prstGeom prst="rect">
                      <a:avLst/>
                    </a:prstGeom>
                    <a:noFill/>
                    <a:ln>
                      <a:noFill/>
                    </a:ln>
                  </pic:spPr>
                </pic:pic>
              </a:graphicData>
            </a:graphic>
          </wp:inline>
        </w:drawing>
      </w:r>
    </w:p>
    <w:p w14:paraId="1EC00F94" w14:textId="77777777" w:rsidR="00676882" w:rsidRDefault="00676882" w:rsidP="00676882">
      <w:pPr>
        <w:pStyle w:val="Note"/>
        <w:ind w:left="-2268"/>
      </w:pPr>
      <w:r>
        <w:t>Note: impacts presented in a darker shade are, to date, underpinned by a more substantial evidence base than those in a lighter shade.</w:t>
      </w:r>
    </w:p>
    <w:p w14:paraId="4922768F" w14:textId="77777777" w:rsidR="00676882" w:rsidRDefault="00676882" w:rsidP="00676882">
      <w:pPr>
        <w:spacing w:before="0" w:after="0" w:line="240" w:lineRule="auto"/>
        <w:ind w:left="-2268"/>
        <w:sectPr w:rsidR="00676882" w:rsidSect="00F32FCC">
          <w:pgSz w:w="16838" w:h="11906" w:orient="landscape"/>
          <w:pgMar w:top="1134" w:right="851" w:bottom="1134" w:left="3119" w:header="454" w:footer="374" w:gutter="0"/>
          <w:cols w:space="720"/>
        </w:sectPr>
      </w:pPr>
      <w:r w:rsidRPr="007F2D37">
        <w:rPr>
          <w:i/>
          <w:iCs/>
          <w:sz w:val="16"/>
          <w:szCs w:val="16"/>
        </w:rPr>
        <w:t>Source: ACIL Allen</w:t>
      </w:r>
    </w:p>
    <w:p w14:paraId="4A2B24F7" w14:textId="77777777" w:rsidR="00676882" w:rsidRDefault="00676882" w:rsidP="00676882">
      <w:pPr>
        <w:pStyle w:val="BodyText"/>
      </w:pPr>
      <w:r>
        <w:lastRenderedPageBreak/>
        <w:t>These benefits are briefly discussed in the sections below.</w:t>
      </w:r>
    </w:p>
    <w:p w14:paraId="7435E979" w14:textId="77777777" w:rsidR="00676882" w:rsidRDefault="00676882" w:rsidP="00676882">
      <w:pPr>
        <w:pStyle w:val="Heading3"/>
      </w:pPr>
      <w:r>
        <w:t>Health and wellbeing</w:t>
      </w:r>
    </w:p>
    <w:p w14:paraId="534ACDAD" w14:textId="77777777" w:rsidR="00676882" w:rsidRDefault="00676882" w:rsidP="00676882">
      <w:pPr>
        <w:pStyle w:val="BodyText"/>
      </w:pPr>
      <w:r>
        <w:t xml:space="preserve">Residential energy efficiency actions can result in </w:t>
      </w:r>
      <w:proofErr w:type="gramStart"/>
      <w:r>
        <w:t>a number of</w:t>
      </w:r>
      <w:proofErr w:type="gramEnd"/>
      <w:r>
        <w:t xml:space="preserve"> health-related impacts in addition to the direct observable energy savings. Health and wellbeing impacts can materialise through three main pathways:</w:t>
      </w:r>
    </w:p>
    <w:p w14:paraId="77C15676" w14:textId="77777777" w:rsidR="00676882" w:rsidRDefault="00676882" w:rsidP="00676882">
      <w:pPr>
        <w:pStyle w:val="ListNumber"/>
        <w:numPr>
          <w:ilvl w:val="0"/>
          <w:numId w:val="44"/>
        </w:numPr>
      </w:pPr>
      <w:r>
        <w:t xml:space="preserve">Improved thermal quality – which reduces mortality from hot and cold extremes, as well as symptoms of a range of diseases such as respiratory and cardiovascular diseases, allergies, arthritis and rheumatism. Alleviation of chronic thermal discomfort can also contribute to improved mental wellbeing. Other indirect impacts (or co-benefits) of thermal quality that have been suggested in the literature, but are not yet well-established </w:t>
      </w:r>
      <w:sdt>
        <w:sdtPr>
          <w:id w:val="-1674646435"/>
          <w:citation/>
        </w:sdtPr>
        <w:sdtContent>
          <w:r>
            <w:fldChar w:fldCharType="begin"/>
          </w:r>
          <w:r>
            <w:rPr>
              <w:lang w:val="en-US"/>
            </w:rPr>
            <w:instrText xml:space="preserve"> CITATION IEA15 \l 1033 </w:instrText>
          </w:r>
          <w:r>
            <w:fldChar w:fldCharType="separate"/>
          </w:r>
          <w:r>
            <w:rPr>
              <w:noProof/>
              <w:lang w:val="en-US"/>
            </w:rPr>
            <w:t>(IEA, 2015)</w:t>
          </w:r>
          <w:r>
            <w:fldChar w:fldCharType="end"/>
          </w:r>
        </w:sdtContent>
      </w:sdt>
      <w:r>
        <w:t xml:space="preserve"> include:</w:t>
      </w:r>
    </w:p>
    <w:p w14:paraId="4F1EED4B" w14:textId="77777777" w:rsidR="00676882" w:rsidRDefault="00676882" w:rsidP="00676882">
      <w:pPr>
        <w:pStyle w:val="ListBullet2"/>
        <w:numPr>
          <w:ilvl w:val="1"/>
          <w:numId w:val="43"/>
        </w:numPr>
      </w:pPr>
      <w:r>
        <w:t>lessened family tensions if installation of energy efficiency measures allows more areas of the dwelling to be heated, lessening the need for the family to crowd into a single heated room</w:t>
      </w:r>
    </w:p>
    <w:p w14:paraId="70823CF8" w14:textId="77777777" w:rsidR="00676882" w:rsidRDefault="00676882" w:rsidP="00676882">
      <w:pPr>
        <w:pStyle w:val="ListBullet2"/>
        <w:numPr>
          <w:ilvl w:val="1"/>
          <w:numId w:val="43"/>
        </w:numPr>
      </w:pPr>
      <w:r>
        <w:t>reduced social isolation if energy efficiency measures reduce occupants’ embarrassment with their uncomfortable conditions</w:t>
      </w:r>
    </w:p>
    <w:p w14:paraId="4F69F76B" w14:textId="77777777" w:rsidR="00676882" w:rsidRDefault="00676882" w:rsidP="00676882">
      <w:pPr>
        <w:pStyle w:val="ListBullet2"/>
        <w:numPr>
          <w:ilvl w:val="1"/>
          <w:numId w:val="43"/>
        </w:numPr>
      </w:pPr>
      <w:r>
        <w:t>improved social cohesion and sense of community among residents</w:t>
      </w:r>
    </w:p>
    <w:p w14:paraId="2F45B17E" w14:textId="77777777" w:rsidR="00676882" w:rsidRDefault="00676882" w:rsidP="00676882">
      <w:pPr>
        <w:pStyle w:val="ListBullet2"/>
        <w:numPr>
          <w:ilvl w:val="1"/>
          <w:numId w:val="43"/>
        </w:numPr>
      </w:pPr>
      <w:r>
        <w:t>higher rates of school attendance</w:t>
      </w:r>
    </w:p>
    <w:p w14:paraId="1FB6FEA6" w14:textId="77777777" w:rsidR="00676882" w:rsidRDefault="00676882" w:rsidP="00676882">
      <w:pPr>
        <w:pStyle w:val="ListBullet2"/>
        <w:numPr>
          <w:ilvl w:val="1"/>
          <w:numId w:val="43"/>
        </w:numPr>
      </w:pPr>
      <w:r>
        <w:t xml:space="preserve">healthier lifestyles </w:t>
      </w:r>
    </w:p>
    <w:p w14:paraId="4A53F1E8" w14:textId="77777777" w:rsidR="00676882" w:rsidRDefault="00676882" w:rsidP="00676882">
      <w:pPr>
        <w:pStyle w:val="ListBullet2"/>
        <w:numPr>
          <w:ilvl w:val="1"/>
          <w:numId w:val="43"/>
        </w:numPr>
      </w:pPr>
      <w:r>
        <w:t>improved access to local services.</w:t>
      </w:r>
    </w:p>
    <w:p w14:paraId="117435B0" w14:textId="77777777" w:rsidR="00676882" w:rsidRDefault="00676882" w:rsidP="00676882">
      <w:pPr>
        <w:pStyle w:val="ListNumber"/>
        <w:numPr>
          <w:ilvl w:val="0"/>
          <w:numId w:val="42"/>
        </w:numPr>
      </w:pPr>
      <w:r>
        <w:t>Improved indoor air quality and reduced dampness – which can lead to improved physical health, and reduced mortality and morbidity.</w:t>
      </w:r>
    </w:p>
    <w:p w14:paraId="323C63B3" w14:textId="77777777" w:rsidR="00676882" w:rsidRDefault="00676882" w:rsidP="00676882">
      <w:pPr>
        <w:pStyle w:val="ListNumber"/>
        <w:numPr>
          <w:ilvl w:val="0"/>
          <w:numId w:val="42"/>
        </w:numPr>
      </w:pPr>
      <w:r>
        <w:t>Reduced household energy consumption and bill savings – as noted above, reduced spending on energy as a result of an energy efficiency intervention can lead to reduced financial stress among households experiencing energy bill pressure. This in turn can have other positive indirect effects, including:</w:t>
      </w:r>
    </w:p>
    <w:p w14:paraId="51C99DCC" w14:textId="77777777" w:rsidR="00676882" w:rsidRDefault="00676882" w:rsidP="00676882">
      <w:pPr>
        <w:pStyle w:val="ListBullet2"/>
        <w:numPr>
          <w:ilvl w:val="1"/>
          <w:numId w:val="43"/>
        </w:numPr>
      </w:pPr>
      <w:r>
        <w:t>reduced disconnection costs</w:t>
      </w:r>
    </w:p>
    <w:p w14:paraId="3EB777CC" w14:textId="77777777" w:rsidR="00676882" w:rsidRDefault="00676882" w:rsidP="00676882">
      <w:pPr>
        <w:pStyle w:val="ListBullet2"/>
        <w:numPr>
          <w:ilvl w:val="1"/>
          <w:numId w:val="43"/>
        </w:numPr>
      </w:pPr>
      <w:r>
        <w:t>improved mental wellbeing — energy efficiency may lead to improved mental health and wellbeing outcomes through reducing financial stress related to high energy bills and fear of falling in debt</w:t>
      </w:r>
    </w:p>
    <w:p w14:paraId="1F7B9B0A" w14:textId="77777777" w:rsidR="00676882" w:rsidRDefault="00676882" w:rsidP="00676882">
      <w:pPr>
        <w:pStyle w:val="ListBullet2"/>
        <w:numPr>
          <w:ilvl w:val="1"/>
          <w:numId w:val="43"/>
        </w:numPr>
      </w:pPr>
      <w:r>
        <w:t>reduced malnutrition and obesity if funds freed up from lower energy bills are used to purchase better quality food.</w:t>
      </w:r>
    </w:p>
    <w:p w14:paraId="63F77E83" w14:textId="77777777" w:rsidR="00676882" w:rsidRDefault="00676882" w:rsidP="00676882">
      <w:pPr>
        <w:pStyle w:val="ListBullet"/>
        <w:numPr>
          <w:ilvl w:val="0"/>
          <w:numId w:val="0"/>
        </w:numPr>
        <w:ind w:left="420"/>
      </w:pPr>
      <w:r>
        <w:t xml:space="preserve">As noted in section </w:t>
      </w:r>
      <w:r w:rsidRPr="009E4AB1">
        <w:fldChar w:fldCharType="begin"/>
      </w:r>
      <w:r w:rsidRPr="009E4AB1">
        <w:instrText xml:space="preserve"> REF _Ref75768799 \r \h  \* MERGEFORMAT </w:instrText>
      </w:r>
      <w:r w:rsidRPr="009E4AB1">
        <w:fldChar w:fldCharType="separate"/>
      </w:r>
      <w:r>
        <w:t>5.1.1</w:t>
      </w:r>
      <w:r w:rsidRPr="009E4AB1">
        <w:fldChar w:fldCharType="end"/>
      </w:r>
      <w:r>
        <w:t>, these potential benefits are only partially modelled.</w:t>
      </w:r>
    </w:p>
    <w:p w14:paraId="28BD440E" w14:textId="77777777" w:rsidR="00676882" w:rsidRDefault="00676882" w:rsidP="00676882">
      <w:pPr>
        <w:pStyle w:val="Heading3"/>
      </w:pPr>
      <w:r>
        <w:t>Energy system</w:t>
      </w:r>
    </w:p>
    <w:p w14:paraId="7FE8861A" w14:textId="77777777" w:rsidR="00676882" w:rsidRDefault="00676882" w:rsidP="00676882">
      <w:pPr>
        <w:pStyle w:val="BodyText"/>
      </w:pPr>
      <w:r>
        <w:t xml:space="preserve">As noted in our 2017 report </w:t>
      </w:r>
      <w:sdt>
        <w:sdtPr>
          <w:id w:val="2090720894"/>
          <w:citation/>
        </w:sdtPr>
        <w:sdtContent>
          <w:r>
            <w:fldChar w:fldCharType="begin"/>
          </w:r>
          <w:r>
            <w:instrText xml:space="preserve"> CITATION ACI171 \l 3081 </w:instrText>
          </w:r>
          <w:r>
            <w:fldChar w:fldCharType="separate"/>
          </w:r>
          <w:r>
            <w:rPr>
              <w:noProof/>
            </w:rPr>
            <w:t>(ACIL Allen, 2017)</w:t>
          </w:r>
          <w:r>
            <w:fldChar w:fldCharType="end"/>
          </w:r>
        </w:sdtContent>
      </w:sdt>
      <w:r>
        <w:t xml:space="preserve">, energy efficiency interventions can lead to tangible benefits along the entire energy supply chain, if this consideration is </w:t>
      </w:r>
      <w:proofErr w:type="gramStart"/>
      <w:r>
        <w:t>taken into account</w:t>
      </w:r>
      <w:proofErr w:type="gramEnd"/>
      <w:r>
        <w:t xml:space="preserve"> during the design stage. The benefits for energy providers include </w:t>
      </w:r>
      <w:sdt>
        <w:sdtPr>
          <w:id w:val="-918640973"/>
          <w:citation/>
        </w:sdtPr>
        <w:sdtContent>
          <w:r>
            <w:fldChar w:fldCharType="begin"/>
          </w:r>
          <w:r>
            <w:instrText xml:space="preserve"> CITATION Laz13 \l 3081 </w:instrText>
          </w:r>
          <w:r>
            <w:fldChar w:fldCharType="separate"/>
          </w:r>
          <w:r>
            <w:rPr>
              <w:noProof/>
            </w:rPr>
            <w:t>(Lazar &amp; Coburn, 2013)</w:t>
          </w:r>
          <w:r>
            <w:fldChar w:fldCharType="end"/>
          </w:r>
        </w:sdtContent>
      </w:sdt>
      <w:sdt>
        <w:sdtPr>
          <w:id w:val="-1605949000"/>
          <w:citation/>
        </w:sdtPr>
        <w:sdtContent>
          <w:r>
            <w:fldChar w:fldCharType="begin"/>
          </w:r>
          <w:r>
            <w:instrText xml:space="preserve"> CITATION IEA15 \l 3081 </w:instrText>
          </w:r>
          <w:r>
            <w:fldChar w:fldCharType="separate"/>
          </w:r>
          <w:r>
            <w:rPr>
              <w:noProof/>
            </w:rPr>
            <w:t xml:space="preserve"> (IEA, 2015)</w:t>
          </w:r>
          <w:r>
            <w:fldChar w:fldCharType="end"/>
          </w:r>
        </w:sdtContent>
      </w:sdt>
      <w:r>
        <w:t>:</w:t>
      </w:r>
    </w:p>
    <w:p w14:paraId="166D9C6B" w14:textId="77777777" w:rsidR="00676882" w:rsidRDefault="00676882" w:rsidP="00676882">
      <w:pPr>
        <w:pStyle w:val="ListBullet"/>
      </w:pPr>
      <w:r>
        <w:t>improved system reliability</w:t>
      </w:r>
    </w:p>
    <w:p w14:paraId="061669D9" w14:textId="77777777" w:rsidR="00676882" w:rsidRDefault="00676882" w:rsidP="00676882">
      <w:pPr>
        <w:pStyle w:val="ListBullet"/>
      </w:pPr>
      <w:r>
        <w:t>enhanced capacity adequacy</w:t>
      </w:r>
    </w:p>
    <w:p w14:paraId="24E76D6B" w14:textId="77777777" w:rsidR="00676882" w:rsidRDefault="00676882" w:rsidP="00676882">
      <w:pPr>
        <w:pStyle w:val="ListBullet"/>
      </w:pPr>
      <w:r>
        <w:t>better ability to manage peak demand</w:t>
      </w:r>
    </w:p>
    <w:p w14:paraId="5D5D7591" w14:textId="77777777" w:rsidR="00676882" w:rsidRDefault="00676882" w:rsidP="00676882">
      <w:pPr>
        <w:pStyle w:val="ListBullet"/>
      </w:pPr>
      <w:r>
        <w:t>opportunities to defer generation and network infrastructure investments (avoided transmission and distribution investments related to the scheme are quantified in this CBA)</w:t>
      </w:r>
    </w:p>
    <w:p w14:paraId="65741164" w14:textId="77777777" w:rsidR="00676882" w:rsidRDefault="00676882" w:rsidP="00676882">
      <w:pPr>
        <w:pStyle w:val="ListBullet"/>
      </w:pPr>
      <w:r>
        <w:t>reduced price volatility in wholesale markets.</w:t>
      </w:r>
    </w:p>
    <w:p w14:paraId="30CC21BD" w14:textId="77777777" w:rsidR="00676882" w:rsidRDefault="00676882" w:rsidP="00676882">
      <w:pPr>
        <w:pStyle w:val="BodyText"/>
      </w:pPr>
      <w:r>
        <w:t xml:space="preserve">Additional benefits specific to programs targeting low income or vulnerable customers (in this case, households in public housing) include improved ability to manage energy bills, which in turn can lead to reduced arrears, unpaid debts and collection costs for energy utilities. To the extent to </w:t>
      </w:r>
      <w:r>
        <w:lastRenderedPageBreak/>
        <w:t xml:space="preserve">which these costs are borne by the utilities, the savings can (in a competitive market) be assumed to ultimately accrue to non-participants in the form of lower utility bills. If hardship or payment assistance programs are funded from general tax revenue, cost savings can be regarded as societal benefits </w:t>
      </w:r>
      <w:sdt>
        <w:sdtPr>
          <w:id w:val="-1004354875"/>
          <w:citation/>
        </w:sdtPr>
        <w:sdtContent>
          <w:r>
            <w:fldChar w:fldCharType="begin"/>
          </w:r>
          <w:r>
            <w:instrText xml:space="preserve"> CITATION Laz13 \l 3081 </w:instrText>
          </w:r>
          <w:r>
            <w:fldChar w:fldCharType="separate"/>
          </w:r>
          <w:r>
            <w:rPr>
              <w:noProof/>
            </w:rPr>
            <w:t>(Lazar &amp; Coburn, 2013)</w:t>
          </w:r>
          <w:r>
            <w:fldChar w:fldCharType="end"/>
          </w:r>
        </w:sdtContent>
      </w:sdt>
      <w:r>
        <w:t>.</w:t>
      </w:r>
    </w:p>
    <w:p w14:paraId="22372588" w14:textId="77777777" w:rsidR="00676882" w:rsidRDefault="00676882" w:rsidP="00676882">
      <w:pPr>
        <w:pStyle w:val="Heading3"/>
      </w:pPr>
      <w:r>
        <w:t>Overall economy</w:t>
      </w:r>
    </w:p>
    <w:p w14:paraId="38A78C07" w14:textId="77777777" w:rsidR="00676882" w:rsidRDefault="00676882" w:rsidP="00676882">
      <w:pPr>
        <w:pStyle w:val="BodyText"/>
      </w:pPr>
      <w:r>
        <w:t>There are two potential impacts of energy efficiency interventions on the overall economy:</w:t>
      </w:r>
    </w:p>
    <w:p w14:paraId="0EB3B62C" w14:textId="77777777" w:rsidR="00676882" w:rsidRDefault="00676882" w:rsidP="00676882">
      <w:pPr>
        <w:pStyle w:val="ListBullet"/>
      </w:pPr>
      <w:r>
        <w:t>Public budget impacts — energy efficiency interventions can reduce public spending through:</w:t>
      </w:r>
    </w:p>
    <w:p w14:paraId="1F60705B" w14:textId="77777777" w:rsidR="00676882" w:rsidRDefault="00676882" w:rsidP="00676882">
      <w:pPr>
        <w:pStyle w:val="ListBullet2"/>
      </w:pPr>
      <w:r>
        <w:t>reduced expenditure on energy concessions (if households receiving energy concessions reduce their energy consumption)</w:t>
      </w:r>
    </w:p>
    <w:p w14:paraId="51C319A4" w14:textId="77777777" w:rsidR="00676882" w:rsidRDefault="00676882" w:rsidP="00676882">
      <w:pPr>
        <w:pStyle w:val="ListBullet2"/>
      </w:pPr>
      <w:r>
        <w:t>reductions in public health spending due to the health impacts discussed above</w:t>
      </w:r>
    </w:p>
    <w:p w14:paraId="44BB8677" w14:textId="77777777" w:rsidR="00676882" w:rsidRDefault="00676882" w:rsidP="00676882">
      <w:pPr>
        <w:pStyle w:val="ListBullet2"/>
      </w:pPr>
      <w:r>
        <w:t>reduced demand on human services and the justice system due to improved mental wellbeing and reduced family tensions.</w:t>
      </w:r>
    </w:p>
    <w:p w14:paraId="69224D8F" w14:textId="77777777" w:rsidR="00676882" w:rsidRDefault="00676882" w:rsidP="00676882">
      <w:pPr>
        <w:pStyle w:val="ListBullet"/>
      </w:pPr>
      <w:r>
        <w:t>Macroeconomic impacts — the macroeconomic impacts of energy efficiency cover effects occurring at national, international and regional levels. Energy efficiency may result in changes in the overall economy through two main sources of impact:</w:t>
      </w:r>
    </w:p>
    <w:p w14:paraId="640647FB" w14:textId="77777777" w:rsidR="00676882" w:rsidRDefault="00676882" w:rsidP="00676882">
      <w:pPr>
        <w:pStyle w:val="ListBullet2"/>
      </w:pPr>
      <w:r>
        <w:t>investment effects which arise from increased expenditure on energy efficient goods and services, which leads to higher production in these sectors but lower production in other sectors of the economy</w:t>
      </w:r>
    </w:p>
    <w:p w14:paraId="60044AA3" w14:textId="77777777" w:rsidR="00676882" w:rsidRDefault="00676882" w:rsidP="00676882">
      <w:pPr>
        <w:pStyle w:val="ListBullet2"/>
      </w:pPr>
      <w:r>
        <w:t>energy demand reduction effects that operate through reduction (cost savings) in relation to energy-related expenditure leading to increased disposable income and higher business profits.</w:t>
      </w:r>
    </w:p>
    <w:p w14:paraId="1FB042FB" w14:textId="77777777" w:rsidR="00676882" w:rsidRDefault="00676882" w:rsidP="00676882">
      <w:pPr>
        <w:pStyle w:val="BodyText"/>
      </w:pPr>
      <w:r>
        <w:t xml:space="preserve">These two effects combined can lead to changes in macroeconomic variables such as Gross Domestic Product (GDP), employment, energy prices and the trade balance </w:t>
      </w:r>
      <w:sdt>
        <w:sdtPr>
          <w:id w:val="888933062"/>
          <w:citation/>
        </w:sdtPr>
        <w:sdtContent>
          <w:r>
            <w:fldChar w:fldCharType="begin"/>
          </w:r>
          <w:r>
            <w:instrText xml:space="preserve"> CITATION IEA15 \l 3081 </w:instrText>
          </w:r>
          <w:r>
            <w:fldChar w:fldCharType="separate"/>
          </w:r>
          <w:r>
            <w:rPr>
              <w:noProof/>
            </w:rPr>
            <w:t>(IEA, 2015)</w:t>
          </w:r>
          <w:r>
            <w:fldChar w:fldCharType="end"/>
          </w:r>
        </w:sdtContent>
      </w:sdt>
      <w:r>
        <w:t>.</w:t>
      </w:r>
    </w:p>
    <w:p w14:paraId="48066303" w14:textId="77777777" w:rsidR="00676882" w:rsidRDefault="00676882" w:rsidP="00676882">
      <w:pPr>
        <w:pStyle w:val="Heading3"/>
      </w:pPr>
      <w:r>
        <w:t>Other participant benefits</w:t>
      </w:r>
    </w:p>
    <w:p w14:paraId="38113D09" w14:textId="77777777" w:rsidR="00676882" w:rsidRDefault="00676882" w:rsidP="00676882">
      <w:pPr>
        <w:pStyle w:val="BodyText"/>
      </w:pPr>
      <w:r>
        <w:t xml:space="preserve">As noted by ACIL Allen </w:t>
      </w:r>
      <w:sdt>
        <w:sdtPr>
          <w:id w:val="267136733"/>
          <w:citation/>
        </w:sdtPr>
        <w:sdtContent>
          <w:r>
            <w:fldChar w:fldCharType="begin"/>
          </w:r>
          <w:r>
            <w:instrText xml:space="preserve">CITATION ACI171 \n  \t  \l 3081 </w:instrText>
          </w:r>
          <w:r>
            <w:fldChar w:fldCharType="separate"/>
          </w:r>
          <w:r>
            <w:rPr>
              <w:noProof/>
            </w:rPr>
            <w:t>(2017)</w:t>
          </w:r>
          <w:r>
            <w:fldChar w:fldCharType="end"/>
          </w:r>
        </w:sdtContent>
      </w:sdt>
      <w:r>
        <w:t xml:space="preserve"> </w:t>
      </w:r>
      <w:proofErr w:type="gramStart"/>
      <w:r>
        <w:t>a number of</w:t>
      </w:r>
      <w:proofErr w:type="gramEnd"/>
      <w:r>
        <w:t xml:space="preserve"> other impacts linked to energy efficiency have been hypothesised, but not yet robustly measured. These include the following </w:t>
      </w:r>
      <w:sdt>
        <w:sdtPr>
          <w:id w:val="-807855118"/>
          <w:citation/>
        </w:sdtPr>
        <w:sdtContent>
          <w:r>
            <w:fldChar w:fldCharType="begin"/>
          </w:r>
          <w:r>
            <w:instrText xml:space="preserve"> CITATION Ken16 \l 3081 </w:instrText>
          </w:r>
          <w:r>
            <w:fldChar w:fldCharType="separate"/>
          </w:r>
          <w:r>
            <w:rPr>
              <w:noProof/>
            </w:rPr>
            <w:t>(Kenington, Wood, Reid, &amp; Klein, 2016)</w:t>
          </w:r>
          <w:r>
            <w:fldChar w:fldCharType="end"/>
          </w:r>
        </w:sdtContent>
      </w:sdt>
      <w:sdt>
        <w:sdtPr>
          <w:id w:val="-497887889"/>
          <w:citation/>
        </w:sdtPr>
        <w:sdtContent>
          <w:r>
            <w:fldChar w:fldCharType="begin"/>
          </w:r>
          <w:r>
            <w:instrText xml:space="preserve"> CITATION GEE17 \l 3081 </w:instrText>
          </w:r>
          <w:r>
            <w:fldChar w:fldCharType="separate"/>
          </w:r>
          <w:r>
            <w:rPr>
              <w:noProof/>
            </w:rPr>
            <w:t xml:space="preserve"> (GEER Australia, 2017)</w:t>
          </w:r>
          <w:r>
            <w:fldChar w:fldCharType="end"/>
          </w:r>
        </w:sdtContent>
      </w:sdt>
      <w:r>
        <w:t>.</w:t>
      </w:r>
    </w:p>
    <w:p w14:paraId="085F5F09" w14:textId="77777777" w:rsidR="00676882" w:rsidRDefault="00676882" w:rsidP="00676882">
      <w:pPr>
        <w:pStyle w:val="ListBullet"/>
      </w:pPr>
      <w:r>
        <w:rPr>
          <w:bCs/>
          <w:i/>
        </w:rPr>
        <w:t>Self-efficacy (or empowerment):</w:t>
      </w:r>
      <w:r>
        <w:t xml:space="preserve"> refers to the ability of individuals to control the use of energy in the home and the empowerment that arises through understanding how energy works, </w:t>
      </w:r>
      <w:proofErr w:type="gramStart"/>
      <w:r>
        <w:t>through the use of</w:t>
      </w:r>
      <w:proofErr w:type="gramEnd"/>
      <w:r>
        <w:t xml:space="preserve"> knowledge, technology or seeking the right assistance. Self-efficacy is also related to confidence to </w:t>
      </w:r>
      <w:proofErr w:type="gramStart"/>
      <w:r>
        <w:t>take action</w:t>
      </w:r>
      <w:proofErr w:type="gramEnd"/>
      <w:r>
        <w:t xml:space="preserve"> and control one’s life which is closely linked to wellbeing and to resilience.</w:t>
      </w:r>
    </w:p>
    <w:p w14:paraId="4DCD8ACD" w14:textId="77777777" w:rsidR="00676882" w:rsidRDefault="00676882" w:rsidP="00676882">
      <w:pPr>
        <w:pStyle w:val="ListBullet"/>
      </w:pPr>
      <w:r>
        <w:rPr>
          <w:bCs/>
          <w:i/>
        </w:rPr>
        <w:t xml:space="preserve">Community engagement: </w:t>
      </w:r>
      <w:r>
        <w:t>refers to the extent to which people are connected to their local community or area, through formal or informal links, and the extent to which they participate in or feel connected to the life of their community. The impact may be present for energy efficiency programs with a community focus.</w:t>
      </w:r>
    </w:p>
    <w:p w14:paraId="6152AC98" w14:textId="77777777" w:rsidR="00676882" w:rsidRDefault="00676882" w:rsidP="00676882">
      <w:pPr>
        <w:pStyle w:val="ListBullet"/>
      </w:pPr>
      <w:r>
        <w:rPr>
          <w:bCs/>
          <w:i/>
        </w:rPr>
        <w:t xml:space="preserve">Support for vulnerable </w:t>
      </w:r>
      <w:proofErr w:type="gramStart"/>
      <w:r>
        <w:rPr>
          <w:bCs/>
          <w:i/>
        </w:rPr>
        <w:t>people:</w:t>
      </w:r>
      <w:proofErr w:type="gramEnd"/>
      <w:r>
        <w:t xml:space="preserve"> refers to the extent to which people are aware of and able to access social support options available to them. An energy efficiency program incorporating information on the broader range of available support options may improve participants’ ability to access support and address problems. </w:t>
      </w:r>
    </w:p>
    <w:p w14:paraId="3BB4200E" w14:textId="77777777" w:rsidR="00676882" w:rsidRDefault="00676882" w:rsidP="00676882">
      <w:pPr>
        <w:pStyle w:val="ListBullet"/>
      </w:pPr>
      <w:r>
        <w:rPr>
          <w:bCs/>
          <w:i/>
        </w:rPr>
        <w:t xml:space="preserve">Level and quality of </w:t>
      </w:r>
      <w:proofErr w:type="gramStart"/>
      <w:r>
        <w:rPr>
          <w:bCs/>
          <w:i/>
        </w:rPr>
        <w:t>partnership:</w:t>
      </w:r>
      <w:proofErr w:type="gramEnd"/>
      <w:r>
        <w:t xml:space="preserve"> refers to the effectiveness of partnerships emerging from or supported by an energy efficiency program. An energy efficiency intervention may bring together different stakeholder groups, which, as a result, may form partnerships lasting past program completion.</w:t>
      </w:r>
    </w:p>
    <w:p w14:paraId="083E94F4" w14:textId="77777777" w:rsidR="00676882" w:rsidRDefault="00676882" w:rsidP="00676882">
      <w:pPr>
        <w:pStyle w:val="ListBullet"/>
      </w:pPr>
      <w:r>
        <w:rPr>
          <w:bCs/>
          <w:i/>
        </w:rPr>
        <w:lastRenderedPageBreak/>
        <w:t>New business opportunities:</w:t>
      </w:r>
      <w:r>
        <w:t xml:space="preserve"> this impact refers to the extent to which energy efficiency programs can create additional business opportunities through demand for additional energy efficiency and renewable energy.</w:t>
      </w:r>
    </w:p>
    <w:p w14:paraId="63E4FC47" w14:textId="77777777" w:rsidR="00676882" w:rsidRDefault="00676882" w:rsidP="00676882">
      <w:pPr>
        <w:pStyle w:val="Heading2"/>
      </w:pPr>
      <w:bookmarkStart w:id="257" w:name="_Toc80481665"/>
      <w:bookmarkStart w:id="258" w:name="_Toc80700302"/>
      <w:bookmarkStart w:id="259" w:name="_Toc80700550"/>
      <w:bookmarkStart w:id="260" w:name="_Toc80481666"/>
      <w:bookmarkStart w:id="261" w:name="_Toc80700303"/>
      <w:bookmarkStart w:id="262" w:name="_Toc80700551"/>
      <w:bookmarkStart w:id="263" w:name="_Toc80481667"/>
      <w:bookmarkStart w:id="264" w:name="_Toc80700304"/>
      <w:bookmarkStart w:id="265" w:name="_Toc80700552"/>
      <w:bookmarkStart w:id="266" w:name="_Toc80481668"/>
      <w:bookmarkStart w:id="267" w:name="_Toc80700305"/>
      <w:bookmarkStart w:id="268" w:name="_Toc80700553"/>
      <w:bookmarkStart w:id="269" w:name="_Toc80481669"/>
      <w:bookmarkStart w:id="270" w:name="_Toc80700306"/>
      <w:bookmarkStart w:id="271" w:name="_Toc80700554"/>
      <w:bookmarkStart w:id="272" w:name="_Toc80481670"/>
      <w:bookmarkStart w:id="273" w:name="_Toc80700307"/>
      <w:bookmarkStart w:id="274" w:name="_Toc80700555"/>
      <w:bookmarkStart w:id="275" w:name="_Toc80481671"/>
      <w:bookmarkStart w:id="276" w:name="_Toc80700308"/>
      <w:bookmarkStart w:id="277" w:name="_Toc80700556"/>
      <w:bookmarkStart w:id="278" w:name="_Toc80481672"/>
      <w:bookmarkStart w:id="279" w:name="_Toc80700309"/>
      <w:bookmarkStart w:id="280" w:name="_Toc80700557"/>
      <w:bookmarkStart w:id="281" w:name="_Toc80481673"/>
      <w:bookmarkStart w:id="282" w:name="_Toc80700310"/>
      <w:bookmarkStart w:id="283" w:name="_Toc80700558"/>
      <w:bookmarkStart w:id="284" w:name="_Toc80481674"/>
      <w:bookmarkStart w:id="285" w:name="_Toc80700311"/>
      <w:bookmarkStart w:id="286" w:name="_Toc80700559"/>
      <w:bookmarkStart w:id="287" w:name="_Toc80481675"/>
      <w:bookmarkStart w:id="288" w:name="_Toc80700312"/>
      <w:bookmarkStart w:id="289" w:name="_Toc80700560"/>
      <w:bookmarkStart w:id="290" w:name="_Toc80481676"/>
      <w:bookmarkStart w:id="291" w:name="_Toc80700313"/>
      <w:bookmarkStart w:id="292" w:name="_Toc80700561"/>
      <w:bookmarkStart w:id="293" w:name="_Toc80481677"/>
      <w:bookmarkStart w:id="294" w:name="_Toc80700314"/>
      <w:bookmarkStart w:id="295" w:name="_Toc80700562"/>
      <w:bookmarkStart w:id="296" w:name="_Ref75814528"/>
      <w:bookmarkStart w:id="297" w:name="_Toc80712594"/>
      <w:bookmarkEnd w:id="222"/>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r>
        <w:t>Sensitivity analysis</w:t>
      </w:r>
      <w:bookmarkEnd w:id="296"/>
      <w:bookmarkEnd w:id="297"/>
    </w:p>
    <w:p w14:paraId="62AF0D01" w14:textId="77777777" w:rsidR="00676882" w:rsidRDefault="00676882" w:rsidP="00676882">
      <w:pPr>
        <w:pStyle w:val="BodyText"/>
      </w:pPr>
      <w:r>
        <w:t>Several key variables are highly significant for the overall results. We have conducted sensitivity analysis for:</w:t>
      </w:r>
    </w:p>
    <w:p w14:paraId="7092B7B3" w14:textId="77777777" w:rsidR="00676882" w:rsidRDefault="00676882" w:rsidP="00676882">
      <w:pPr>
        <w:pStyle w:val="ListBullet"/>
      </w:pPr>
      <w:r>
        <w:t xml:space="preserve">the discount </w:t>
      </w:r>
      <w:proofErr w:type="gramStart"/>
      <w:r>
        <w:t>rate</w:t>
      </w:r>
      <w:proofErr w:type="gramEnd"/>
    </w:p>
    <w:p w14:paraId="479E5426" w14:textId="77777777" w:rsidR="00676882" w:rsidRDefault="00676882" w:rsidP="00676882">
      <w:pPr>
        <w:pStyle w:val="ListBullet"/>
      </w:pPr>
      <w:r>
        <w:t>energy prices</w:t>
      </w:r>
    </w:p>
    <w:p w14:paraId="200F150A" w14:textId="77777777" w:rsidR="00676882" w:rsidRDefault="00676882" w:rsidP="00676882">
      <w:pPr>
        <w:pStyle w:val="ListBullet"/>
      </w:pPr>
      <w:r>
        <w:t>climate impacts</w:t>
      </w:r>
    </w:p>
    <w:p w14:paraId="7DA6F54C" w14:textId="77777777" w:rsidR="00676882" w:rsidRDefault="00676882" w:rsidP="00676882">
      <w:pPr>
        <w:pStyle w:val="ListBullet"/>
      </w:pPr>
      <w:r>
        <w:t>the balance between energy efficiency and health impacts</w:t>
      </w:r>
    </w:p>
    <w:p w14:paraId="091D6E8E" w14:textId="77777777" w:rsidR="00676882" w:rsidRDefault="00676882" w:rsidP="00676882">
      <w:pPr>
        <w:pStyle w:val="ListBullet"/>
      </w:pPr>
      <w:r>
        <w:t>upgrade costs</w:t>
      </w:r>
    </w:p>
    <w:p w14:paraId="4927007F" w14:textId="77777777" w:rsidR="00676882" w:rsidRDefault="00676882" w:rsidP="00676882">
      <w:pPr>
        <w:pStyle w:val="ListBullet"/>
      </w:pPr>
      <w:r>
        <w:t>maximum expenditure limits (discussed briefly).</w:t>
      </w:r>
    </w:p>
    <w:p w14:paraId="784AE9D7" w14:textId="77777777" w:rsidR="00676882" w:rsidRDefault="00676882" w:rsidP="00676882">
      <w:pPr>
        <w:pStyle w:val="BodyText"/>
      </w:pPr>
      <w:r>
        <w:t xml:space="preserve">Key variables have been tested to explore their importance to the results and provide insights regarding outcomes based on alternative prices or scenarios in future. </w:t>
      </w:r>
    </w:p>
    <w:p w14:paraId="6CF9D7E9" w14:textId="77777777" w:rsidR="00676882" w:rsidRDefault="00676882" w:rsidP="00676882">
      <w:pPr>
        <w:pStyle w:val="Heading3"/>
      </w:pPr>
      <w:bookmarkStart w:id="298" w:name="_Ref80472933"/>
      <w:r>
        <w:t>Discount rate</w:t>
      </w:r>
      <w:bookmarkEnd w:id="298"/>
    </w:p>
    <w:p w14:paraId="47DCFAC2" w14:textId="77777777" w:rsidR="00676882" w:rsidRDefault="00676882" w:rsidP="00676882">
      <w:pPr>
        <w:pStyle w:val="BodyText"/>
      </w:pPr>
      <w:r>
        <w:t xml:space="preserve">The discount rate is a common rate, which is used to help compare future impacts with present or past impacts. It is important to compare all scenarios with the same discount rate. Different discount rates can change the results, particularly for scenarios which run over different lengths of time. </w:t>
      </w:r>
    </w:p>
    <w:p w14:paraId="038CBAB9" w14:textId="77777777" w:rsidR="00676882" w:rsidRDefault="00676882" w:rsidP="00676882">
      <w:pPr>
        <w:pStyle w:val="BodyText"/>
      </w:pPr>
      <w:r>
        <w:t xml:space="preserve">A lower discount rate favours measures with longer-term benefits — namely ceiling insulation, which has an assumed lifespan of 25 years. A higher discount rate favours measures with shorter-term benefits — namely energy efficient heaters, which have an assumed lifespan of 12 years. A discussion of the discount rate and the choice to use a three per cent discount rate is given in appendix </w:t>
      </w:r>
      <w:r w:rsidRPr="009E4AB1">
        <w:fldChar w:fldCharType="begin"/>
      </w:r>
      <w:r w:rsidRPr="009E4AB1">
        <w:instrText xml:space="preserve"> REF _Ref80457527 \r \h  \* MERGEFORMAT </w:instrText>
      </w:r>
      <w:r w:rsidRPr="009E4AB1">
        <w:fldChar w:fldCharType="separate"/>
      </w:r>
      <w:r>
        <w:t>B.3.2</w:t>
      </w:r>
      <w:r w:rsidRPr="009E4AB1">
        <w:fldChar w:fldCharType="end"/>
      </w:r>
      <w:r>
        <w:t>.</w:t>
      </w:r>
    </w:p>
    <w:p w14:paraId="48E4014E" w14:textId="77777777" w:rsidR="00676882" w:rsidRDefault="00676882" w:rsidP="00676882">
      <w:pPr>
        <w:pStyle w:val="BodyText"/>
      </w:pPr>
      <w:r>
        <w:t xml:space="preserve">Two commonly used discount rates are seven per cent and ten per cent. The net present value for each of these (and the three per cent reference case) is given in </w:t>
      </w:r>
      <w:r w:rsidRPr="009E4AB1">
        <w:rPr>
          <w:highlight w:val="yellow"/>
        </w:rPr>
        <w:fldChar w:fldCharType="begin"/>
      </w:r>
      <w:r w:rsidRPr="009E4AB1">
        <w:instrText xml:space="preserve"> REF _Ref80457941 \h  \* MERGEFORMAT </w:instrText>
      </w:r>
      <w:r w:rsidRPr="009E4AB1">
        <w:rPr>
          <w:highlight w:val="yellow"/>
        </w:rPr>
      </w:r>
      <w:r w:rsidRPr="009E4AB1">
        <w:rPr>
          <w:highlight w:val="yellow"/>
        </w:rPr>
        <w:fldChar w:fldCharType="separate"/>
      </w:r>
      <w:r w:rsidRPr="00F32FCC">
        <w:t>Table 5.6</w:t>
      </w:r>
      <w:r w:rsidRPr="009E4AB1">
        <w:rPr>
          <w:highlight w:val="yellow"/>
        </w:rPr>
        <w:fldChar w:fldCharType="end"/>
      </w:r>
      <w:r>
        <w:t xml:space="preserve">. </w:t>
      </w:r>
    </w:p>
    <w:p w14:paraId="6E12ECB8" w14:textId="77777777" w:rsidR="00676882" w:rsidRDefault="00676882" w:rsidP="00676882">
      <w:pPr>
        <w:pStyle w:val="BodyText"/>
      </w:pPr>
      <w:r>
        <w:t>It is important to note that 2-star performance standard options become the preferred option at the 10 per cent discount rate.</w:t>
      </w:r>
    </w:p>
    <w:p w14:paraId="67103173" w14:textId="77777777" w:rsidR="00676882" w:rsidRDefault="00676882" w:rsidP="00676882">
      <w:pPr>
        <w:pStyle w:val="Caption"/>
      </w:pPr>
      <w:bookmarkStart w:id="299" w:name="_Ref80457941"/>
      <w:bookmarkStart w:id="300" w:name="_Toc80719331"/>
      <w:r w:rsidRPr="006B0263">
        <w:rPr>
          <w:rStyle w:val="CaptionLabel"/>
        </w:rPr>
        <w:t>Table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Table \* ARABIC \S 1 \* MERGEFORMAT </w:instrText>
      </w:r>
      <w:r w:rsidRPr="006B0263">
        <w:rPr>
          <w:rStyle w:val="CaptionLabel"/>
        </w:rPr>
        <w:fldChar w:fldCharType="separate"/>
      </w:r>
      <w:r>
        <w:rPr>
          <w:rStyle w:val="CaptionLabel"/>
          <w:noProof/>
        </w:rPr>
        <w:t>6</w:t>
      </w:r>
      <w:r w:rsidRPr="006B0263">
        <w:rPr>
          <w:rStyle w:val="CaptionLabel"/>
        </w:rPr>
        <w:fldChar w:fldCharType="end"/>
      </w:r>
      <w:bookmarkEnd w:id="299"/>
      <w:r>
        <w:tab/>
        <w:t>Net present value at various discount rates</w:t>
      </w:r>
      <w:bookmarkEnd w:id="300"/>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6"/>
        <w:tblDescription w:val="Net present value at various discount rates"/>
      </w:tblPr>
      <w:tblGrid>
        <w:gridCol w:w="454"/>
        <w:gridCol w:w="1984"/>
        <w:gridCol w:w="1984"/>
        <w:gridCol w:w="1984"/>
        <w:gridCol w:w="1984"/>
      </w:tblGrid>
      <w:tr w:rsidR="00676882" w14:paraId="2E6D8ADA" w14:textId="77777777" w:rsidTr="00DF45FA">
        <w:trPr>
          <w:tblHeader/>
        </w:trPr>
        <w:tc>
          <w:tcPr>
            <w:tcW w:w="2438" w:type="dxa"/>
            <w:gridSpan w:val="2"/>
            <w:tcBorders>
              <w:top w:val="nil"/>
              <w:bottom w:val="nil"/>
            </w:tcBorders>
            <w:shd w:val="clear" w:color="auto" w:fill="140034"/>
            <w:tcMar>
              <w:left w:w="454" w:type="dxa"/>
            </w:tcMar>
          </w:tcPr>
          <w:p w14:paraId="7345E41D" w14:textId="77777777" w:rsidR="00676882" w:rsidRDefault="00676882" w:rsidP="00DF45FA">
            <w:pPr>
              <w:pStyle w:val="Tablecolumnheadings"/>
            </w:pPr>
            <w:r>
              <w:t>Heading</w:t>
            </w:r>
          </w:p>
        </w:tc>
        <w:tc>
          <w:tcPr>
            <w:tcW w:w="1984" w:type="dxa"/>
            <w:tcBorders>
              <w:top w:val="nil"/>
              <w:bottom w:val="nil"/>
            </w:tcBorders>
            <w:shd w:val="clear" w:color="auto" w:fill="140034"/>
          </w:tcPr>
          <w:p w14:paraId="5B4D167C" w14:textId="77777777" w:rsidR="00676882" w:rsidRDefault="00676882" w:rsidP="00DF45FA">
            <w:pPr>
              <w:pStyle w:val="Tablecolumnheadings"/>
              <w:jc w:val="right"/>
            </w:pPr>
            <w:r w:rsidRPr="000000C0">
              <w:t>NPV - 3%</w:t>
            </w:r>
            <w:r>
              <w:t xml:space="preserve"> reference discount rate ($ million)</w:t>
            </w:r>
          </w:p>
        </w:tc>
        <w:tc>
          <w:tcPr>
            <w:tcW w:w="1984" w:type="dxa"/>
            <w:tcBorders>
              <w:top w:val="nil"/>
              <w:bottom w:val="nil"/>
            </w:tcBorders>
            <w:shd w:val="clear" w:color="auto" w:fill="140034"/>
          </w:tcPr>
          <w:p w14:paraId="376466E4" w14:textId="77777777" w:rsidR="00676882" w:rsidRDefault="00676882" w:rsidP="00DF45FA">
            <w:pPr>
              <w:pStyle w:val="Tablecolumnheadings"/>
              <w:jc w:val="right"/>
            </w:pPr>
            <w:r w:rsidRPr="000000C0">
              <w:t>NPV - 7%</w:t>
            </w:r>
            <w:r>
              <w:t xml:space="preserve"> discount rate ($ million)</w:t>
            </w:r>
          </w:p>
        </w:tc>
        <w:tc>
          <w:tcPr>
            <w:tcW w:w="1984" w:type="dxa"/>
            <w:tcBorders>
              <w:top w:val="nil"/>
              <w:bottom w:val="nil"/>
              <w:right w:val="single" w:sz="6" w:space="0" w:color="140034"/>
            </w:tcBorders>
            <w:shd w:val="clear" w:color="auto" w:fill="140034"/>
          </w:tcPr>
          <w:p w14:paraId="21CC1C7C" w14:textId="77777777" w:rsidR="00676882" w:rsidRDefault="00676882" w:rsidP="00DF45FA">
            <w:pPr>
              <w:pStyle w:val="Tablecolumnheadings"/>
              <w:jc w:val="right"/>
            </w:pPr>
            <w:r w:rsidRPr="000000C0">
              <w:t>NPV - 10%</w:t>
            </w:r>
            <w:r>
              <w:t xml:space="preserve"> discount rate ($ million)</w:t>
            </w:r>
          </w:p>
        </w:tc>
      </w:tr>
      <w:tr w:rsidR="00676882" w14:paraId="3A611F2E" w14:textId="77777777" w:rsidTr="00DF45FA">
        <w:trPr>
          <w:gridBefore w:val="1"/>
          <w:wBefore w:w="454" w:type="dxa"/>
        </w:trPr>
        <w:tc>
          <w:tcPr>
            <w:tcW w:w="1984" w:type="dxa"/>
            <w:tcBorders>
              <w:top w:val="nil"/>
            </w:tcBorders>
            <w:shd w:val="clear" w:color="auto" w:fill="auto"/>
            <w:vAlign w:val="bottom"/>
          </w:tcPr>
          <w:p w14:paraId="3B74A3D0" w14:textId="77777777" w:rsidR="00676882" w:rsidRDefault="00676882" w:rsidP="00DF45FA">
            <w:pPr>
              <w:pStyle w:val="Tabletext"/>
            </w:pPr>
            <w:r>
              <w:t>a) Insulation R3 - 2 year</w:t>
            </w:r>
          </w:p>
        </w:tc>
        <w:tc>
          <w:tcPr>
            <w:tcW w:w="1984" w:type="dxa"/>
            <w:tcBorders>
              <w:top w:val="nil"/>
            </w:tcBorders>
            <w:shd w:val="clear" w:color="auto" w:fill="auto"/>
            <w:vAlign w:val="center"/>
          </w:tcPr>
          <w:p w14:paraId="04BD3B82" w14:textId="77777777" w:rsidR="00676882" w:rsidRDefault="00676882" w:rsidP="00DF45FA">
            <w:pPr>
              <w:pStyle w:val="Tabletext"/>
              <w:jc w:val="right"/>
            </w:pPr>
            <w:r w:rsidRPr="009375DD">
              <w:t>$10.4</w:t>
            </w:r>
            <w:r>
              <w:t>4</w:t>
            </w:r>
            <w:r w:rsidRPr="009375DD">
              <w:t xml:space="preserve"> </w:t>
            </w:r>
          </w:p>
        </w:tc>
        <w:tc>
          <w:tcPr>
            <w:tcW w:w="1984" w:type="dxa"/>
            <w:tcBorders>
              <w:top w:val="nil"/>
            </w:tcBorders>
            <w:shd w:val="clear" w:color="auto" w:fill="auto"/>
            <w:vAlign w:val="center"/>
          </w:tcPr>
          <w:p w14:paraId="6AA08EA4" w14:textId="77777777" w:rsidR="00676882" w:rsidRPr="006B0263" w:rsidRDefault="00676882" w:rsidP="00DF45FA">
            <w:pPr>
              <w:pStyle w:val="Tabletext"/>
              <w:jc w:val="right"/>
              <w:rPr>
                <w:color w:val="C00000"/>
              </w:rPr>
            </w:pPr>
            <w:r>
              <w:rPr>
                <w:color w:val="C00000"/>
              </w:rPr>
              <w:t>-</w:t>
            </w:r>
            <w:r w:rsidRPr="006B0263">
              <w:rPr>
                <w:color w:val="C00000"/>
              </w:rPr>
              <w:t>$7.01</w:t>
            </w:r>
          </w:p>
        </w:tc>
        <w:tc>
          <w:tcPr>
            <w:tcW w:w="1984" w:type="dxa"/>
            <w:tcBorders>
              <w:top w:val="nil"/>
            </w:tcBorders>
            <w:shd w:val="clear" w:color="auto" w:fill="auto"/>
            <w:vAlign w:val="center"/>
          </w:tcPr>
          <w:p w14:paraId="2C8D0E0F" w14:textId="77777777" w:rsidR="00676882" w:rsidRPr="006B0263" w:rsidRDefault="00676882" w:rsidP="00DF45FA">
            <w:pPr>
              <w:pStyle w:val="Tabletext"/>
              <w:jc w:val="right"/>
              <w:rPr>
                <w:color w:val="C00000"/>
              </w:rPr>
            </w:pPr>
            <w:r>
              <w:rPr>
                <w:color w:val="C00000"/>
              </w:rPr>
              <w:t>-</w:t>
            </w:r>
            <w:r w:rsidRPr="006B0263">
              <w:rPr>
                <w:color w:val="C00000"/>
              </w:rPr>
              <w:t>$14.20</w:t>
            </w:r>
          </w:p>
        </w:tc>
      </w:tr>
      <w:tr w:rsidR="00676882" w14:paraId="6878E3A0" w14:textId="77777777" w:rsidTr="00DF45FA">
        <w:trPr>
          <w:gridBefore w:val="1"/>
          <w:wBefore w:w="454" w:type="dxa"/>
        </w:trPr>
        <w:tc>
          <w:tcPr>
            <w:tcW w:w="1984" w:type="dxa"/>
            <w:shd w:val="clear" w:color="auto" w:fill="auto"/>
            <w:vAlign w:val="bottom"/>
          </w:tcPr>
          <w:p w14:paraId="3AF5F75C" w14:textId="77777777" w:rsidR="00676882" w:rsidRDefault="00676882" w:rsidP="00DF45FA">
            <w:pPr>
              <w:pStyle w:val="Tabletext"/>
            </w:pPr>
            <w:r>
              <w:t>b) Insulation R3 - 4 year</w:t>
            </w:r>
          </w:p>
        </w:tc>
        <w:tc>
          <w:tcPr>
            <w:tcW w:w="1984" w:type="dxa"/>
            <w:shd w:val="clear" w:color="auto" w:fill="auto"/>
            <w:vAlign w:val="center"/>
          </w:tcPr>
          <w:p w14:paraId="091F617D" w14:textId="77777777" w:rsidR="00676882" w:rsidRDefault="00676882" w:rsidP="00DF45FA">
            <w:pPr>
              <w:pStyle w:val="Tabletext"/>
              <w:jc w:val="right"/>
            </w:pPr>
            <w:r w:rsidRPr="009375DD">
              <w:t>$11.</w:t>
            </w:r>
            <w:r>
              <w:t>08</w:t>
            </w:r>
            <w:r w:rsidRPr="009375DD">
              <w:t xml:space="preserve"> </w:t>
            </w:r>
          </w:p>
        </w:tc>
        <w:tc>
          <w:tcPr>
            <w:tcW w:w="1984" w:type="dxa"/>
            <w:shd w:val="clear" w:color="auto" w:fill="auto"/>
            <w:vAlign w:val="center"/>
          </w:tcPr>
          <w:p w14:paraId="13EB9C74" w14:textId="77777777" w:rsidR="00676882" w:rsidRPr="006B0263" w:rsidRDefault="00676882" w:rsidP="00DF45FA">
            <w:pPr>
              <w:pStyle w:val="Tabletext"/>
              <w:jc w:val="right"/>
              <w:rPr>
                <w:color w:val="C00000"/>
              </w:rPr>
            </w:pPr>
            <w:r>
              <w:rPr>
                <w:color w:val="C00000"/>
              </w:rPr>
              <w:t>-</w:t>
            </w:r>
            <w:r w:rsidRPr="006B0263">
              <w:rPr>
                <w:color w:val="C00000"/>
              </w:rPr>
              <w:t>$6.23</w:t>
            </w:r>
          </w:p>
        </w:tc>
        <w:tc>
          <w:tcPr>
            <w:tcW w:w="1984" w:type="dxa"/>
            <w:shd w:val="clear" w:color="auto" w:fill="auto"/>
            <w:vAlign w:val="center"/>
          </w:tcPr>
          <w:p w14:paraId="50DDCFC7" w14:textId="77777777" w:rsidR="00676882" w:rsidRPr="006B0263" w:rsidRDefault="00676882" w:rsidP="00DF45FA">
            <w:pPr>
              <w:pStyle w:val="Tabletext"/>
              <w:jc w:val="right"/>
              <w:rPr>
                <w:color w:val="C00000"/>
              </w:rPr>
            </w:pPr>
            <w:r>
              <w:rPr>
                <w:color w:val="C00000"/>
              </w:rPr>
              <w:t>-</w:t>
            </w:r>
            <w:r w:rsidRPr="006B0263">
              <w:rPr>
                <w:color w:val="C00000"/>
              </w:rPr>
              <w:t>$13.30</w:t>
            </w:r>
          </w:p>
        </w:tc>
      </w:tr>
      <w:tr w:rsidR="00676882" w14:paraId="1DEC6A05" w14:textId="77777777" w:rsidTr="00676882">
        <w:trPr>
          <w:gridBefore w:val="1"/>
          <w:wBefore w:w="454" w:type="dxa"/>
        </w:trPr>
        <w:tc>
          <w:tcPr>
            <w:tcW w:w="1984" w:type="dxa"/>
            <w:shd w:val="clear" w:color="auto" w:fill="auto"/>
            <w:vAlign w:val="bottom"/>
          </w:tcPr>
          <w:p w14:paraId="00C16545" w14:textId="77777777" w:rsidR="00676882" w:rsidRDefault="00676882" w:rsidP="00DF45FA">
            <w:pPr>
              <w:pStyle w:val="Tabletext"/>
            </w:pPr>
            <w:r>
              <w:t>c) Insulation R5 - 2 year</w:t>
            </w:r>
          </w:p>
        </w:tc>
        <w:tc>
          <w:tcPr>
            <w:tcW w:w="1984" w:type="dxa"/>
            <w:tcBorders>
              <w:bottom w:val="single" w:sz="4" w:space="0" w:color="646464"/>
            </w:tcBorders>
            <w:shd w:val="clear" w:color="auto" w:fill="auto"/>
            <w:vAlign w:val="center"/>
          </w:tcPr>
          <w:p w14:paraId="1656AA03" w14:textId="77777777" w:rsidR="00676882" w:rsidRDefault="00676882" w:rsidP="00DF45FA">
            <w:pPr>
              <w:pStyle w:val="Tabletext"/>
              <w:jc w:val="right"/>
            </w:pPr>
            <w:r w:rsidRPr="009375DD">
              <w:t>$17.4</w:t>
            </w:r>
            <w:r>
              <w:t>2</w:t>
            </w:r>
            <w:r w:rsidRPr="009375DD">
              <w:t xml:space="preserve"> </w:t>
            </w:r>
          </w:p>
        </w:tc>
        <w:tc>
          <w:tcPr>
            <w:tcW w:w="1984" w:type="dxa"/>
            <w:tcBorders>
              <w:bottom w:val="single" w:sz="4" w:space="0" w:color="646464"/>
            </w:tcBorders>
            <w:shd w:val="clear" w:color="auto" w:fill="auto"/>
            <w:vAlign w:val="center"/>
          </w:tcPr>
          <w:p w14:paraId="15C4F36F" w14:textId="77777777" w:rsidR="00676882" w:rsidRPr="006B0263" w:rsidRDefault="00676882" w:rsidP="00DF45FA">
            <w:pPr>
              <w:pStyle w:val="Tabletext"/>
              <w:jc w:val="right"/>
              <w:rPr>
                <w:color w:val="C00000"/>
              </w:rPr>
            </w:pPr>
            <w:r>
              <w:rPr>
                <w:color w:val="C00000"/>
              </w:rPr>
              <w:t>-</w:t>
            </w:r>
            <w:r w:rsidRPr="006B0263">
              <w:rPr>
                <w:color w:val="C00000"/>
              </w:rPr>
              <w:t>$4.45</w:t>
            </w:r>
          </w:p>
        </w:tc>
        <w:tc>
          <w:tcPr>
            <w:tcW w:w="1984" w:type="dxa"/>
            <w:shd w:val="clear" w:color="auto" w:fill="auto"/>
            <w:vAlign w:val="center"/>
          </w:tcPr>
          <w:p w14:paraId="3FBBAD19" w14:textId="77777777" w:rsidR="00676882" w:rsidRPr="006B0263" w:rsidRDefault="00676882" w:rsidP="00DF45FA">
            <w:pPr>
              <w:pStyle w:val="Tabletext"/>
              <w:jc w:val="right"/>
              <w:rPr>
                <w:color w:val="C00000"/>
              </w:rPr>
            </w:pPr>
            <w:r>
              <w:rPr>
                <w:color w:val="C00000"/>
              </w:rPr>
              <w:t>-</w:t>
            </w:r>
            <w:r w:rsidRPr="006B0263">
              <w:rPr>
                <w:color w:val="C00000"/>
              </w:rPr>
              <w:t>$13.51</w:t>
            </w:r>
          </w:p>
        </w:tc>
      </w:tr>
      <w:tr w:rsidR="00676882" w14:paraId="35DDBE2D" w14:textId="77777777" w:rsidTr="00676882">
        <w:trPr>
          <w:gridBefore w:val="1"/>
          <w:wBefore w:w="454" w:type="dxa"/>
        </w:trPr>
        <w:tc>
          <w:tcPr>
            <w:tcW w:w="1984" w:type="dxa"/>
            <w:shd w:val="clear" w:color="auto" w:fill="auto"/>
            <w:vAlign w:val="bottom"/>
          </w:tcPr>
          <w:p w14:paraId="11ABFA04" w14:textId="77777777" w:rsidR="00676882" w:rsidRDefault="00676882" w:rsidP="00DF45FA">
            <w:pPr>
              <w:pStyle w:val="Tabletext"/>
            </w:pPr>
            <w:r>
              <w:t>d) Insulation R5 - 4 year</w:t>
            </w:r>
          </w:p>
        </w:tc>
        <w:tc>
          <w:tcPr>
            <w:tcW w:w="1984" w:type="dxa"/>
            <w:tcBorders>
              <w:top w:val="single" w:sz="4" w:space="0" w:color="646464"/>
            </w:tcBorders>
            <w:shd w:val="clear" w:color="auto" w:fill="ACD8B5"/>
            <w:vAlign w:val="center"/>
          </w:tcPr>
          <w:p w14:paraId="0DA327C6" w14:textId="77777777" w:rsidR="00676882" w:rsidRDefault="00676882" w:rsidP="00DF45FA">
            <w:pPr>
              <w:pStyle w:val="Tabletext"/>
              <w:jc w:val="right"/>
            </w:pPr>
            <w:r w:rsidRPr="009375DD">
              <w:t>$18.0</w:t>
            </w:r>
            <w:r>
              <w:t>1</w:t>
            </w:r>
            <w:r w:rsidRPr="009375DD">
              <w:t xml:space="preserve"> </w:t>
            </w:r>
          </w:p>
        </w:tc>
        <w:tc>
          <w:tcPr>
            <w:tcW w:w="1984" w:type="dxa"/>
            <w:tcBorders>
              <w:top w:val="single" w:sz="4" w:space="0" w:color="646464"/>
            </w:tcBorders>
            <w:shd w:val="clear" w:color="auto" w:fill="ACD8B5"/>
            <w:vAlign w:val="center"/>
          </w:tcPr>
          <w:p w14:paraId="473992DF" w14:textId="77777777" w:rsidR="00676882" w:rsidRPr="006B0263" w:rsidRDefault="00676882" w:rsidP="00DF45FA">
            <w:pPr>
              <w:pStyle w:val="Tabletext"/>
              <w:jc w:val="right"/>
              <w:rPr>
                <w:color w:val="C00000"/>
              </w:rPr>
            </w:pPr>
            <w:r>
              <w:rPr>
                <w:color w:val="C00000"/>
              </w:rPr>
              <w:t>-</w:t>
            </w:r>
            <w:r w:rsidRPr="006B0263">
              <w:rPr>
                <w:color w:val="C00000"/>
              </w:rPr>
              <w:t>$3.71</w:t>
            </w:r>
          </w:p>
        </w:tc>
        <w:tc>
          <w:tcPr>
            <w:tcW w:w="1984" w:type="dxa"/>
            <w:shd w:val="clear" w:color="auto" w:fill="FFFFFF" w:themeFill="background1"/>
            <w:vAlign w:val="center"/>
          </w:tcPr>
          <w:p w14:paraId="06C45AD8" w14:textId="77777777" w:rsidR="00676882" w:rsidRPr="006B0263" w:rsidRDefault="00676882" w:rsidP="00DF45FA">
            <w:pPr>
              <w:pStyle w:val="Tabletext"/>
              <w:jc w:val="right"/>
              <w:rPr>
                <w:color w:val="C00000"/>
              </w:rPr>
            </w:pPr>
            <w:r>
              <w:rPr>
                <w:color w:val="C00000"/>
              </w:rPr>
              <w:t>-</w:t>
            </w:r>
            <w:r w:rsidRPr="006B0263">
              <w:rPr>
                <w:color w:val="C00000"/>
              </w:rPr>
              <w:t>$12.62</w:t>
            </w:r>
          </w:p>
        </w:tc>
      </w:tr>
      <w:tr w:rsidR="00676882" w14:paraId="7149F465" w14:textId="77777777" w:rsidTr="00DF45FA">
        <w:trPr>
          <w:gridBefore w:val="1"/>
          <w:wBefore w:w="454" w:type="dxa"/>
        </w:trPr>
        <w:tc>
          <w:tcPr>
            <w:tcW w:w="1984" w:type="dxa"/>
            <w:shd w:val="clear" w:color="auto" w:fill="auto"/>
            <w:vAlign w:val="bottom"/>
          </w:tcPr>
          <w:p w14:paraId="16D5968C" w14:textId="77777777" w:rsidR="00676882" w:rsidRDefault="00676882" w:rsidP="00DF45FA">
            <w:pPr>
              <w:pStyle w:val="Tabletext"/>
            </w:pPr>
            <w:r>
              <w:t>e) Heater - 2 year</w:t>
            </w:r>
          </w:p>
        </w:tc>
        <w:tc>
          <w:tcPr>
            <w:tcW w:w="1984" w:type="dxa"/>
            <w:shd w:val="clear" w:color="auto" w:fill="auto"/>
            <w:vAlign w:val="center"/>
          </w:tcPr>
          <w:p w14:paraId="1AFD364E" w14:textId="77777777" w:rsidR="00676882" w:rsidRPr="006B0263" w:rsidRDefault="00676882" w:rsidP="00DF45FA">
            <w:pPr>
              <w:pStyle w:val="Tabletext"/>
              <w:jc w:val="right"/>
              <w:rPr>
                <w:color w:val="C00000"/>
              </w:rPr>
            </w:pPr>
            <w:r w:rsidRPr="007F2D37">
              <w:rPr>
                <w:color w:val="C00000"/>
              </w:rPr>
              <w:t>-$15.5</w:t>
            </w:r>
            <w:r>
              <w:rPr>
                <w:color w:val="C00000"/>
              </w:rPr>
              <w:t>6</w:t>
            </w:r>
          </w:p>
        </w:tc>
        <w:tc>
          <w:tcPr>
            <w:tcW w:w="1984" w:type="dxa"/>
            <w:shd w:val="clear" w:color="auto" w:fill="auto"/>
            <w:vAlign w:val="center"/>
          </w:tcPr>
          <w:p w14:paraId="7F18FFB6" w14:textId="77777777" w:rsidR="00676882" w:rsidRPr="006B0263" w:rsidRDefault="00676882" w:rsidP="00DF45FA">
            <w:pPr>
              <w:pStyle w:val="Tabletext"/>
              <w:jc w:val="right"/>
              <w:rPr>
                <w:color w:val="C00000"/>
              </w:rPr>
            </w:pPr>
            <w:r>
              <w:rPr>
                <w:color w:val="C00000"/>
              </w:rPr>
              <w:t>-</w:t>
            </w:r>
            <w:r w:rsidRPr="006B0263">
              <w:rPr>
                <w:color w:val="C00000"/>
              </w:rPr>
              <w:t>$16.83</w:t>
            </w:r>
          </w:p>
        </w:tc>
        <w:tc>
          <w:tcPr>
            <w:tcW w:w="1984" w:type="dxa"/>
            <w:shd w:val="clear" w:color="auto" w:fill="auto"/>
            <w:vAlign w:val="center"/>
          </w:tcPr>
          <w:p w14:paraId="7D16DDDA" w14:textId="77777777" w:rsidR="00676882" w:rsidRPr="006B0263" w:rsidRDefault="00676882" w:rsidP="00DF45FA">
            <w:pPr>
              <w:pStyle w:val="Tabletext"/>
              <w:jc w:val="right"/>
              <w:rPr>
                <w:color w:val="C00000"/>
              </w:rPr>
            </w:pPr>
            <w:r>
              <w:rPr>
                <w:color w:val="C00000"/>
              </w:rPr>
              <w:t>-</w:t>
            </w:r>
            <w:r w:rsidRPr="006B0263">
              <w:rPr>
                <w:color w:val="C00000"/>
              </w:rPr>
              <w:t>$17.31</w:t>
            </w:r>
          </w:p>
        </w:tc>
      </w:tr>
      <w:tr w:rsidR="00676882" w14:paraId="1B8F4715" w14:textId="77777777" w:rsidTr="00DF45FA">
        <w:trPr>
          <w:gridBefore w:val="1"/>
          <w:wBefore w:w="454" w:type="dxa"/>
        </w:trPr>
        <w:tc>
          <w:tcPr>
            <w:tcW w:w="1984" w:type="dxa"/>
            <w:shd w:val="clear" w:color="auto" w:fill="auto"/>
            <w:vAlign w:val="bottom"/>
          </w:tcPr>
          <w:p w14:paraId="3D31BECD" w14:textId="77777777" w:rsidR="00676882" w:rsidRDefault="00676882" w:rsidP="00DF45FA">
            <w:pPr>
              <w:pStyle w:val="Tabletext"/>
            </w:pPr>
            <w:r>
              <w:t>f) Heater - 4 year</w:t>
            </w:r>
          </w:p>
        </w:tc>
        <w:tc>
          <w:tcPr>
            <w:tcW w:w="1984" w:type="dxa"/>
            <w:shd w:val="clear" w:color="auto" w:fill="auto"/>
            <w:vAlign w:val="center"/>
          </w:tcPr>
          <w:p w14:paraId="38719EE8" w14:textId="77777777" w:rsidR="00676882" w:rsidRPr="006B0263" w:rsidRDefault="00676882" w:rsidP="00DF45FA">
            <w:pPr>
              <w:pStyle w:val="Tabletext"/>
              <w:jc w:val="right"/>
              <w:rPr>
                <w:color w:val="C00000"/>
              </w:rPr>
            </w:pPr>
            <w:r w:rsidRPr="007F2D37">
              <w:rPr>
                <w:color w:val="C00000"/>
              </w:rPr>
              <w:t>-$15.5</w:t>
            </w:r>
            <w:r>
              <w:rPr>
                <w:color w:val="C00000"/>
              </w:rPr>
              <w:t>6</w:t>
            </w:r>
          </w:p>
        </w:tc>
        <w:tc>
          <w:tcPr>
            <w:tcW w:w="1984" w:type="dxa"/>
            <w:shd w:val="clear" w:color="auto" w:fill="auto"/>
            <w:vAlign w:val="center"/>
          </w:tcPr>
          <w:p w14:paraId="79E9FB5A" w14:textId="77777777" w:rsidR="00676882" w:rsidRPr="006B0263" w:rsidRDefault="00676882" w:rsidP="00DF45FA">
            <w:pPr>
              <w:pStyle w:val="Tabletext"/>
              <w:jc w:val="right"/>
              <w:rPr>
                <w:color w:val="C00000"/>
              </w:rPr>
            </w:pPr>
            <w:r>
              <w:rPr>
                <w:color w:val="C00000"/>
              </w:rPr>
              <w:t>-</w:t>
            </w:r>
            <w:r w:rsidRPr="006B0263">
              <w:rPr>
                <w:color w:val="C00000"/>
              </w:rPr>
              <w:t>$16.62</w:t>
            </w:r>
          </w:p>
        </w:tc>
        <w:tc>
          <w:tcPr>
            <w:tcW w:w="1984" w:type="dxa"/>
            <w:shd w:val="clear" w:color="auto" w:fill="auto"/>
            <w:vAlign w:val="center"/>
          </w:tcPr>
          <w:p w14:paraId="205C9A11" w14:textId="77777777" w:rsidR="00676882" w:rsidRPr="006B0263" w:rsidRDefault="00676882" w:rsidP="00DF45FA">
            <w:pPr>
              <w:pStyle w:val="Tabletext"/>
              <w:jc w:val="right"/>
              <w:rPr>
                <w:color w:val="C00000"/>
              </w:rPr>
            </w:pPr>
            <w:r>
              <w:rPr>
                <w:color w:val="C00000"/>
              </w:rPr>
              <w:t>-</w:t>
            </w:r>
            <w:r w:rsidRPr="006B0263">
              <w:rPr>
                <w:color w:val="C00000"/>
              </w:rPr>
              <w:t>$16.96</w:t>
            </w:r>
          </w:p>
        </w:tc>
      </w:tr>
      <w:tr w:rsidR="00676882" w14:paraId="12244FDB" w14:textId="77777777" w:rsidTr="00676882">
        <w:trPr>
          <w:gridBefore w:val="1"/>
          <w:wBefore w:w="454" w:type="dxa"/>
        </w:trPr>
        <w:tc>
          <w:tcPr>
            <w:tcW w:w="1984" w:type="dxa"/>
            <w:shd w:val="clear" w:color="auto" w:fill="auto"/>
            <w:vAlign w:val="bottom"/>
          </w:tcPr>
          <w:p w14:paraId="62A6C05A" w14:textId="77777777" w:rsidR="00676882" w:rsidRDefault="00676882" w:rsidP="00DF45FA">
            <w:pPr>
              <w:pStyle w:val="Tabletext"/>
            </w:pPr>
            <w:r>
              <w:t>g) Performance 2-stars - 2 year</w:t>
            </w:r>
          </w:p>
        </w:tc>
        <w:tc>
          <w:tcPr>
            <w:tcW w:w="1984" w:type="dxa"/>
            <w:shd w:val="clear" w:color="auto" w:fill="auto"/>
            <w:vAlign w:val="center"/>
          </w:tcPr>
          <w:p w14:paraId="322E20BA" w14:textId="77777777" w:rsidR="00676882" w:rsidRPr="006B0263" w:rsidRDefault="00676882" w:rsidP="00DF45FA">
            <w:pPr>
              <w:pStyle w:val="Tabletext"/>
              <w:jc w:val="right"/>
              <w:rPr>
                <w:color w:val="C00000"/>
              </w:rPr>
            </w:pPr>
            <w:r w:rsidRPr="007F2D37">
              <w:rPr>
                <w:color w:val="C00000"/>
              </w:rPr>
              <w:t>-$12.9</w:t>
            </w:r>
            <w:r>
              <w:rPr>
                <w:color w:val="C00000"/>
              </w:rPr>
              <w:t>5</w:t>
            </w:r>
          </w:p>
        </w:tc>
        <w:tc>
          <w:tcPr>
            <w:tcW w:w="1984" w:type="dxa"/>
            <w:shd w:val="clear" w:color="auto" w:fill="auto"/>
            <w:vAlign w:val="center"/>
          </w:tcPr>
          <w:p w14:paraId="2EAA45DB" w14:textId="77777777" w:rsidR="00676882" w:rsidRPr="006B0263" w:rsidRDefault="00676882" w:rsidP="00DF45FA">
            <w:pPr>
              <w:pStyle w:val="Tabletext"/>
              <w:jc w:val="right"/>
              <w:rPr>
                <w:color w:val="C00000"/>
              </w:rPr>
            </w:pPr>
            <w:r>
              <w:rPr>
                <w:color w:val="C00000"/>
              </w:rPr>
              <w:t>-</w:t>
            </w:r>
            <w:r w:rsidRPr="006B0263">
              <w:rPr>
                <w:color w:val="C00000"/>
              </w:rPr>
              <w:t>$12.90</w:t>
            </w:r>
          </w:p>
        </w:tc>
        <w:tc>
          <w:tcPr>
            <w:tcW w:w="1984" w:type="dxa"/>
            <w:tcBorders>
              <w:bottom w:val="single" w:sz="4" w:space="0" w:color="646464"/>
            </w:tcBorders>
            <w:shd w:val="clear" w:color="auto" w:fill="auto"/>
            <w:vAlign w:val="center"/>
          </w:tcPr>
          <w:p w14:paraId="5546A492" w14:textId="77777777" w:rsidR="00676882" w:rsidRPr="006B0263" w:rsidRDefault="00676882" w:rsidP="00DF45FA">
            <w:pPr>
              <w:pStyle w:val="Tabletext"/>
              <w:jc w:val="right"/>
              <w:rPr>
                <w:color w:val="C00000"/>
              </w:rPr>
            </w:pPr>
            <w:r>
              <w:rPr>
                <w:color w:val="C00000"/>
              </w:rPr>
              <w:t>-</w:t>
            </w:r>
            <w:r w:rsidRPr="006B0263">
              <w:rPr>
                <w:color w:val="C00000"/>
              </w:rPr>
              <w:t>$12.86</w:t>
            </w:r>
          </w:p>
        </w:tc>
      </w:tr>
      <w:tr w:rsidR="00676882" w14:paraId="3E059D17" w14:textId="77777777" w:rsidTr="00676882">
        <w:trPr>
          <w:gridBefore w:val="1"/>
          <w:wBefore w:w="454" w:type="dxa"/>
        </w:trPr>
        <w:tc>
          <w:tcPr>
            <w:tcW w:w="1984" w:type="dxa"/>
            <w:shd w:val="clear" w:color="auto" w:fill="auto"/>
            <w:vAlign w:val="bottom"/>
          </w:tcPr>
          <w:p w14:paraId="16183DBB" w14:textId="77777777" w:rsidR="00676882" w:rsidRDefault="00676882" w:rsidP="00DF45FA">
            <w:pPr>
              <w:pStyle w:val="Tabletext"/>
            </w:pPr>
            <w:r>
              <w:t>h) Performance 2-stars - 4 year</w:t>
            </w:r>
          </w:p>
        </w:tc>
        <w:tc>
          <w:tcPr>
            <w:tcW w:w="1984" w:type="dxa"/>
            <w:shd w:val="clear" w:color="auto" w:fill="auto"/>
            <w:vAlign w:val="center"/>
          </w:tcPr>
          <w:p w14:paraId="3B04F91D" w14:textId="77777777" w:rsidR="00676882" w:rsidRPr="006B0263" w:rsidRDefault="00676882" w:rsidP="00DF45FA">
            <w:pPr>
              <w:pStyle w:val="Tabletext"/>
              <w:jc w:val="right"/>
              <w:rPr>
                <w:color w:val="C00000"/>
              </w:rPr>
            </w:pPr>
            <w:r w:rsidRPr="007F2D37">
              <w:rPr>
                <w:color w:val="C00000"/>
              </w:rPr>
              <w:t>-$12.</w:t>
            </w:r>
            <w:r>
              <w:rPr>
                <w:color w:val="C00000"/>
              </w:rPr>
              <w:t>76</w:t>
            </w:r>
          </w:p>
        </w:tc>
        <w:tc>
          <w:tcPr>
            <w:tcW w:w="1984" w:type="dxa"/>
            <w:shd w:val="clear" w:color="auto" w:fill="auto"/>
            <w:vAlign w:val="center"/>
          </w:tcPr>
          <w:p w14:paraId="48D5A0A1" w14:textId="77777777" w:rsidR="00676882" w:rsidRPr="006B0263" w:rsidRDefault="00676882" w:rsidP="00DF45FA">
            <w:pPr>
              <w:pStyle w:val="Tabletext"/>
              <w:jc w:val="right"/>
              <w:rPr>
                <w:color w:val="C00000"/>
              </w:rPr>
            </w:pPr>
            <w:r>
              <w:rPr>
                <w:color w:val="C00000"/>
              </w:rPr>
              <w:t>-</w:t>
            </w:r>
            <w:r w:rsidRPr="006B0263">
              <w:rPr>
                <w:color w:val="C00000"/>
              </w:rPr>
              <w:t>$12.71</w:t>
            </w:r>
          </w:p>
        </w:tc>
        <w:tc>
          <w:tcPr>
            <w:tcW w:w="1984" w:type="dxa"/>
            <w:tcBorders>
              <w:top w:val="single" w:sz="4" w:space="0" w:color="646464"/>
            </w:tcBorders>
            <w:shd w:val="clear" w:color="auto" w:fill="ACD8B5"/>
            <w:vAlign w:val="center"/>
          </w:tcPr>
          <w:p w14:paraId="46802B30" w14:textId="77777777" w:rsidR="00676882" w:rsidRPr="006B0263" w:rsidRDefault="00676882" w:rsidP="00DF45FA">
            <w:pPr>
              <w:pStyle w:val="Tabletext"/>
              <w:jc w:val="right"/>
              <w:rPr>
                <w:color w:val="C00000"/>
              </w:rPr>
            </w:pPr>
            <w:r>
              <w:rPr>
                <w:color w:val="C00000"/>
              </w:rPr>
              <w:t>-</w:t>
            </w:r>
            <w:r w:rsidRPr="006B0263">
              <w:rPr>
                <w:color w:val="C00000"/>
              </w:rPr>
              <w:t>$12.6</w:t>
            </w:r>
            <w:r>
              <w:rPr>
                <w:color w:val="C00000"/>
              </w:rPr>
              <w:t>1</w:t>
            </w:r>
          </w:p>
        </w:tc>
      </w:tr>
      <w:tr w:rsidR="00676882" w14:paraId="5CE12717" w14:textId="77777777" w:rsidTr="00DF45FA">
        <w:trPr>
          <w:gridBefore w:val="1"/>
          <w:wBefore w:w="454" w:type="dxa"/>
        </w:trPr>
        <w:tc>
          <w:tcPr>
            <w:tcW w:w="1984" w:type="dxa"/>
            <w:shd w:val="clear" w:color="auto" w:fill="auto"/>
            <w:vAlign w:val="bottom"/>
          </w:tcPr>
          <w:p w14:paraId="78684E39" w14:textId="77777777" w:rsidR="00676882" w:rsidRDefault="00676882" w:rsidP="00DF45FA">
            <w:pPr>
              <w:pStyle w:val="Tabletext"/>
            </w:pPr>
            <w:r>
              <w:lastRenderedPageBreak/>
              <w:t>i) Performance 3-stars - 2 year</w:t>
            </w:r>
          </w:p>
        </w:tc>
        <w:tc>
          <w:tcPr>
            <w:tcW w:w="1984" w:type="dxa"/>
            <w:shd w:val="clear" w:color="auto" w:fill="auto"/>
            <w:vAlign w:val="center"/>
          </w:tcPr>
          <w:p w14:paraId="548DDCDD" w14:textId="77777777" w:rsidR="00676882" w:rsidRPr="006B0263" w:rsidRDefault="00676882" w:rsidP="00DF45FA">
            <w:pPr>
              <w:pStyle w:val="Tabletext"/>
              <w:jc w:val="right"/>
              <w:rPr>
                <w:color w:val="C00000"/>
              </w:rPr>
            </w:pPr>
            <w:r w:rsidRPr="007F2D37">
              <w:rPr>
                <w:color w:val="C00000"/>
              </w:rPr>
              <w:t>-$1</w:t>
            </w:r>
            <w:r>
              <w:rPr>
                <w:color w:val="C00000"/>
              </w:rPr>
              <w:t>19.66</w:t>
            </w:r>
          </w:p>
        </w:tc>
        <w:tc>
          <w:tcPr>
            <w:tcW w:w="1984" w:type="dxa"/>
            <w:shd w:val="clear" w:color="auto" w:fill="auto"/>
            <w:vAlign w:val="center"/>
          </w:tcPr>
          <w:p w14:paraId="615EE360" w14:textId="77777777" w:rsidR="00676882" w:rsidRPr="006B0263" w:rsidRDefault="00676882" w:rsidP="00DF45FA">
            <w:pPr>
              <w:pStyle w:val="Tabletext"/>
              <w:jc w:val="right"/>
              <w:rPr>
                <w:color w:val="C00000"/>
              </w:rPr>
            </w:pPr>
            <w:r>
              <w:rPr>
                <w:color w:val="C00000"/>
              </w:rPr>
              <w:t>-</w:t>
            </w:r>
            <w:r w:rsidRPr="006B0263">
              <w:rPr>
                <w:color w:val="C00000"/>
              </w:rPr>
              <w:t>$119.29</w:t>
            </w:r>
          </w:p>
        </w:tc>
        <w:tc>
          <w:tcPr>
            <w:tcW w:w="1984" w:type="dxa"/>
            <w:shd w:val="clear" w:color="auto" w:fill="auto"/>
            <w:vAlign w:val="center"/>
          </w:tcPr>
          <w:p w14:paraId="1045B298" w14:textId="77777777" w:rsidR="00676882" w:rsidRPr="006B0263" w:rsidRDefault="00676882" w:rsidP="00DF45FA">
            <w:pPr>
              <w:pStyle w:val="Tabletext"/>
              <w:jc w:val="right"/>
              <w:rPr>
                <w:color w:val="C00000"/>
              </w:rPr>
            </w:pPr>
            <w:r>
              <w:rPr>
                <w:color w:val="C00000"/>
              </w:rPr>
              <w:t>-</w:t>
            </w:r>
            <w:r w:rsidRPr="006B0263">
              <w:rPr>
                <w:color w:val="C00000"/>
              </w:rPr>
              <w:t>$124.94</w:t>
            </w:r>
          </w:p>
        </w:tc>
      </w:tr>
      <w:tr w:rsidR="00676882" w14:paraId="608202CC" w14:textId="77777777" w:rsidTr="00DF45FA">
        <w:trPr>
          <w:gridBefore w:val="1"/>
          <w:wBefore w:w="454" w:type="dxa"/>
        </w:trPr>
        <w:tc>
          <w:tcPr>
            <w:tcW w:w="1984" w:type="dxa"/>
            <w:shd w:val="clear" w:color="auto" w:fill="auto"/>
            <w:vAlign w:val="bottom"/>
          </w:tcPr>
          <w:p w14:paraId="44A58E33" w14:textId="77777777" w:rsidR="00676882" w:rsidRDefault="00676882" w:rsidP="00DF45FA">
            <w:pPr>
              <w:pStyle w:val="Tabletext"/>
            </w:pPr>
            <w:r>
              <w:t>j) Performance 3-stars - 4 year</w:t>
            </w:r>
          </w:p>
        </w:tc>
        <w:tc>
          <w:tcPr>
            <w:tcW w:w="1984" w:type="dxa"/>
            <w:shd w:val="clear" w:color="auto" w:fill="auto"/>
            <w:vAlign w:val="center"/>
          </w:tcPr>
          <w:p w14:paraId="1E4D0323" w14:textId="77777777" w:rsidR="00676882" w:rsidRPr="006B0263" w:rsidRDefault="00676882" w:rsidP="00DF45FA">
            <w:pPr>
              <w:pStyle w:val="Tabletext"/>
              <w:jc w:val="right"/>
              <w:rPr>
                <w:color w:val="C00000"/>
              </w:rPr>
            </w:pPr>
            <w:r w:rsidRPr="007F2D37">
              <w:rPr>
                <w:color w:val="C00000"/>
              </w:rPr>
              <w:t>-$1</w:t>
            </w:r>
            <w:r>
              <w:rPr>
                <w:color w:val="C00000"/>
              </w:rPr>
              <w:t>16.41</w:t>
            </w:r>
          </w:p>
        </w:tc>
        <w:tc>
          <w:tcPr>
            <w:tcW w:w="1984" w:type="dxa"/>
            <w:shd w:val="clear" w:color="auto" w:fill="auto"/>
            <w:vAlign w:val="center"/>
          </w:tcPr>
          <w:p w14:paraId="0B7E0992" w14:textId="77777777" w:rsidR="00676882" w:rsidRPr="006B0263" w:rsidRDefault="00676882" w:rsidP="00DF45FA">
            <w:pPr>
              <w:pStyle w:val="Tabletext"/>
              <w:jc w:val="right"/>
              <w:rPr>
                <w:color w:val="C00000"/>
              </w:rPr>
            </w:pPr>
            <w:r>
              <w:rPr>
                <w:color w:val="C00000"/>
              </w:rPr>
              <w:t>-</w:t>
            </w:r>
            <w:r w:rsidRPr="006B0263">
              <w:rPr>
                <w:color w:val="C00000"/>
              </w:rPr>
              <w:t>$116.04</w:t>
            </w:r>
          </w:p>
        </w:tc>
        <w:tc>
          <w:tcPr>
            <w:tcW w:w="1984" w:type="dxa"/>
            <w:shd w:val="clear" w:color="auto" w:fill="auto"/>
            <w:vAlign w:val="center"/>
          </w:tcPr>
          <w:p w14:paraId="7D41CDD3" w14:textId="77777777" w:rsidR="00676882" w:rsidRPr="006B0263" w:rsidRDefault="00676882" w:rsidP="00DF45FA">
            <w:pPr>
              <w:pStyle w:val="Tabletext"/>
              <w:jc w:val="right"/>
              <w:rPr>
                <w:color w:val="C00000"/>
              </w:rPr>
            </w:pPr>
            <w:r>
              <w:rPr>
                <w:color w:val="C00000"/>
              </w:rPr>
              <w:t>-</w:t>
            </w:r>
            <w:r w:rsidRPr="006B0263">
              <w:rPr>
                <w:color w:val="C00000"/>
              </w:rPr>
              <w:t>$121.16</w:t>
            </w:r>
          </w:p>
        </w:tc>
      </w:tr>
      <w:tr w:rsidR="00676882" w14:paraId="06A495D6" w14:textId="77777777" w:rsidTr="00DF45FA">
        <w:trPr>
          <w:gridBefore w:val="1"/>
          <w:wBefore w:w="454" w:type="dxa"/>
        </w:trPr>
        <w:tc>
          <w:tcPr>
            <w:tcW w:w="7936" w:type="dxa"/>
            <w:gridSpan w:val="4"/>
            <w:tcBorders>
              <w:bottom w:val="single" w:sz="4" w:space="0" w:color="646464"/>
            </w:tcBorders>
            <w:shd w:val="clear" w:color="auto" w:fill="auto"/>
          </w:tcPr>
          <w:p w14:paraId="76B242B8" w14:textId="77777777" w:rsidR="00676882" w:rsidRPr="006B0263" w:rsidRDefault="00676882" w:rsidP="00DF45FA">
            <w:pPr>
              <w:pStyle w:val="Source"/>
              <w:rPr>
                <w:i w:val="0"/>
                <w:iCs/>
              </w:rPr>
            </w:pPr>
            <w:r>
              <w:rPr>
                <w:i w:val="0"/>
                <w:iCs/>
              </w:rPr>
              <w:t>Note: All scenarios are presented with a social cost of carbon calculated at 3 per cent discount rate. A sensitivity test of the social cost of carbon is presented separately.</w:t>
            </w:r>
          </w:p>
          <w:p w14:paraId="2FB67B4A" w14:textId="77777777" w:rsidR="00676882" w:rsidRPr="005D7D3C" w:rsidRDefault="00676882" w:rsidP="00DF45FA">
            <w:pPr>
              <w:pStyle w:val="Source"/>
            </w:pPr>
            <w:r>
              <w:t>Source: ACIL Allen</w:t>
            </w:r>
          </w:p>
        </w:tc>
      </w:tr>
      <w:tr w:rsidR="00676882" w14:paraId="02B9F090"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7314DEF2" w14:textId="77777777" w:rsidR="00676882" w:rsidRDefault="00676882" w:rsidP="00DF45FA">
            <w:pPr>
              <w:pStyle w:val="spacer"/>
            </w:pPr>
          </w:p>
        </w:tc>
      </w:tr>
    </w:tbl>
    <w:p w14:paraId="324E8786" w14:textId="77777777" w:rsidR="00676882" w:rsidRPr="00374510" w:rsidRDefault="00676882" w:rsidP="00676882">
      <w:pPr>
        <w:pStyle w:val="Heading3"/>
      </w:pPr>
      <w:r>
        <w:t>Energy prices</w:t>
      </w:r>
    </w:p>
    <w:p w14:paraId="09B1F6E7" w14:textId="77777777" w:rsidR="00676882" w:rsidRDefault="00676882" w:rsidP="00676882">
      <w:pPr>
        <w:pStyle w:val="BodyText"/>
      </w:pPr>
      <w:r>
        <w:t xml:space="preserve">Energy prices are an important determinant of benefits and therefore results. Using wholesale energy prices as a proxy for avoided resource costs, many of the options impose a net cost to the ACT community. However, at the household level all options are NPV-positive based on retail energy prices — which are typically between three and five times higher than wholesale prices. </w:t>
      </w:r>
    </w:p>
    <w:p w14:paraId="0B59B085" w14:textId="77777777" w:rsidR="00676882" w:rsidRPr="00C062C5" w:rsidRDefault="00676882" w:rsidP="00676882">
      <w:pPr>
        <w:pStyle w:val="BodyText"/>
      </w:pPr>
      <w:r>
        <w:t xml:space="preserve">This analysis for energy prices aims to answer the question ‘how much would the wholesale energy prices have to increase for a minimum standards policy to break even to society in cost-benefit terms?’ To answer this question a scalar for wholesale energy prices was used to find the net present value at various energy price increases (at a three per cent discount rate). The results are presented in </w:t>
      </w:r>
      <w:r w:rsidRPr="009E4AB1">
        <w:fldChar w:fldCharType="begin"/>
      </w:r>
      <w:r w:rsidRPr="009E4AB1">
        <w:instrText xml:space="preserve"> REF _Ref80459655 \h  \* MERGEFORMAT </w:instrText>
      </w:r>
      <w:r w:rsidRPr="009E4AB1">
        <w:fldChar w:fldCharType="separate"/>
      </w:r>
      <w:r w:rsidRPr="00F32FCC">
        <w:t>Table 5.7</w:t>
      </w:r>
      <w:r w:rsidRPr="009E4AB1">
        <w:fldChar w:fldCharType="end"/>
      </w:r>
      <w:r>
        <w:t xml:space="preserve"> and show that </w:t>
      </w:r>
      <w:r w:rsidRPr="00C062C5">
        <w:t>the</w:t>
      </w:r>
      <w:r>
        <w:t xml:space="preserve"> </w:t>
      </w:r>
      <w:r w:rsidRPr="00C062C5">
        <w:t>wholesale</w:t>
      </w:r>
      <w:r>
        <w:t xml:space="preserve"> </w:t>
      </w:r>
      <w:r w:rsidRPr="00C062C5">
        <w:t>energy</w:t>
      </w:r>
      <w:r>
        <w:t xml:space="preserve"> </w:t>
      </w:r>
      <w:r w:rsidRPr="00C062C5">
        <w:t>prices</w:t>
      </w:r>
      <w:r>
        <w:t xml:space="preserve"> </w:t>
      </w:r>
      <w:r w:rsidRPr="00C062C5">
        <w:t>would</w:t>
      </w:r>
      <w:r>
        <w:t xml:space="preserve"> </w:t>
      </w:r>
      <w:r w:rsidRPr="00C062C5">
        <w:t>need</w:t>
      </w:r>
      <w:r>
        <w:t xml:space="preserve"> </w:t>
      </w:r>
      <w:r w:rsidRPr="00C062C5">
        <w:t>to</w:t>
      </w:r>
      <w:r>
        <w:t xml:space="preserve"> </w:t>
      </w:r>
      <w:r w:rsidRPr="00C062C5">
        <w:t>be:</w:t>
      </w:r>
    </w:p>
    <w:p w14:paraId="0AD5A56D" w14:textId="77777777" w:rsidR="00676882" w:rsidRPr="00C062C5" w:rsidRDefault="00676882" w:rsidP="00676882">
      <w:pPr>
        <w:pStyle w:val="ListBullet"/>
      </w:pPr>
      <w:r>
        <w:t>about 1.95 times higher for heater options to become net positive for society</w:t>
      </w:r>
    </w:p>
    <w:p w14:paraId="41380889" w14:textId="77777777" w:rsidR="00676882" w:rsidRPr="00C062C5" w:rsidRDefault="00676882" w:rsidP="00676882">
      <w:pPr>
        <w:pStyle w:val="ListBullet"/>
      </w:pPr>
      <w:r>
        <w:t xml:space="preserve">about 2.5 times higher for 3-star performance options to become net positive for society </w:t>
      </w:r>
    </w:p>
    <w:p w14:paraId="1DAC439E" w14:textId="77777777" w:rsidR="00676882" w:rsidRDefault="00676882" w:rsidP="00676882">
      <w:pPr>
        <w:pStyle w:val="ListBullet"/>
      </w:pPr>
      <w:r>
        <w:t>about 2.7 times higher for 2-star performance options to become net positive for society.</w:t>
      </w:r>
    </w:p>
    <w:p w14:paraId="74AAC1B0" w14:textId="77777777" w:rsidR="00676882" w:rsidRDefault="00676882" w:rsidP="00676882">
      <w:pPr>
        <w:pStyle w:val="BodyText"/>
      </w:pPr>
      <w:r>
        <w:t>All these increases in energy prices do not change the ordinal ranking of the options, though do make a two-year phase in a preferred option at higher energy prices.</w:t>
      </w:r>
    </w:p>
    <w:p w14:paraId="55D56D1B" w14:textId="77777777" w:rsidR="00676882" w:rsidRDefault="00676882" w:rsidP="00676882">
      <w:pPr>
        <w:pStyle w:val="Caption"/>
      </w:pPr>
      <w:bookmarkStart w:id="301" w:name="_Ref80459655"/>
      <w:bookmarkStart w:id="302" w:name="_Toc80719332"/>
      <w:r w:rsidRPr="006B0263">
        <w:rPr>
          <w:rStyle w:val="CaptionLabel"/>
        </w:rPr>
        <w:t>Table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Table \* ARABIC \S 1 \* MERGEFORMAT </w:instrText>
      </w:r>
      <w:r w:rsidRPr="006B0263">
        <w:rPr>
          <w:rStyle w:val="CaptionLabel"/>
        </w:rPr>
        <w:fldChar w:fldCharType="separate"/>
      </w:r>
      <w:r>
        <w:rPr>
          <w:rStyle w:val="CaptionLabel"/>
          <w:noProof/>
        </w:rPr>
        <w:t>7</w:t>
      </w:r>
      <w:r w:rsidRPr="006B0263">
        <w:rPr>
          <w:rStyle w:val="CaptionLabel"/>
        </w:rPr>
        <w:fldChar w:fldCharType="end"/>
      </w:r>
      <w:bookmarkEnd w:id="301"/>
      <w:r>
        <w:tab/>
        <w:t>Energy prices sensitivity testing</w:t>
      </w:r>
      <w:bookmarkEnd w:id="302"/>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7"/>
        <w:tblDescription w:val="Energy prices sensitivity testing"/>
      </w:tblPr>
      <w:tblGrid>
        <w:gridCol w:w="454"/>
        <w:gridCol w:w="1984"/>
        <w:gridCol w:w="1984"/>
        <w:gridCol w:w="1984"/>
        <w:gridCol w:w="1984"/>
      </w:tblGrid>
      <w:tr w:rsidR="00676882" w14:paraId="4F8428B9" w14:textId="77777777" w:rsidTr="00DF45FA">
        <w:trPr>
          <w:tblHeader/>
        </w:trPr>
        <w:tc>
          <w:tcPr>
            <w:tcW w:w="2438" w:type="dxa"/>
            <w:gridSpan w:val="2"/>
            <w:tcBorders>
              <w:top w:val="nil"/>
              <w:bottom w:val="nil"/>
            </w:tcBorders>
            <w:shd w:val="clear" w:color="auto" w:fill="140034"/>
            <w:tcMar>
              <w:left w:w="454" w:type="dxa"/>
            </w:tcMar>
          </w:tcPr>
          <w:p w14:paraId="77C77B7F" w14:textId="77777777" w:rsidR="00676882" w:rsidRDefault="00676882" w:rsidP="00DF45FA">
            <w:pPr>
              <w:pStyle w:val="Tablecolumnheadings"/>
            </w:pPr>
            <w:r>
              <w:t>Scenario</w:t>
            </w:r>
          </w:p>
        </w:tc>
        <w:tc>
          <w:tcPr>
            <w:tcW w:w="1984" w:type="dxa"/>
            <w:tcBorders>
              <w:top w:val="nil"/>
              <w:bottom w:val="nil"/>
            </w:tcBorders>
            <w:shd w:val="clear" w:color="auto" w:fill="140034"/>
          </w:tcPr>
          <w:p w14:paraId="3AD9BD69" w14:textId="77777777" w:rsidR="00676882" w:rsidRDefault="00676882" w:rsidP="00DF45FA">
            <w:pPr>
              <w:pStyle w:val="Tablecolumnheadings"/>
              <w:jc w:val="right"/>
            </w:pPr>
            <w:r>
              <w:t>NPV ($ million) – energy prices 96% higher</w:t>
            </w:r>
          </w:p>
        </w:tc>
        <w:tc>
          <w:tcPr>
            <w:tcW w:w="1984" w:type="dxa"/>
            <w:tcBorders>
              <w:top w:val="nil"/>
              <w:bottom w:val="nil"/>
            </w:tcBorders>
            <w:shd w:val="clear" w:color="auto" w:fill="140034"/>
          </w:tcPr>
          <w:p w14:paraId="4E442BCD" w14:textId="77777777" w:rsidR="00676882" w:rsidRDefault="00676882" w:rsidP="00DF45FA">
            <w:pPr>
              <w:pStyle w:val="Tablecolumnheadings"/>
              <w:jc w:val="right"/>
            </w:pPr>
            <w:r>
              <w:t>NPV ($ million) – energy prices 152% higher</w:t>
            </w:r>
          </w:p>
        </w:tc>
        <w:tc>
          <w:tcPr>
            <w:tcW w:w="1984" w:type="dxa"/>
            <w:tcBorders>
              <w:top w:val="nil"/>
              <w:bottom w:val="nil"/>
              <w:right w:val="single" w:sz="6" w:space="0" w:color="140034"/>
            </w:tcBorders>
            <w:shd w:val="clear" w:color="auto" w:fill="140034"/>
          </w:tcPr>
          <w:p w14:paraId="28513C54" w14:textId="77777777" w:rsidR="00676882" w:rsidRDefault="00676882" w:rsidP="00DF45FA">
            <w:pPr>
              <w:pStyle w:val="Tablecolumnheadings"/>
              <w:jc w:val="right"/>
            </w:pPr>
            <w:r>
              <w:t>NPV ($ million) – energy prices 172% higher</w:t>
            </w:r>
          </w:p>
        </w:tc>
      </w:tr>
      <w:tr w:rsidR="00676882" w14:paraId="1F4C2FC4" w14:textId="77777777" w:rsidTr="00DF45FA">
        <w:trPr>
          <w:gridBefore w:val="1"/>
          <w:wBefore w:w="454" w:type="dxa"/>
        </w:trPr>
        <w:tc>
          <w:tcPr>
            <w:tcW w:w="1984" w:type="dxa"/>
            <w:tcBorders>
              <w:top w:val="nil"/>
            </w:tcBorders>
            <w:shd w:val="clear" w:color="auto" w:fill="auto"/>
            <w:vAlign w:val="bottom"/>
          </w:tcPr>
          <w:p w14:paraId="1C1B229E" w14:textId="77777777" w:rsidR="00676882" w:rsidRDefault="00676882" w:rsidP="00DF45FA">
            <w:pPr>
              <w:pStyle w:val="Tabletext"/>
            </w:pPr>
            <w:r>
              <w:t>a) Insulation R3 - 2 year</w:t>
            </w:r>
          </w:p>
        </w:tc>
        <w:tc>
          <w:tcPr>
            <w:tcW w:w="1984" w:type="dxa"/>
            <w:tcBorders>
              <w:top w:val="nil"/>
            </w:tcBorders>
            <w:shd w:val="clear" w:color="auto" w:fill="auto"/>
            <w:vAlign w:val="center"/>
          </w:tcPr>
          <w:p w14:paraId="580BBFF8" w14:textId="77777777" w:rsidR="00676882" w:rsidRDefault="00676882" w:rsidP="00DF45FA">
            <w:pPr>
              <w:pStyle w:val="Tabletext"/>
              <w:jc w:val="right"/>
            </w:pPr>
            <w:r w:rsidRPr="00C6156B">
              <w:t xml:space="preserve">$52.92 </w:t>
            </w:r>
          </w:p>
        </w:tc>
        <w:tc>
          <w:tcPr>
            <w:tcW w:w="1984" w:type="dxa"/>
            <w:tcBorders>
              <w:top w:val="nil"/>
            </w:tcBorders>
            <w:shd w:val="clear" w:color="auto" w:fill="auto"/>
            <w:vAlign w:val="center"/>
          </w:tcPr>
          <w:p w14:paraId="55D06C40" w14:textId="77777777" w:rsidR="00676882" w:rsidRDefault="00676882" w:rsidP="00DF45FA">
            <w:pPr>
              <w:pStyle w:val="Tabletext"/>
              <w:jc w:val="right"/>
            </w:pPr>
            <w:r w:rsidRPr="00E043F1">
              <w:t xml:space="preserve">$77.68 </w:t>
            </w:r>
          </w:p>
        </w:tc>
        <w:tc>
          <w:tcPr>
            <w:tcW w:w="1984" w:type="dxa"/>
            <w:tcBorders>
              <w:top w:val="nil"/>
            </w:tcBorders>
            <w:shd w:val="clear" w:color="auto" w:fill="auto"/>
            <w:vAlign w:val="center"/>
          </w:tcPr>
          <w:p w14:paraId="37D5C751" w14:textId="77777777" w:rsidR="00676882" w:rsidRDefault="00676882" w:rsidP="00DF45FA">
            <w:pPr>
              <w:pStyle w:val="Tabletext"/>
              <w:jc w:val="right"/>
            </w:pPr>
            <w:r w:rsidRPr="0061053E">
              <w:t xml:space="preserve">$86.53 </w:t>
            </w:r>
          </w:p>
        </w:tc>
      </w:tr>
      <w:tr w:rsidR="00676882" w14:paraId="43A5558D" w14:textId="77777777" w:rsidTr="00676882">
        <w:trPr>
          <w:gridBefore w:val="1"/>
          <w:wBefore w:w="454" w:type="dxa"/>
        </w:trPr>
        <w:tc>
          <w:tcPr>
            <w:tcW w:w="1984" w:type="dxa"/>
            <w:shd w:val="clear" w:color="auto" w:fill="auto"/>
            <w:vAlign w:val="bottom"/>
          </w:tcPr>
          <w:p w14:paraId="48D134AA" w14:textId="77777777" w:rsidR="00676882" w:rsidRDefault="00676882" w:rsidP="00DF45FA">
            <w:pPr>
              <w:pStyle w:val="Tabletext"/>
            </w:pPr>
            <w:r>
              <w:t>b) Insulation R3 - 4 year</w:t>
            </w:r>
          </w:p>
        </w:tc>
        <w:tc>
          <w:tcPr>
            <w:tcW w:w="1984" w:type="dxa"/>
            <w:shd w:val="clear" w:color="auto" w:fill="auto"/>
            <w:vAlign w:val="center"/>
          </w:tcPr>
          <w:p w14:paraId="1CDE3C05" w14:textId="77777777" w:rsidR="00676882" w:rsidRDefault="00676882" w:rsidP="00DF45FA">
            <w:pPr>
              <w:pStyle w:val="Tabletext"/>
              <w:jc w:val="right"/>
            </w:pPr>
            <w:r w:rsidRPr="00C6156B">
              <w:t xml:space="preserve">$53.19 </w:t>
            </w:r>
          </w:p>
        </w:tc>
        <w:tc>
          <w:tcPr>
            <w:tcW w:w="1984" w:type="dxa"/>
            <w:tcBorders>
              <w:bottom w:val="single" w:sz="4" w:space="0" w:color="646464"/>
            </w:tcBorders>
            <w:shd w:val="clear" w:color="auto" w:fill="auto"/>
            <w:vAlign w:val="center"/>
          </w:tcPr>
          <w:p w14:paraId="14B152A0" w14:textId="77777777" w:rsidR="00676882" w:rsidRDefault="00676882" w:rsidP="00DF45FA">
            <w:pPr>
              <w:pStyle w:val="Tabletext"/>
              <w:jc w:val="right"/>
            </w:pPr>
            <w:r w:rsidRPr="00E043F1">
              <w:t xml:space="preserve">$77.75 </w:t>
            </w:r>
          </w:p>
        </w:tc>
        <w:tc>
          <w:tcPr>
            <w:tcW w:w="1984" w:type="dxa"/>
            <w:tcBorders>
              <w:bottom w:val="single" w:sz="4" w:space="0" w:color="646464"/>
            </w:tcBorders>
            <w:shd w:val="clear" w:color="auto" w:fill="auto"/>
            <w:vAlign w:val="center"/>
          </w:tcPr>
          <w:p w14:paraId="71BB908D" w14:textId="77777777" w:rsidR="00676882" w:rsidRDefault="00676882" w:rsidP="00DF45FA">
            <w:pPr>
              <w:pStyle w:val="Tabletext"/>
              <w:jc w:val="right"/>
            </w:pPr>
            <w:r w:rsidRPr="0061053E">
              <w:t xml:space="preserve">$86.52 </w:t>
            </w:r>
          </w:p>
        </w:tc>
      </w:tr>
      <w:tr w:rsidR="00676882" w14:paraId="13EFA117" w14:textId="77777777" w:rsidTr="00676882">
        <w:trPr>
          <w:gridBefore w:val="1"/>
          <w:wBefore w:w="454" w:type="dxa"/>
        </w:trPr>
        <w:tc>
          <w:tcPr>
            <w:tcW w:w="1984" w:type="dxa"/>
            <w:shd w:val="clear" w:color="auto" w:fill="auto"/>
            <w:vAlign w:val="bottom"/>
          </w:tcPr>
          <w:p w14:paraId="38CFE474" w14:textId="77777777" w:rsidR="00676882" w:rsidRDefault="00676882" w:rsidP="00DF45FA">
            <w:pPr>
              <w:pStyle w:val="Tabletext"/>
            </w:pPr>
            <w:r>
              <w:t>c) Insulation R5 - 2 year</w:t>
            </w:r>
          </w:p>
        </w:tc>
        <w:tc>
          <w:tcPr>
            <w:tcW w:w="1984" w:type="dxa"/>
            <w:tcBorders>
              <w:bottom w:val="single" w:sz="4" w:space="0" w:color="646464"/>
            </w:tcBorders>
            <w:shd w:val="clear" w:color="auto" w:fill="auto"/>
            <w:vAlign w:val="center"/>
          </w:tcPr>
          <w:p w14:paraId="1A7C1501" w14:textId="77777777" w:rsidR="00676882" w:rsidRDefault="00676882" w:rsidP="00DF45FA">
            <w:pPr>
              <w:pStyle w:val="Tabletext"/>
              <w:jc w:val="right"/>
            </w:pPr>
            <w:r w:rsidRPr="00C6156B">
              <w:t xml:space="preserve">$69.00 </w:t>
            </w:r>
          </w:p>
        </w:tc>
        <w:tc>
          <w:tcPr>
            <w:tcW w:w="1984" w:type="dxa"/>
            <w:tcBorders>
              <w:top w:val="single" w:sz="4" w:space="0" w:color="646464"/>
            </w:tcBorders>
            <w:shd w:val="clear" w:color="auto" w:fill="ACD8B5"/>
            <w:vAlign w:val="center"/>
          </w:tcPr>
          <w:p w14:paraId="253E7931" w14:textId="77777777" w:rsidR="00676882" w:rsidRDefault="00676882" w:rsidP="00DF45FA">
            <w:pPr>
              <w:pStyle w:val="Tabletext"/>
              <w:jc w:val="right"/>
            </w:pPr>
            <w:r w:rsidRPr="00E043F1">
              <w:t xml:space="preserve">$99.07 </w:t>
            </w:r>
          </w:p>
        </w:tc>
        <w:tc>
          <w:tcPr>
            <w:tcW w:w="1984" w:type="dxa"/>
            <w:tcBorders>
              <w:top w:val="single" w:sz="4" w:space="0" w:color="646464"/>
            </w:tcBorders>
            <w:shd w:val="clear" w:color="auto" w:fill="ACD8B5"/>
            <w:vAlign w:val="center"/>
          </w:tcPr>
          <w:p w14:paraId="68BC1E9F" w14:textId="77777777" w:rsidR="00676882" w:rsidRDefault="00676882" w:rsidP="00DF45FA">
            <w:pPr>
              <w:pStyle w:val="Tabletext"/>
              <w:jc w:val="right"/>
            </w:pPr>
            <w:r w:rsidRPr="0061053E">
              <w:t xml:space="preserve">$109.81 </w:t>
            </w:r>
          </w:p>
        </w:tc>
      </w:tr>
      <w:tr w:rsidR="00676882" w14:paraId="056627A1" w14:textId="77777777" w:rsidTr="00676882">
        <w:trPr>
          <w:gridBefore w:val="1"/>
          <w:wBefore w:w="454" w:type="dxa"/>
        </w:trPr>
        <w:tc>
          <w:tcPr>
            <w:tcW w:w="1984" w:type="dxa"/>
            <w:shd w:val="clear" w:color="auto" w:fill="auto"/>
            <w:vAlign w:val="bottom"/>
          </w:tcPr>
          <w:p w14:paraId="6B03B556" w14:textId="77777777" w:rsidR="00676882" w:rsidRDefault="00676882" w:rsidP="00DF45FA">
            <w:pPr>
              <w:pStyle w:val="Tabletext"/>
            </w:pPr>
            <w:r>
              <w:t>d) Insulation R5 - 4 year</w:t>
            </w:r>
          </w:p>
        </w:tc>
        <w:tc>
          <w:tcPr>
            <w:tcW w:w="1984" w:type="dxa"/>
            <w:tcBorders>
              <w:top w:val="single" w:sz="4" w:space="0" w:color="646464"/>
            </w:tcBorders>
            <w:shd w:val="clear" w:color="auto" w:fill="ACD8B5"/>
            <w:vAlign w:val="center"/>
          </w:tcPr>
          <w:p w14:paraId="0850971C" w14:textId="77777777" w:rsidR="00676882" w:rsidRDefault="00676882" w:rsidP="00DF45FA">
            <w:pPr>
              <w:pStyle w:val="Tabletext"/>
              <w:jc w:val="right"/>
            </w:pPr>
            <w:r w:rsidRPr="00C6156B">
              <w:t xml:space="preserve">$69.14 </w:t>
            </w:r>
          </w:p>
        </w:tc>
        <w:tc>
          <w:tcPr>
            <w:tcW w:w="1984" w:type="dxa"/>
            <w:shd w:val="clear" w:color="auto" w:fill="auto"/>
            <w:vAlign w:val="center"/>
          </w:tcPr>
          <w:p w14:paraId="16C1D22F" w14:textId="77777777" w:rsidR="00676882" w:rsidRDefault="00676882" w:rsidP="00DF45FA">
            <w:pPr>
              <w:pStyle w:val="Tabletext"/>
              <w:jc w:val="right"/>
            </w:pPr>
            <w:r w:rsidRPr="00E043F1">
              <w:t xml:space="preserve">$98.96 </w:t>
            </w:r>
          </w:p>
        </w:tc>
        <w:tc>
          <w:tcPr>
            <w:tcW w:w="1984" w:type="dxa"/>
            <w:shd w:val="clear" w:color="auto" w:fill="auto"/>
            <w:vAlign w:val="center"/>
          </w:tcPr>
          <w:p w14:paraId="24A913B7" w14:textId="77777777" w:rsidR="00676882" w:rsidRDefault="00676882" w:rsidP="00DF45FA">
            <w:pPr>
              <w:pStyle w:val="Tabletext"/>
              <w:jc w:val="right"/>
            </w:pPr>
            <w:r w:rsidRPr="0061053E">
              <w:t xml:space="preserve">$109.61 </w:t>
            </w:r>
          </w:p>
        </w:tc>
      </w:tr>
      <w:tr w:rsidR="00676882" w14:paraId="079C451C" w14:textId="77777777" w:rsidTr="00DF45FA">
        <w:trPr>
          <w:gridBefore w:val="1"/>
          <w:wBefore w:w="454" w:type="dxa"/>
        </w:trPr>
        <w:tc>
          <w:tcPr>
            <w:tcW w:w="1984" w:type="dxa"/>
            <w:shd w:val="clear" w:color="auto" w:fill="auto"/>
            <w:vAlign w:val="bottom"/>
          </w:tcPr>
          <w:p w14:paraId="3B0AFE4A" w14:textId="77777777" w:rsidR="00676882" w:rsidRDefault="00676882" w:rsidP="00DF45FA">
            <w:pPr>
              <w:pStyle w:val="Tabletext"/>
            </w:pPr>
            <w:r>
              <w:t>e) Heater - 2 year</w:t>
            </w:r>
          </w:p>
        </w:tc>
        <w:tc>
          <w:tcPr>
            <w:tcW w:w="1984" w:type="dxa"/>
            <w:shd w:val="clear" w:color="auto" w:fill="auto"/>
            <w:vAlign w:val="center"/>
          </w:tcPr>
          <w:p w14:paraId="2FCA3C91" w14:textId="77777777" w:rsidR="00676882" w:rsidRDefault="00676882" w:rsidP="00DF45FA">
            <w:pPr>
              <w:pStyle w:val="Tabletext"/>
              <w:jc w:val="right"/>
            </w:pPr>
            <w:r w:rsidRPr="00C6156B">
              <w:t xml:space="preserve">$0.31 </w:t>
            </w:r>
          </w:p>
        </w:tc>
        <w:tc>
          <w:tcPr>
            <w:tcW w:w="1984" w:type="dxa"/>
            <w:shd w:val="clear" w:color="auto" w:fill="auto"/>
            <w:vAlign w:val="center"/>
          </w:tcPr>
          <w:p w14:paraId="7C825ECA" w14:textId="77777777" w:rsidR="00676882" w:rsidRDefault="00676882" w:rsidP="00DF45FA">
            <w:pPr>
              <w:pStyle w:val="Tabletext"/>
              <w:jc w:val="right"/>
            </w:pPr>
            <w:r w:rsidRPr="00E043F1">
              <w:t xml:space="preserve">$9.54 </w:t>
            </w:r>
          </w:p>
        </w:tc>
        <w:tc>
          <w:tcPr>
            <w:tcW w:w="1984" w:type="dxa"/>
            <w:shd w:val="clear" w:color="auto" w:fill="auto"/>
            <w:vAlign w:val="center"/>
          </w:tcPr>
          <w:p w14:paraId="307B5C9A" w14:textId="77777777" w:rsidR="00676882" w:rsidRDefault="00676882" w:rsidP="00DF45FA">
            <w:pPr>
              <w:pStyle w:val="Tabletext"/>
              <w:jc w:val="right"/>
            </w:pPr>
            <w:r w:rsidRPr="0061053E">
              <w:t xml:space="preserve">$12.84 </w:t>
            </w:r>
          </w:p>
        </w:tc>
      </w:tr>
      <w:tr w:rsidR="00676882" w14:paraId="3C688DE9" w14:textId="77777777" w:rsidTr="00DF45FA">
        <w:trPr>
          <w:gridBefore w:val="1"/>
          <w:wBefore w:w="454" w:type="dxa"/>
        </w:trPr>
        <w:tc>
          <w:tcPr>
            <w:tcW w:w="1984" w:type="dxa"/>
            <w:shd w:val="clear" w:color="auto" w:fill="auto"/>
            <w:vAlign w:val="bottom"/>
          </w:tcPr>
          <w:p w14:paraId="1113E963" w14:textId="77777777" w:rsidR="00676882" w:rsidRDefault="00676882" w:rsidP="00DF45FA">
            <w:pPr>
              <w:pStyle w:val="Tabletext"/>
            </w:pPr>
            <w:r>
              <w:t>f) Heater - 4 year</w:t>
            </w:r>
          </w:p>
        </w:tc>
        <w:tc>
          <w:tcPr>
            <w:tcW w:w="1984" w:type="dxa"/>
            <w:shd w:val="clear" w:color="auto" w:fill="auto"/>
            <w:vAlign w:val="center"/>
          </w:tcPr>
          <w:p w14:paraId="43ED46DE" w14:textId="77777777" w:rsidR="00676882" w:rsidRDefault="00676882" w:rsidP="00DF45FA">
            <w:pPr>
              <w:pStyle w:val="Tabletext"/>
              <w:jc w:val="right"/>
            </w:pPr>
            <w:r w:rsidRPr="00C6156B">
              <w:t xml:space="preserve">$0.12 </w:t>
            </w:r>
          </w:p>
        </w:tc>
        <w:tc>
          <w:tcPr>
            <w:tcW w:w="1984" w:type="dxa"/>
            <w:shd w:val="clear" w:color="auto" w:fill="auto"/>
            <w:vAlign w:val="center"/>
          </w:tcPr>
          <w:p w14:paraId="00C48C91" w14:textId="77777777" w:rsidR="00676882" w:rsidRDefault="00676882" w:rsidP="00DF45FA">
            <w:pPr>
              <w:pStyle w:val="Tabletext"/>
              <w:jc w:val="right"/>
            </w:pPr>
            <w:r w:rsidRPr="00E043F1">
              <w:t xml:space="preserve">$9.24 </w:t>
            </w:r>
          </w:p>
        </w:tc>
        <w:tc>
          <w:tcPr>
            <w:tcW w:w="1984" w:type="dxa"/>
            <w:shd w:val="clear" w:color="auto" w:fill="auto"/>
            <w:vAlign w:val="center"/>
          </w:tcPr>
          <w:p w14:paraId="0F5148F5" w14:textId="77777777" w:rsidR="00676882" w:rsidRDefault="00676882" w:rsidP="00DF45FA">
            <w:pPr>
              <w:pStyle w:val="Tabletext"/>
              <w:jc w:val="right"/>
            </w:pPr>
            <w:r w:rsidRPr="0061053E">
              <w:t xml:space="preserve">$12.49 </w:t>
            </w:r>
          </w:p>
        </w:tc>
      </w:tr>
      <w:tr w:rsidR="00676882" w14:paraId="5B113ED3" w14:textId="77777777" w:rsidTr="00DF45FA">
        <w:trPr>
          <w:gridBefore w:val="1"/>
          <w:wBefore w:w="454" w:type="dxa"/>
        </w:trPr>
        <w:tc>
          <w:tcPr>
            <w:tcW w:w="1984" w:type="dxa"/>
            <w:shd w:val="clear" w:color="auto" w:fill="auto"/>
            <w:vAlign w:val="bottom"/>
          </w:tcPr>
          <w:p w14:paraId="1218FDC0" w14:textId="77777777" w:rsidR="00676882" w:rsidRDefault="00676882" w:rsidP="00DF45FA">
            <w:pPr>
              <w:pStyle w:val="Tabletext"/>
            </w:pPr>
            <w:r>
              <w:t>g) Performance 2-stars - 2 year</w:t>
            </w:r>
          </w:p>
        </w:tc>
        <w:tc>
          <w:tcPr>
            <w:tcW w:w="1984" w:type="dxa"/>
            <w:shd w:val="clear" w:color="auto" w:fill="auto"/>
            <w:vAlign w:val="center"/>
          </w:tcPr>
          <w:p w14:paraId="63CB5F4D" w14:textId="77777777" w:rsidR="00676882" w:rsidRPr="006B0263" w:rsidRDefault="00676882" w:rsidP="00DF45FA">
            <w:pPr>
              <w:pStyle w:val="Tabletext"/>
              <w:jc w:val="right"/>
              <w:rPr>
                <w:color w:val="C00000"/>
              </w:rPr>
            </w:pPr>
            <w:r>
              <w:rPr>
                <w:color w:val="C00000"/>
              </w:rPr>
              <w:t>-</w:t>
            </w:r>
            <w:r w:rsidRPr="006B0263">
              <w:rPr>
                <w:color w:val="C00000"/>
              </w:rPr>
              <w:t>$5.72</w:t>
            </w:r>
          </w:p>
        </w:tc>
        <w:tc>
          <w:tcPr>
            <w:tcW w:w="1984" w:type="dxa"/>
            <w:shd w:val="clear" w:color="auto" w:fill="auto"/>
            <w:vAlign w:val="center"/>
          </w:tcPr>
          <w:p w14:paraId="0C1401CA" w14:textId="77777777" w:rsidR="00676882" w:rsidRPr="006B0263" w:rsidRDefault="00676882" w:rsidP="00DF45FA">
            <w:pPr>
              <w:pStyle w:val="Tabletext"/>
              <w:jc w:val="right"/>
              <w:rPr>
                <w:color w:val="C00000"/>
              </w:rPr>
            </w:pPr>
            <w:r>
              <w:rPr>
                <w:color w:val="C00000"/>
              </w:rPr>
              <w:t>-</w:t>
            </w:r>
            <w:r w:rsidRPr="006B0263">
              <w:rPr>
                <w:color w:val="C00000"/>
              </w:rPr>
              <w:t>$1.49</w:t>
            </w:r>
          </w:p>
        </w:tc>
        <w:tc>
          <w:tcPr>
            <w:tcW w:w="1984" w:type="dxa"/>
            <w:shd w:val="clear" w:color="auto" w:fill="auto"/>
            <w:vAlign w:val="center"/>
          </w:tcPr>
          <w:p w14:paraId="76955CAD" w14:textId="77777777" w:rsidR="00676882" w:rsidRDefault="00676882" w:rsidP="00DF45FA">
            <w:pPr>
              <w:pStyle w:val="Tabletext"/>
              <w:jc w:val="right"/>
            </w:pPr>
            <w:r w:rsidRPr="0061053E">
              <w:t xml:space="preserve">$0.02 </w:t>
            </w:r>
          </w:p>
        </w:tc>
      </w:tr>
      <w:tr w:rsidR="00676882" w14:paraId="48785028" w14:textId="77777777" w:rsidTr="00DF45FA">
        <w:trPr>
          <w:gridBefore w:val="1"/>
          <w:wBefore w:w="454" w:type="dxa"/>
        </w:trPr>
        <w:tc>
          <w:tcPr>
            <w:tcW w:w="1984" w:type="dxa"/>
            <w:shd w:val="clear" w:color="auto" w:fill="auto"/>
            <w:vAlign w:val="bottom"/>
          </w:tcPr>
          <w:p w14:paraId="3FA406BC" w14:textId="77777777" w:rsidR="00676882" w:rsidRDefault="00676882" w:rsidP="00DF45FA">
            <w:pPr>
              <w:pStyle w:val="Tabletext"/>
            </w:pPr>
            <w:r>
              <w:t>h) Performance 2-stars - 4 year</w:t>
            </w:r>
          </w:p>
        </w:tc>
        <w:tc>
          <w:tcPr>
            <w:tcW w:w="1984" w:type="dxa"/>
            <w:shd w:val="clear" w:color="auto" w:fill="auto"/>
            <w:vAlign w:val="center"/>
          </w:tcPr>
          <w:p w14:paraId="12A32B39" w14:textId="77777777" w:rsidR="00676882" w:rsidRPr="006B0263" w:rsidRDefault="00676882" w:rsidP="00DF45FA">
            <w:pPr>
              <w:pStyle w:val="Tabletext"/>
              <w:jc w:val="right"/>
              <w:rPr>
                <w:color w:val="C00000"/>
              </w:rPr>
            </w:pPr>
            <w:r>
              <w:rPr>
                <w:color w:val="C00000"/>
              </w:rPr>
              <w:t>-</w:t>
            </w:r>
            <w:r w:rsidRPr="006B0263">
              <w:rPr>
                <w:color w:val="C00000"/>
              </w:rPr>
              <w:t>$5.52</w:t>
            </w:r>
          </w:p>
        </w:tc>
        <w:tc>
          <w:tcPr>
            <w:tcW w:w="1984" w:type="dxa"/>
            <w:shd w:val="clear" w:color="auto" w:fill="auto"/>
            <w:vAlign w:val="center"/>
          </w:tcPr>
          <w:p w14:paraId="18BDE3C7" w14:textId="77777777" w:rsidR="00676882" w:rsidRPr="006B0263" w:rsidRDefault="00676882" w:rsidP="00DF45FA">
            <w:pPr>
              <w:pStyle w:val="Tabletext"/>
              <w:jc w:val="right"/>
              <w:rPr>
                <w:color w:val="C00000"/>
              </w:rPr>
            </w:pPr>
            <w:r>
              <w:rPr>
                <w:color w:val="C00000"/>
              </w:rPr>
              <w:t>-</w:t>
            </w:r>
            <w:r w:rsidRPr="006B0263">
              <w:rPr>
                <w:color w:val="C00000"/>
              </w:rPr>
              <w:t>$1.25</w:t>
            </w:r>
          </w:p>
        </w:tc>
        <w:tc>
          <w:tcPr>
            <w:tcW w:w="1984" w:type="dxa"/>
            <w:shd w:val="clear" w:color="auto" w:fill="auto"/>
            <w:vAlign w:val="center"/>
          </w:tcPr>
          <w:p w14:paraId="47D81A5D" w14:textId="77777777" w:rsidR="00676882" w:rsidRDefault="00676882" w:rsidP="00DF45FA">
            <w:pPr>
              <w:pStyle w:val="Tabletext"/>
              <w:jc w:val="right"/>
            </w:pPr>
            <w:r w:rsidRPr="0061053E">
              <w:t xml:space="preserve">$0.28 </w:t>
            </w:r>
          </w:p>
        </w:tc>
      </w:tr>
      <w:tr w:rsidR="00676882" w14:paraId="64A8447E" w14:textId="77777777" w:rsidTr="00DF45FA">
        <w:trPr>
          <w:gridBefore w:val="1"/>
          <w:wBefore w:w="454" w:type="dxa"/>
        </w:trPr>
        <w:tc>
          <w:tcPr>
            <w:tcW w:w="1984" w:type="dxa"/>
            <w:shd w:val="clear" w:color="auto" w:fill="auto"/>
            <w:vAlign w:val="bottom"/>
          </w:tcPr>
          <w:p w14:paraId="4AA7D75C" w14:textId="77777777" w:rsidR="00676882" w:rsidRDefault="00676882" w:rsidP="00DF45FA">
            <w:pPr>
              <w:pStyle w:val="Tabletext"/>
            </w:pPr>
            <w:r>
              <w:t>i) Performance 3-stars - 2 year</w:t>
            </w:r>
          </w:p>
        </w:tc>
        <w:tc>
          <w:tcPr>
            <w:tcW w:w="1984" w:type="dxa"/>
            <w:shd w:val="clear" w:color="auto" w:fill="auto"/>
            <w:vAlign w:val="center"/>
          </w:tcPr>
          <w:p w14:paraId="23FDD38B" w14:textId="77777777" w:rsidR="00676882" w:rsidRPr="006B0263" w:rsidRDefault="00676882" w:rsidP="00DF45FA">
            <w:pPr>
              <w:pStyle w:val="Tabletext"/>
              <w:jc w:val="right"/>
              <w:rPr>
                <w:color w:val="C00000"/>
              </w:rPr>
            </w:pPr>
            <w:r>
              <w:rPr>
                <w:color w:val="C00000"/>
              </w:rPr>
              <w:t>-</w:t>
            </w:r>
            <w:r w:rsidRPr="006B0263">
              <w:rPr>
                <w:color w:val="C00000"/>
              </w:rPr>
              <w:t>$39.02</w:t>
            </w:r>
          </w:p>
        </w:tc>
        <w:tc>
          <w:tcPr>
            <w:tcW w:w="1984" w:type="dxa"/>
            <w:shd w:val="clear" w:color="auto" w:fill="auto"/>
            <w:vAlign w:val="center"/>
          </w:tcPr>
          <w:p w14:paraId="5BA93D48" w14:textId="77777777" w:rsidR="00676882" w:rsidRDefault="00676882" w:rsidP="00DF45FA">
            <w:pPr>
              <w:pStyle w:val="Tabletext"/>
              <w:jc w:val="right"/>
            </w:pPr>
            <w:r w:rsidRPr="00E043F1">
              <w:t xml:space="preserve">$0.33 </w:t>
            </w:r>
          </w:p>
        </w:tc>
        <w:tc>
          <w:tcPr>
            <w:tcW w:w="1984" w:type="dxa"/>
            <w:shd w:val="clear" w:color="auto" w:fill="auto"/>
            <w:vAlign w:val="center"/>
          </w:tcPr>
          <w:p w14:paraId="06A0DF6E" w14:textId="77777777" w:rsidR="00676882" w:rsidRDefault="00676882" w:rsidP="00DF45FA">
            <w:pPr>
              <w:pStyle w:val="Tabletext"/>
              <w:jc w:val="right"/>
            </w:pPr>
            <w:r w:rsidRPr="0061053E">
              <w:t xml:space="preserve">$14.38 </w:t>
            </w:r>
          </w:p>
        </w:tc>
      </w:tr>
      <w:tr w:rsidR="00676882" w14:paraId="7281E324" w14:textId="77777777" w:rsidTr="00DF45FA">
        <w:trPr>
          <w:gridBefore w:val="1"/>
          <w:wBefore w:w="454" w:type="dxa"/>
        </w:trPr>
        <w:tc>
          <w:tcPr>
            <w:tcW w:w="1984" w:type="dxa"/>
            <w:shd w:val="clear" w:color="auto" w:fill="auto"/>
            <w:vAlign w:val="bottom"/>
          </w:tcPr>
          <w:p w14:paraId="26588532" w14:textId="77777777" w:rsidR="00676882" w:rsidRDefault="00676882" w:rsidP="00DF45FA">
            <w:pPr>
              <w:pStyle w:val="Tabletext"/>
            </w:pPr>
            <w:r>
              <w:t>j) Performance 3-stars - 4 year</w:t>
            </w:r>
          </w:p>
        </w:tc>
        <w:tc>
          <w:tcPr>
            <w:tcW w:w="1984" w:type="dxa"/>
            <w:shd w:val="clear" w:color="auto" w:fill="auto"/>
            <w:vAlign w:val="center"/>
          </w:tcPr>
          <w:p w14:paraId="2CFA8676" w14:textId="77777777" w:rsidR="00676882" w:rsidRPr="006B0263" w:rsidRDefault="00676882" w:rsidP="00DF45FA">
            <w:pPr>
              <w:pStyle w:val="Tabletext"/>
              <w:jc w:val="right"/>
              <w:rPr>
                <w:color w:val="C00000"/>
              </w:rPr>
            </w:pPr>
            <w:r>
              <w:rPr>
                <w:color w:val="C00000"/>
              </w:rPr>
              <w:t>-</w:t>
            </w:r>
            <w:r w:rsidRPr="006B0263">
              <w:rPr>
                <w:color w:val="C00000"/>
              </w:rPr>
              <w:t>$35.22</w:t>
            </w:r>
          </w:p>
        </w:tc>
        <w:tc>
          <w:tcPr>
            <w:tcW w:w="1984" w:type="dxa"/>
            <w:shd w:val="clear" w:color="auto" w:fill="auto"/>
            <w:vAlign w:val="center"/>
          </w:tcPr>
          <w:p w14:paraId="220538A8" w14:textId="77777777" w:rsidR="00676882" w:rsidRDefault="00676882" w:rsidP="00DF45FA">
            <w:pPr>
              <w:pStyle w:val="Tabletext"/>
              <w:jc w:val="right"/>
            </w:pPr>
            <w:r w:rsidRPr="00E043F1">
              <w:t xml:space="preserve">$4.66 </w:t>
            </w:r>
          </w:p>
        </w:tc>
        <w:tc>
          <w:tcPr>
            <w:tcW w:w="1984" w:type="dxa"/>
            <w:shd w:val="clear" w:color="auto" w:fill="auto"/>
            <w:vAlign w:val="center"/>
          </w:tcPr>
          <w:p w14:paraId="3D5B4C10" w14:textId="77777777" w:rsidR="00676882" w:rsidRDefault="00676882" w:rsidP="00DF45FA">
            <w:pPr>
              <w:pStyle w:val="Tabletext"/>
              <w:jc w:val="right"/>
            </w:pPr>
            <w:r w:rsidRPr="0061053E">
              <w:t xml:space="preserve">$18.90 </w:t>
            </w:r>
          </w:p>
        </w:tc>
      </w:tr>
      <w:tr w:rsidR="00676882" w14:paraId="2ECB11F5" w14:textId="77777777" w:rsidTr="00DF45FA">
        <w:trPr>
          <w:gridBefore w:val="1"/>
          <w:wBefore w:w="454" w:type="dxa"/>
        </w:trPr>
        <w:tc>
          <w:tcPr>
            <w:tcW w:w="7936" w:type="dxa"/>
            <w:gridSpan w:val="4"/>
            <w:tcBorders>
              <w:bottom w:val="single" w:sz="4" w:space="0" w:color="646464"/>
            </w:tcBorders>
            <w:shd w:val="clear" w:color="auto" w:fill="auto"/>
          </w:tcPr>
          <w:p w14:paraId="7BF3DA67" w14:textId="77777777" w:rsidR="00676882" w:rsidRDefault="00676882" w:rsidP="00DF45FA">
            <w:pPr>
              <w:pStyle w:val="Source"/>
            </w:pPr>
            <w:r>
              <w:rPr>
                <w:i w:val="0"/>
                <w:iCs/>
              </w:rPr>
              <w:t>Note: All scenarios are presented with a social cost of carbon calculated at 3 per cent discount rate.</w:t>
            </w:r>
          </w:p>
          <w:p w14:paraId="550EAB36" w14:textId="77777777" w:rsidR="00676882" w:rsidRDefault="00676882" w:rsidP="00DF45FA">
            <w:pPr>
              <w:pStyle w:val="Source"/>
            </w:pPr>
            <w:r>
              <w:t>Source: ACIL Allen</w:t>
            </w:r>
          </w:p>
        </w:tc>
      </w:tr>
      <w:tr w:rsidR="00676882" w14:paraId="2C361F8D"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3F7CA797" w14:textId="77777777" w:rsidR="00676882" w:rsidRDefault="00676882" w:rsidP="00DF45FA">
            <w:pPr>
              <w:pStyle w:val="spacer"/>
            </w:pPr>
          </w:p>
        </w:tc>
      </w:tr>
    </w:tbl>
    <w:p w14:paraId="336539F1" w14:textId="77777777" w:rsidR="00676882" w:rsidRDefault="00676882" w:rsidP="00676882">
      <w:pPr>
        <w:pStyle w:val="Heading3"/>
      </w:pPr>
      <w:r>
        <w:lastRenderedPageBreak/>
        <w:t>Climate change</w:t>
      </w:r>
    </w:p>
    <w:p w14:paraId="4D6CA499" w14:textId="77777777" w:rsidR="00676882" w:rsidRDefault="00676882" w:rsidP="00676882">
      <w:pPr>
        <w:pStyle w:val="BodyText"/>
      </w:pPr>
      <w:r>
        <w:t xml:space="preserve">The future impacts of climate change are still subject to human responses and a great deal of uncertainty. However, recent research — such as the Intergovernmental Panel on Climate Change’s </w:t>
      </w:r>
      <w:r>
        <w:rPr>
          <w:i/>
          <w:iCs/>
        </w:rPr>
        <w:t xml:space="preserve">Sixth Assessment </w:t>
      </w:r>
      <w:r w:rsidRPr="005D7D3C">
        <w:rPr>
          <w:i/>
          <w:iCs/>
        </w:rPr>
        <w:t>Rep</w:t>
      </w:r>
      <w:r w:rsidRPr="00DE4D97">
        <w:rPr>
          <w:i/>
          <w:iCs/>
        </w:rPr>
        <w:t>or</w:t>
      </w:r>
      <w:r w:rsidRPr="00A37BB9">
        <w:rPr>
          <w:i/>
          <w:iCs/>
        </w:rPr>
        <w:t>t</w:t>
      </w:r>
      <w:r>
        <w:t xml:space="preserve"> </w:t>
      </w:r>
      <w:sdt>
        <w:sdtPr>
          <w:id w:val="1481884572"/>
          <w:citation/>
        </w:sdtPr>
        <w:sdtContent>
          <w:r>
            <w:fldChar w:fldCharType="begin"/>
          </w:r>
          <w:r>
            <w:instrText xml:space="preserve"> CITATION IPC21 \l 3081 </w:instrText>
          </w:r>
          <w:r>
            <w:fldChar w:fldCharType="separate"/>
          </w:r>
          <w:r>
            <w:rPr>
              <w:noProof/>
            </w:rPr>
            <w:t>(IPCC, 2021)</w:t>
          </w:r>
          <w:r>
            <w:fldChar w:fldCharType="end"/>
          </w:r>
        </w:sdtContent>
      </w:sdt>
      <w:r>
        <w:t xml:space="preserve"> — </w:t>
      </w:r>
      <w:r w:rsidRPr="005D7D3C">
        <w:t>has</w:t>
      </w:r>
      <w:r>
        <w:t xml:space="preserve"> highlighted that the effects are becoming </w:t>
      </w:r>
      <w:proofErr w:type="gramStart"/>
      <w:r>
        <w:t>more clear</w:t>
      </w:r>
      <w:proofErr w:type="gramEnd"/>
      <w:r>
        <w:t xml:space="preserve"> and are likely to be worse than previously expected. As discussed in </w:t>
      </w:r>
      <w:r w:rsidRPr="009E4AB1">
        <w:rPr>
          <w:highlight w:val="yellow"/>
        </w:rPr>
        <w:fldChar w:fldCharType="begin"/>
      </w:r>
      <w:r w:rsidRPr="009E4AB1">
        <w:instrText xml:space="preserve"> REF _Ref80461159 \r \h  \* MERGEFORMAT </w:instrText>
      </w:r>
      <w:r w:rsidRPr="009E4AB1">
        <w:rPr>
          <w:highlight w:val="yellow"/>
        </w:rPr>
      </w:r>
      <w:r w:rsidRPr="009E4AB1">
        <w:rPr>
          <w:highlight w:val="yellow"/>
        </w:rPr>
        <w:fldChar w:fldCharType="separate"/>
      </w:r>
      <w:r>
        <w:t>B.1.1</w:t>
      </w:r>
      <w:r w:rsidRPr="009E4AB1">
        <w:rPr>
          <w:highlight w:val="yellow"/>
        </w:rPr>
        <w:fldChar w:fldCharType="end"/>
      </w:r>
      <w:r>
        <w:t>, the way these impacts are accounted for can result in different social costs of carbon.</w:t>
      </w:r>
    </w:p>
    <w:p w14:paraId="5BF35773" w14:textId="77777777" w:rsidR="00676882" w:rsidRDefault="00676882" w:rsidP="00676882">
      <w:pPr>
        <w:pStyle w:val="BodyText"/>
      </w:pPr>
      <w:r w:rsidRPr="009E4AB1">
        <w:fldChar w:fldCharType="begin"/>
      </w:r>
      <w:r w:rsidRPr="009E4AB1">
        <w:instrText xml:space="preserve"> REF _Ref80699251 \h  \* MERGEFORMAT </w:instrText>
      </w:r>
      <w:r w:rsidRPr="009E4AB1">
        <w:fldChar w:fldCharType="separate"/>
      </w:r>
      <w:r w:rsidRPr="00F32FCC">
        <w:t>Table 5.8</w:t>
      </w:r>
      <w:r w:rsidRPr="009E4AB1">
        <w:fldChar w:fldCharType="end"/>
      </w:r>
      <w:r w:rsidRPr="006B0263">
        <w:t xml:space="preserve"> </w:t>
      </w:r>
      <w:r w:rsidRPr="00733707">
        <w:t>shows the impact</w:t>
      </w:r>
      <w:r>
        <w:t xml:space="preserve"> on the net present value of a:</w:t>
      </w:r>
    </w:p>
    <w:p w14:paraId="216EB6C3" w14:textId="77777777" w:rsidR="00676882" w:rsidRDefault="00676882" w:rsidP="00676882">
      <w:pPr>
        <w:pStyle w:val="ListBullet"/>
      </w:pPr>
      <w:r>
        <w:t>5 per cent social cost of carbon based on average impacts with 5 per cent discount rate</w:t>
      </w:r>
    </w:p>
    <w:p w14:paraId="2F662478" w14:textId="77777777" w:rsidR="00676882" w:rsidRDefault="00676882" w:rsidP="00676882">
      <w:pPr>
        <w:pStyle w:val="ListBullet"/>
      </w:pPr>
      <w:r>
        <w:t>3 per cent social cost of carbon based on average impacts (reference case) with 3 per cent discount rate</w:t>
      </w:r>
    </w:p>
    <w:p w14:paraId="7C91C9F6" w14:textId="77777777" w:rsidR="00676882" w:rsidRDefault="00676882" w:rsidP="00676882">
      <w:pPr>
        <w:pStyle w:val="ListBullet"/>
      </w:pPr>
      <w:r>
        <w:t>‘</w:t>
      </w:r>
      <w:proofErr w:type="gramStart"/>
      <w:r>
        <w:t>high</w:t>
      </w:r>
      <w:proofErr w:type="gramEnd"/>
      <w:r>
        <w:t xml:space="preserve"> impact’ 3 per cent social cost of carbon based on the 95</w:t>
      </w:r>
      <w:r w:rsidRPr="006B0263">
        <w:rPr>
          <w:vertAlign w:val="superscript"/>
        </w:rPr>
        <w:t>th</w:t>
      </w:r>
      <w:r>
        <w:t xml:space="preserve"> percentile of impacts with 3 per cent discount rate.</w:t>
      </w:r>
    </w:p>
    <w:p w14:paraId="7FFDCF4F" w14:textId="77777777" w:rsidR="00676882" w:rsidRDefault="00676882" w:rsidP="00676882">
      <w:pPr>
        <w:pStyle w:val="BodyText"/>
      </w:pPr>
      <w:r>
        <w:t>None of the alternative social costs of carbon change the ordinal ranking of the options.</w:t>
      </w:r>
    </w:p>
    <w:p w14:paraId="47070E19" w14:textId="77777777" w:rsidR="00676882" w:rsidRDefault="00676882" w:rsidP="00676882">
      <w:pPr>
        <w:pStyle w:val="Caption"/>
      </w:pPr>
      <w:bookmarkStart w:id="303" w:name="_Ref80699251"/>
      <w:bookmarkStart w:id="304" w:name="_Toc80719333"/>
      <w:r w:rsidRPr="006B0263">
        <w:rPr>
          <w:rStyle w:val="CaptionLabel"/>
        </w:rPr>
        <w:t>Table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Table \* ARABIC \S 1 \* MERGEFORMAT </w:instrText>
      </w:r>
      <w:r w:rsidRPr="006B0263">
        <w:rPr>
          <w:rStyle w:val="CaptionLabel"/>
        </w:rPr>
        <w:fldChar w:fldCharType="separate"/>
      </w:r>
      <w:r>
        <w:rPr>
          <w:rStyle w:val="CaptionLabel"/>
          <w:noProof/>
        </w:rPr>
        <w:t>8</w:t>
      </w:r>
      <w:r w:rsidRPr="006B0263">
        <w:rPr>
          <w:rStyle w:val="CaptionLabel"/>
        </w:rPr>
        <w:fldChar w:fldCharType="end"/>
      </w:r>
      <w:bookmarkEnd w:id="303"/>
      <w:r>
        <w:tab/>
        <w:t>Carbon price sensitivity testing</w:t>
      </w:r>
      <w:bookmarkEnd w:id="304"/>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8"/>
        <w:tblDescription w:val="Carbon price sensitivity testing"/>
      </w:tblPr>
      <w:tblGrid>
        <w:gridCol w:w="454"/>
        <w:gridCol w:w="1984"/>
        <w:gridCol w:w="1984"/>
        <w:gridCol w:w="1984"/>
        <w:gridCol w:w="1984"/>
      </w:tblGrid>
      <w:tr w:rsidR="00676882" w14:paraId="24505E1E" w14:textId="77777777" w:rsidTr="00DF45FA">
        <w:trPr>
          <w:tblHeader/>
        </w:trPr>
        <w:tc>
          <w:tcPr>
            <w:tcW w:w="2438" w:type="dxa"/>
            <w:gridSpan w:val="2"/>
            <w:tcBorders>
              <w:top w:val="nil"/>
              <w:bottom w:val="nil"/>
            </w:tcBorders>
            <w:shd w:val="clear" w:color="auto" w:fill="140034"/>
            <w:tcMar>
              <w:left w:w="454" w:type="dxa"/>
            </w:tcMar>
          </w:tcPr>
          <w:p w14:paraId="74B4AD6B" w14:textId="77777777" w:rsidR="00676882" w:rsidRDefault="00676882" w:rsidP="00DF45FA">
            <w:pPr>
              <w:pStyle w:val="Tablecolumnheadings"/>
            </w:pPr>
            <w:r>
              <w:t>Scenario</w:t>
            </w:r>
          </w:p>
        </w:tc>
        <w:tc>
          <w:tcPr>
            <w:tcW w:w="1984" w:type="dxa"/>
            <w:tcBorders>
              <w:top w:val="nil"/>
              <w:bottom w:val="nil"/>
            </w:tcBorders>
            <w:shd w:val="clear" w:color="auto" w:fill="140034"/>
          </w:tcPr>
          <w:p w14:paraId="526DE7FE" w14:textId="77777777" w:rsidR="00676882" w:rsidRDefault="00676882" w:rsidP="00DF45FA">
            <w:pPr>
              <w:pStyle w:val="Tablecolumnheadings"/>
              <w:jc w:val="right"/>
            </w:pPr>
            <w:r>
              <w:t xml:space="preserve">NPV - 5 per cent social cost of carbon / 5 per cent discount rate </w:t>
            </w:r>
          </w:p>
          <w:p w14:paraId="5D69DA81" w14:textId="77777777" w:rsidR="00676882" w:rsidRDefault="00676882" w:rsidP="00DF45FA">
            <w:pPr>
              <w:pStyle w:val="Tablecolumnheadings"/>
              <w:jc w:val="right"/>
            </w:pPr>
            <w:r>
              <w:t>($ million)</w:t>
            </w:r>
          </w:p>
        </w:tc>
        <w:tc>
          <w:tcPr>
            <w:tcW w:w="1984" w:type="dxa"/>
            <w:tcBorders>
              <w:top w:val="nil"/>
              <w:bottom w:val="nil"/>
            </w:tcBorders>
            <w:shd w:val="clear" w:color="auto" w:fill="140034"/>
          </w:tcPr>
          <w:p w14:paraId="40F081E5" w14:textId="77777777" w:rsidR="00676882" w:rsidRDefault="00676882" w:rsidP="00DF45FA">
            <w:pPr>
              <w:pStyle w:val="Tablecolumnheadings"/>
              <w:jc w:val="right"/>
            </w:pPr>
            <w:r>
              <w:t>NPV - 3 per cent SSC reference case / 3 per cent discount rate</w:t>
            </w:r>
          </w:p>
          <w:p w14:paraId="65B411C5" w14:textId="77777777" w:rsidR="00676882" w:rsidRDefault="00676882" w:rsidP="00DF45FA">
            <w:pPr>
              <w:pStyle w:val="Tablecolumnheadings"/>
              <w:jc w:val="right"/>
            </w:pPr>
            <w:r>
              <w:t>($ million)</w:t>
            </w:r>
          </w:p>
        </w:tc>
        <w:tc>
          <w:tcPr>
            <w:tcW w:w="1984" w:type="dxa"/>
            <w:tcBorders>
              <w:top w:val="nil"/>
              <w:bottom w:val="nil"/>
              <w:right w:val="single" w:sz="6" w:space="0" w:color="140034"/>
            </w:tcBorders>
            <w:shd w:val="clear" w:color="auto" w:fill="140034"/>
          </w:tcPr>
          <w:p w14:paraId="481A9BC4" w14:textId="77777777" w:rsidR="00676882" w:rsidRDefault="00676882" w:rsidP="00DF45FA">
            <w:pPr>
              <w:pStyle w:val="Tablecolumnheadings"/>
              <w:jc w:val="right"/>
            </w:pPr>
            <w:r>
              <w:t>NPV – high impact 3 per cent SSC / 3 per cent discount rate</w:t>
            </w:r>
          </w:p>
          <w:p w14:paraId="3FD688F1" w14:textId="77777777" w:rsidR="00676882" w:rsidRDefault="00676882" w:rsidP="00DF45FA">
            <w:pPr>
              <w:pStyle w:val="Tablecolumnheadings"/>
              <w:jc w:val="right"/>
            </w:pPr>
            <w:r>
              <w:t>($ million)</w:t>
            </w:r>
          </w:p>
        </w:tc>
      </w:tr>
      <w:tr w:rsidR="00676882" w14:paraId="6D02231E" w14:textId="77777777" w:rsidTr="00DF45FA">
        <w:trPr>
          <w:gridBefore w:val="1"/>
          <w:wBefore w:w="454" w:type="dxa"/>
        </w:trPr>
        <w:tc>
          <w:tcPr>
            <w:tcW w:w="1984" w:type="dxa"/>
            <w:tcBorders>
              <w:top w:val="nil"/>
            </w:tcBorders>
            <w:shd w:val="clear" w:color="auto" w:fill="auto"/>
            <w:vAlign w:val="bottom"/>
          </w:tcPr>
          <w:p w14:paraId="3A377333" w14:textId="77777777" w:rsidR="00676882" w:rsidRDefault="00676882" w:rsidP="00DF45FA">
            <w:pPr>
              <w:pStyle w:val="Tabletext"/>
            </w:pPr>
            <w:r>
              <w:t>a) Insulation R3 - 2 year</w:t>
            </w:r>
          </w:p>
        </w:tc>
        <w:tc>
          <w:tcPr>
            <w:tcW w:w="1984" w:type="dxa"/>
            <w:tcBorders>
              <w:top w:val="nil"/>
            </w:tcBorders>
            <w:shd w:val="clear" w:color="auto" w:fill="auto"/>
          </w:tcPr>
          <w:p w14:paraId="7C4B3E3F" w14:textId="77777777" w:rsidR="00676882" w:rsidRPr="006B0263" w:rsidRDefault="00676882" w:rsidP="00DF45FA">
            <w:pPr>
              <w:pStyle w:val="Tabletext"/>
              <w:jc w:val="right"/>
              <w:rPr>
                <w:color w:val="C00000"/>
              </w:rPr>
            </w:pPr>
            <w:r w:rsidRPr="006B0263">
              <w:rPr>
                <w:color w:val="C00000"/>
              </w:rPr>
              <w:t>-$8.00</w:t>
            </w:r>
          </w:p>
        </w:tc>
        <w:tc>
          <w:tcPr>
            <w:tcW w:w="1984" w:type="dxa"/>
            <w:tcBorders>
              <w:top w:val="nil"/>
            </w:tcBorders>
            <w:shd w:val="clear" w:color="auto" w:fill="auto"/>
            <w:vAlign w:val="center"/>
          </w:tcPr>
          <w:p w14:paraId="6D9FE51B" w14:textId="77777777" w:rsidR="00676882" w:rsidRDefault="00676882" w:rsidP="00DF45FA">
            <w:pPr>
              <w:pStyle w:val="Tabletext"/>
              <w:jc w:val="right"/>
            </w:pPr>
            <w:r w:rsidRPr="009375DD">
              <w:t>$10.4</w:t>
            </w:r>
            <w:r>
              <w:t>4</w:t>
            </w:r>
            <w:r w:rsidRPr="009375DD">
              <w:t xml:space="preserve"> </w:t>
            </w:r>
          </w:p>
        </w:tc>
        <w:tc>
          <w:tcPr>
            <w:tcW w:w="1984" w:type="dxa"/>
            <w:tcBorders>
              <w:top w:val="nil"/>
            </w:tcBorders>
            <w:shd w:val="clear" w:color="auto" w:fill="auto"/>
          </w:tcPr>
          <w:p w14:paraId="2A251E24" w14:textId="77777777" w:rsidR="00676882" w:rsidRDefault="00676882" w:rsidP="00DF45FA">
            <w:pPr>
              <w:pStyle w:val="Tabletext"/>
              <w:jc w:val="right"/>
            </w:pPr>
            <w:r w:rsidRPr="00750898">
              <w:t>$51.27</w:t>
            </w:r>
          </w:p>
        </w:tc>
      </w:tr>
      <w:tr w:rsidR="00676882" w14:paraId="5B311136" w14:textId="77777777" w:rsidTr="00DF45FA">
        <w:trPr>
          <w:gridBefore w:val="1"/>
          <w:wBefore w:w="454" w:type="dxa"/>
        </w:trPr>
        <w:tc>
          <w:tcPr>
            <w:tcW w:w="1984" w:type="dxa"/>
            <w:shd w:val="clear" w:color="auto" w:fill="auto"/>
            <w:vAlign w:val="bottom"/>
          </w:tcPr>
          <w:p w14:paraId="060A2027" w14:textId="77777777" w:rsidR="00676882" w:rsidRDefault="00676882" w:rsidP="00DF45FA">
            <w:pPr>
              <w:pStyle w:val="Tabletext"/>
            </w:pPr>
            <w:r>
              <w:t>b) Insulation R3 - 4 year</w:t>
            </w:r>
          </w:p>
        </w:tc>
        <w:tc>
          <w:tcPr>
            <w:tcW w:w="1984" w:type="dxa"/>
            <w:shd w:val="clear" w:color="auto" w:fill="auto"/>
          </w:tcPr>
          <w:p w14:paraId="4D801B29" w14:textId="77777777" w:rsidR="00676882" w:rsidRPr="006B0263" w:rsidRDefault="00676882" w:rsidP="00DF45FA">
            <w:pPr>
              <w:pStyle w:val="Tabletext"/>
              <w:jc w:val="right"/>
              <w:rPr>
                <w:color w:val="C00000"/>
              </w:rPr>
            </w:pPr>
            <w:r w:rsidRPr="006B0263">
              <w:rPr>
                <w:color w:val="C00000"/>
              </w:rPr>
              <w:t>-$7.24</w:t>
            </w:r>
          </w:p>
        </w:tc>
        <w:tc>
          <w:tcPr>
            <w:tcW w:w="1984" w:type="dxa"/>
            <w:shd w:val="clear" w:color="auto" w:fill="auto"/>
            <w:vAlign w:val="center"/>
          </w:tcPr>
          <w:p w14:paraId="469EC711" w14:textId="77777777" w:rsidR="00676882" w:rsidRDefault="00676882" w:rsidP="00DF45FA">
            <w:pPr>
              <w:pStyle w:val="Tabletext"/>
              <w:jc w:val="right"/>
            </w:pPr>
            <w:r w:rsidRPr="009375DD">
              <w:t>$11.</w:t>
            </w:r>
            <w:r>
              <w:t>08</w:t>
            </w:r>
            <w:r w:rsidRPr="009375DD">
              <w:t xml:space="preserve"> </w:t>
            </w:r>
          </w:p>
        </w:tc>
        <w:tc>
          <w:tcPr>
            <w:tcW w:w="1984" w:type="dxa"/>
            <w:shd w:val="clear" w:color="auto" w:fill="auto"/>
          </w:tcPr>
          <w:p w14:paraId="5447A27A" w14:textId="77777777" w:rsidR="00676882" w:rsidRDefault="00676882" w:rsidP="00DF45FA">
            <w:pPr>
              <w:pStyle w:val="Tabletext"/>
              <w:jc w:val="right"/>
            </w:pPr>
            <w:r w:rsidRPr="00750898">
              <w:t>$51.81</w:t>
            </w:r>
          </w:p>
        </w:tc>
      </w:tr>
      <w:tr w:rsidR="00676882" w14:paraId="0800F3AD" w14:textId="77777777" w:rsidTr="00676882">
        <w:trPr>
          <w:gridBefore w:val="1"/>
          <w:wBefore w:w="454" w:type="dxa"/>
        </w:trPr>
        <w:tc>
          <w:tcPr>
            <w:tcW w:w="1984" w:type="dxa"/>
            <w:shd w:val="clear" w:color="auto" w:fill="auto"/>
            <w:vAlign w:val="bottom"/>
          </w:tcPr>
          <w:p w14:paraId="046E3E3B" w14:textId="77777777" w:rsidR="00676882" w:rsidRDefault="00676882" w:rsidP="00DF45FA">
            <w:pPr>
              <w:pStyle w:val="Tabletext"/>
            </w:pPr>
            <w:r>
              <w:t>c) Insulation R5 - 2 year</w:t>
            </w:r>
          </w:p>
        </w:tc>
        <w:tc>
          <w:tcPr>
            <w:tcW w:w="1984" w:type="dxa"/>
            <w:tcBorders>
              <w:bottom w:val="single" w:sz="4" w:space="0" w:color="646464"/>
            </w:tcBorders>
            <w:shd w:val="clear" w:color="auto" w:fill="auto"/>
          </w:tcPr>
          <w:p w14:paraId="14560958" w14:textId="77777777" w:rsidR="00676882" w:rsidRPr="006B0263" w:rsidRDefault="00676882" w:rsidP="00DF45FA">
            <w:pPr>
              <w:pStyle w:val="Tabletext"/>
              <w:jc w:val="right"/>
              <w:rPr>
                <w:color w:val="C00000"/>
              </w:rPr>
            </w:pPr>
            <w:r w:rsidRPr="006B0263">
              <w:rPr>
                <w:color w:val="C00000"/>
              </w:rPr>
              <w:t>-$5.40</w:t>
            </w:r>
          </w:p>
        </w:tc>
        <w:tc>
          <w:tcPr>
            <w:tcW w:w="1984" w:type="dxa"/>
            <w:tcBorders>
              <w:bottom w:val="single" w:sz="4" w:space="0" w:color="646464"/>
            </w:tcBorders>
            <w:shd w:val="clear" w:color="auto" w:fill="auto"/>
            <w:vAlign w:val="center"/>
          </w:tcPr>
          <w:p w14:paraId="43B13961" w14:textId="77777777" w:rsidR="00676882" w:rsidRDefault="00676882" w:rsidP="00DF45FA">
            <w:pPr>
              <w:pStyle w:val="Tabletext"/>
              <w:jc w:val="right"/>
            </w:pPr>
            <w:r w:rsidRPr="009375DD">
              <w:t>$17.4</w:t>
            </w:r>
            <w:r>
              <w:t>2</w:t>
            </w:r>
            <w:r w:rsidRPr="009375DD">
              <w:t xml:space="preserve"> </w:t>
            </w:r>
          </w:p>
        </w:tc>
        <w:tc>
          <w:tcPr>
            <w:tcW w:w="1984" w:type="dxa"/>
            <w:tcBorders>
              <w:bottom w:val="single" w:sz="4" w:space="0" w:color="646464"/>
            </w:tcBorders>
            <w:shd w:val="clear" w:color="auto" w:fill="auto"/>
          </w:tcPr>
          <w:p w14:paraId="00F311DD" w14:textId="77777777" w:rsidR="00676882" w:rsidRDefault="00676882" w:rsidP="00DF45FA">
            <w:pPr>
              <w:pStyle w:val="Tabletext"/>
              <w:jc w:val="right"/>
            </w:pPr>
            <w:r w:rsidRPr="00750898">
              <w:t>$67.16</w:t>
            </w:r>
          </w:p>
        </w:tc>
      </w:tr>
      <w:tr w:rsidR="00676882" w14:paraId="0C0DDC84" w14:textId="77777777" w:rsidTr="00676882">
        <w:trPr>
          <w:gridBefore w:val="1"/>
          <w:wBefore w:w="454" w:type="dxa"/>
        </w:trPr>
        <w:tc>
          <w:tcPr>
            <w:tcW w:w="1984" w:type="dxa"/>
            <w:shd w:val="clear" w:color="auto" w:fill="auto"/>
            <w:vAlign w:val="bottom"/>
          </w:tcPr>
          <w:p w14:paraId="2790E3A8" w14:textId="77777777" w:rsidR="00676882" w:rsidRDefault="00676882" w:rsidP="00DF45FA">
            <w:pPr>
              <w:pStyle w:val="Tabletext"/>
            </w:pPr>
            <w:r>
              <w:t>d) Insulation R5 - 4 year</w:t>
            </w:r>
          </w:p>
        </w:tc>
        <w:tc>
          <w:tcPr>
            <w:tcW w:w="1984" w:type="dxa"/>
            <w:tcBorders>
              <w:top w:val="single" w:sz="4" w:space="0" w:color="646464"/>
            </w:tcBorders>
            <w:shd w:val="clear" w:color="auto" w:fill="ACD8B5"/>
          </w:tcPr>
          <w:p w14:paraId="7C7A5EA9" w14:textId="77777777" w:rsidR="00676882" w:rsidRPr="006B0263" w:rsidRDefault="00676882" w:rsidP="00DF45FA">
            <w:pPr>
              <w:pStyle w:val="Tabletext"/>
              <w:jc w:val="right"/>
              <w:rPr>
                <w:color w:val="C00000"/>
              </w:rPr>
            </w:pPr>
            <w:r w:rsidRPr="006B0263">
              <w:rPr>
                <w:color w:val="C00000"/>
              </w:rPr>
              <w:t>-$4.66</w:t>
            </w:r>
          </w:p>
        </w:tc>
        <w:tc>
          <w:tcPr>
            <w:tcW w:w="1984" w:type="dxa"/>
            <w:tcBorders>
              <w:top w:val="single" w:sz="4" w:space="0" w:color="646464"/>
            </w:tcBorders>
            <w:shd w:val="clear" w:color="auto" w:fill="ACD8B5"/>
            <w:vAlign w:val="center"/>
          </w:tcPr>
          <w:p w14:paraId="7D8E6B8B" w14:textId="77777777" w:rsidR="00676882" w:rsidRDefault="00676882" w:rsidP="00DF45FA">
            <w:pPr>
              <w:pStyle w:val="Tabletext"/>
              <w:jc w:val="right"/>
            </w:pPr>
            <w:r w:rsidRPr="009375DD">
              <w:t>$18.0</w:t>
            </w:r>
            <w:r>
              <w:t>1</w:t>
            </w:r>
            <w:r w:rsidRPr="009375DD">
              <w:t xml:space="preserve"> </w:t>
            </w:r>
          </w:p>
        </w:tc>
        <w:tc>
          <w:tcPr>
            <w:tcW w:w="1984" w:type="dxa"/>
            <w:tcBorders>
              <w:top w:val="single" w:sz="4" w:space="0" w:color="646464"/>
            </w:tcBorders>
            <w:shd w:val="clear" w:color="auto" w:fill="ACD8B5"/>
          </w:tcPr>
          <w:p w14:paraId="5BC0BC8A" w14:textId="77777777" w:rsidR="00676882" w:rsidRDefault="00676882" w:rsidP="00DF45FA">
            <w:pPr>
              <w:pStyle w:val="Tabletext"/>
              <w:jc w:val="right"/>
            </w:pPr>
            <w:r w:rsidRPr="00750898">
              <w:t>$67.63</w:t>
            </w:r>
          </w:p>
        </w:tc>
      </w:tr>
      <w:tr w:rsidR="00676882" w14:paraId="379BD9DC" w14:textId="77777777" w:rsidTr="00DF45FA">
        <w:trPr>
          <w:gridBefore w:val="1"/>
          <w:wBefore w:w="454" w:type="dxa"/>
        </w:trPr>
        <w:tc>
          <w:tcPr>
            <w:tcW w:w="1984" w:type="dxa"/>
            <w:shd w:val="clear" w:color="auto" w:fill="auto"/>
            <w:vAlign w:val="bottom"/>
          </w:tcPr>
          <w:p w14:paraId="0AD17A64" w14:textId="77777777" w:rsidR="00676882" w:rsidRDefault="00676882" w:rsidP="00DF45FA">
            <w:pPr>
              <w:pStyle w:val="Tabletext"/>
            </w:pPr>
            <w:r>
              <w:t>e) Heater - 2 year</w:t>
            </w:r>
          </w:p>
        </w:tc>
        <w:tc>
          <w:tcPr>
            <w:tcW w:w="1984" w:type="dxa"/>
            <w:shd w:val="clear" w:color="auto" w:fill="auto"/>
          </w:tcPr>
          <w:p w14:paraId="2150F7EA" w14:textId="77777777" w:rsidR="00676882" w:rsidRPr="006B0263" w:rsidRDefault="00676882" w:rsidP="00DF45FA">
            <w:pPr>
              <w:pStyle w:val="Tabletext"/>
              <w:jc w:val="right"/>
              <w:rPr>
                <w:color w:val="C00000"/>
              </w:rPr>
            </w:pPr>
            <w:r w:rsidRPr="006B0263">
              <w:rPr>
                <w:color w:val="C00000"/>
              </w:rPr>
              <w:t>-$19.02</w:t>
            </w:r>
          </w:p>
        </w:tc>
        <w:tc>
          <w:tcPr>
            <w:tcW w:w="1984" w:type="dxa"/>
            <w:shd w:val="clear" w:color="auto" w:fill="auto"/>
            <w:vAlign w:val="center"/>
          </w:tcPr>
          <w:p w14:paraId="3A439E94" w14:textId="77777777" w:rsidR="00676882" w:rsidRPr="006B0263" w:rsidRDefault="00676882" w:rsidP="00DF45FA">
            <w:pPr>
              <w:pStyle w:val="Tabletext"/>
              <w:jc w:val="right"/>
              <w:rPr>
                <w:color w:val="C00000"/>
              </w:rPr>
            </w:pPr>
            <w:r w:rsidRPr="006B0263">
              <w:rPr>
                <w:color w:val="C00000"/>
              </w:rPr>
              <w:t>-$15.5</w:t>
            </w:r>
            <w:r>
              <w:rPr>
                <w:color w:val="C00000"/>
              </w:rPr>
              <w:t>6</w:t>
            </w:r>
          </w:p>
        </w:tc>
        <w:tc>
          <w:tcPr>
            <w:tcW w:w="1984" w:type="dxa"/>
            <w:shd w:val="clear" w:color="auto" w:fill="auto"/>
          </w:tcPr>
          <w:p w14:paraId="4F27740C" w14:textId="77777777" w:rsidR="00676882" w:rsidRPr="006B0263" w:rsidRDefault="00676882" w:rsidP="00DF45FA">
            <w:pPr>
              <w:pStyle w:val="Tabletext"/>
              <w:jc w:val="right"/>
              <w:rPr>
                <w:color w:val="C00000"/>
              </w:rPr>
            </w:pPr>
            <w:r w:rsidRPr="006B0263">
              <w:rPr>
                <w:color w:val="C00000"/>
              </w:rPr>
              <w:t>-$3.33</w:t>
            </w:r>
          </w:p>
        </w:tc>
      </w:tr>
      <w:tr w:rsidR="00676882" w14:paraId="1AC70D73" w14:textId="77777777" w:rsidTr="00DF45FA">
        <w:trPr>
          <w:gridBefore w:val="1"/>
          <w:wBefore w:w="454" w:type="dxa"/>
        </w:trPr>
        <w:tc>
          <w:tcPr>
            <w:tcW w:w="1984" w:type="dxa"/>
            <w:shd w:val="clear" w:color="auto" w:fill="auto"/>
            <w:vAlign w:val="bottom"/>
          </w:tcPr>
          <w:p w14:paraId="71019D2B" w14:textId="77777777" w:rsidR="00676882" w:rsidRDefault="00676882" w:rsidP="00DF45FA">
            <w:pPr>
              <w:pStyle w:val="Tabletext"/>
            </w:pPr>
            <w:r>
              <w:t>f) Heater - 4 year</w:t>
            </w:r>
          </w:p>
        </w:tc>
        <w:tc>
          <w:tcPr>
            <w:tcW w:w="1984" w:type="dxa"/>
            <w:shd w:val="clear" w:color="auto" w:fill="auto"/>
          </w:tcPr>
          <w:p w14:paraId="65F76910" w14:textId="77777777" w:rsidR="00676882" w:rsidRPr="006B0263" w:rsidRDefault="00676882" w:rsidP="00DF45FA">
            <w:pPr>
              <w:pStyle w:val="Tabletext"/>
              <w:jc w:val="right"/>
              <w:rPr>
                <w:color w:val="C00000"/>
              </w:rPr>
            </w:pPr>
            <w:r w:rsidRPr="006B0263">
              <w:rPr>
                <w:color w:val="C00000"/>
              </w:rPr>
              <w:t>-$18.89</w:t>
            </w:r>
          </w:p>
        </w:tc>
        <w:tc>
          <w:tcPr>
            <w:tcW w:w="1984" w:type="dxa"/>
            <w:shd w:val="clear" w:color="auto" w:fill="auto"/>
            <w:vAlign w:val="center"/>
          </w:tcPr>
          <w:p w14:paraId="5F86811F" w14:textId="77777777" w:rsidR="00676882" w:rsidRPr="006B0263" w:rsidRDefault="00676882" w:rsidP="00DF45FA">
            <w:pPr>
              <w:pStyle w:val="Tabletext"/>
              <w:jc w:val="right"/>
              <w:rPr>
                <w:color w:val="C00000"/>
              </w:rPr>
            </w:pPr>
            <w:r w:rsidRPr="006B0263">
              <w:rPr>
                <w:color w:val="C00000"/>
              </w:rPr>
              <w:t>-$15.5</w:t>
            </w:r>
            <w:r>
              <w:rPr>
                <w:color w:val="C00000"/>
              </w:rPr>
              <w:t>6</w:t>
            </w:r>
          </w:p>
        </w:tc>
        <w:tc>
          <w:tcPr>
            <w:tcW w:w="1984" w:type="dxa"/>
            <w:shd w:val="clear" w:color="auto" w:fill="auto"/>
          </w:tcPr>
          <w:p w14:paraId="46147B32" w14:textId="77777777" w:rsidR="00676882" w:rsidRPr="006B0263" w:rsidRDefault="00676882" w:rsidP="00DF45FA">
            <w:pPr>
              <w:pStyle w:val="Tabletext"/>
              <w:jc w:val="right"/>
              <w:rPr>
                <w:color w:val="C00000"/>
              </w:rPr>
            </w:pPr>
            <w:r w:rsidRPr="006B0263">
              <w:rPr>
                <w:color w:val="C00000"/>
              </w:rPr>
              <w:t>-$3.33</w:t>
            </w:r>
          </w:p>
        </w:tc>
      </w:tr>
      <w:tr w:rsidR="00676882" w14:paraId="26CAA6E3" w14:textId="77777777" w:rsidTr="00DF45FA">
        <w:trPr>
          <w:gridBefore w:val="1"/>
          <w:wBefore w:w="454" w:type="dxa"/>
        </w:trPr>
        <w:tc>
          <w:tcPr>
            <w:tcW w:w="1984" w:type="dxa"/>
            <w:shd w:val="clear" w:color="auto" w:fill="auto"/>
            <w:vAlign w:val="bottom"/>
          </w:tcPr>
          <w:p w14:paraId="615BB7E9" w14:textId="77777777" w:rsidR="00676882" w:rsidRDefault="00676882" w:rsidP="00DF45FA">
            <w:pPr>
              <w:pStyle w:val="Tabletext"/>
            </w:pPr>
            <w:r>
              <w:t>g) Performance 2-stars - 2 year</w:t>
            </w:r>
          </w:p>
        </w:tc>
        <w:tc>
          <w:tcPr>
            <w:tcW w:w="1984" w:type="dxa"/>
            <w:shd w:val="clear" w:color="auto" w:fill="auto"/>
          </w:tcPr>
          <w:p w14:paraId="16AB5C42" w14:textId="77777777" w:rsidR="00676882" w:rsidRPr="006B0263" w:rsidRDefault="00676882" w:rsidP="00DF45FA">
            <w:pPr>
              <w:pStyle w:val="Tabletext"/>
              <w:jc w:val="right"/>
              <w:rPr>
                <w:color w:val="C00000"/>
              </w:rPr>
            </w:pPr>
            <w:r w:rsidRPr="006B0263">
              <w:rPr>
                <w:color w:val="C00000"/>
              </w:rPr>
              <w:t>-$14.45</w:t>
            </w:r>
          </w:p>
        </w:tc>
        <w:tc>
          <w:tcPr>
            <w:tcW w:w="1984" w:type="dxa"/>
            <w:shd w:val="clear" w:color="auto" w:fill="auto"/>
            <w:vAlign w:val="center"/>
          </w:tcPr>
          <w:p w14:paraId="46FF180F" w14:textId="77777777" w:rsidR="00676882" w:rsidRPr="006B0263" w:rsidRDefault="00676882" w:rsidP="00DF45FA">
            <w:pPr>
              <w:pStyle w:val="Tabletext"/>
              <w:jc w:val="right"/>
              <w:rPr>
                <w:color w:val="C00000"/>
              </w:rPr>
            </w:pPr>
            <w:r w:rsidRPr="006B0263">
              <w:rPr>
                <w:color w:val="C00000"/>
              </w:rPr>
              <w:t>-$12.9</w:t>
            </w:r>
            <w:r>
              <w:rPr>
                <w:color w:val="C00000"/>
              </w:rPr>
              <w:t>5</w:t>
            </w:r>
          </w:p>
        </w:tc>
        <w:tc>
          <w:tcPr>
            <w:tcW w:w="1984" w:type="dxa"/>
            <w:shd w:val="clear" w:color="auto" w:fill="auto"/>
          </w:tcPr>
          <w:p w14:paraId="434AC73F" w14:textId="77777777" w:rsidR="00676882" w:rsidRPr="006B0263" w:rsidRDefault="00676882" w:rsidP="00DF45FA">
            <w:pPr>
              <w:pStyle w:val="Tabletext"/>
              <w:jc w:val="right"/>
              <w:rPr>
                <w:color w:val="C00000"/>
              </w:rPr>
            </w:pPr>
            <w:r w:rsidRPr="006B0263">
              <w:rPr>
                <w:color w:val="C00000"/>
              </w:rPr>
              <w:t>-$7.79</w:t>
            </w:r>
          </w:p>
        </w:tc>
      </w:tr>
      <w:tr w:rsidR="00676882" w14:paraId="4EC303C6" w14:textId="77777777" w:rsidTr="00DF45FA">
        <w:trPr>
          <w:gridBefore w:val="1"/>
          <w:wBefore w:w="454" w:type="dxa"/>
        </w:trPr>
        <w:tc>
          <w:tcPr>
            <w:tcW w:w="1984" w:type="dxa"/>
            <w:shd w:val="clear" w:color="auto" w:fill="auto"/>
            <w:vAlign w:val="bottom"/>
          </w:tcPr>
          <w:p w14:paraId="477114A0" w14:textId="77777777" w:rsidR="00676882" w:rsidRDefault="00676882" w:rsidP="00DF45FA">
            <w:pPr>
              <w:pStyle w:val="Tabletext"/>
            </w:pPr>
            <w:r>
              <w:t>h) Performance 2-stars - 4 year</w:t>
            </w:r>
          </w:p>
        </w:tc>
        <w:tc>
          <w:tcPr>
            <w:tcW w:w="1984" w:type="dxa"/>
            <w:shd w:val="clear" w:color="auto" w:fill="auto"/>
          </w:tcPr>
          <w:p w14:paraId="583126E0" w14:textId="77777777" w:rsidR="00676882" w:rsidRPr="006B0263" w:rsidRDefault="00676882" w:rsidP="00DF45FA">
            <w:pPr>
              <w:pStyle w:val="Tabletext"/>
              <w:jc w:val="right"/>
              <w:rPr>
                <w:color w:val="C00000"/>
              </w:rPr>
            </w:pPr>
            <w:r w:rsidRPr="006B0263">
              <w:rPr>
                <w:color w:val="C00000"/>
              </w:rPr>
              <w:t>-$14.32</w:t>
            </w:r>
          </w:p>
        </w:tc>
        <w:tc>
          <w:tcPr>
            <w:tcW w:w="1984" w:type="dxa"/>
            <w:shd w:val="clear" w:color="auto" w:fill="auto"/>
            <w:vAlign w:val="center"/>
          </w:tcPr>
          <w:p w14:paraId="70AD36AA" w14:textId="77777777" w:rsidR="00676882" w:rsidRPr="006B0263" w:rsidRDefault="00676882" w:rsidP="00DF45FA">
            <w:pPr>
              <w:pStyle w:val="Tabletext"/>
              <w:jc w:val="right"/>
              <w:rPr>
                <w:color w:val="C00000"/>
              </w:rPr>
            </w:pPr>
            <w:r w:rsidRPr="006B0263">
              <w:rPr>
                <w:color w:val="C00000"/>
              </w:rPr>
              <w:t>-$12.</w:t>
            </w:r>
            <w:r>
              <w:rPr>
                <w:color w:val="C00000"/>
              </w:rPr>
              <w:t>76</w:t>
            </w:r>
          </w:p>
        </w:tc>
        <w:tc>
          <w:tcPr>
            <w:tcW w:w="1984" w:type="dxa"/>
            <w:shd w:val="clear" w:color="auto" w:fill="auto"/>
          </w:tcPr>
          <w:p w14:paraId="4017090D" w14:textId="77777777" w:rsidR="00676882" w:rsidRPr="006B0263" w:rsidRDefault="00676882" w:rsidP="00DF45FA">
            <w:pPr>
              <w:pStyle w:val="Tabletext"/>
              <w:jc w:val="right"/>
              <w:rPr>
                <w:color w:val="C00000"/>
              </w:rPr>
            </w:pPr>
            <w:r w:rsidRPr="006B0263">
              <w:rPr>
                <w:color w:val="C00000"/>
              </w:rPr>
              <w:t>-$7.57</w:t>
            </w:r>
          </w:p>
        </w:tc>
      </w:tr>
      <w:tr w:rsidR="00676882" w14:paraId="7F38E087" w14:textId="77777777" w:rsidTr="00DF45FA">
        <w:trPr>
          <w:gridBefore w:val="1"/>
          <w:wBefore w:w="454" w:type="dxa"/>
        </w:trPr>
        <w:tc>
          <w:tcPr>
            <w:tcW w:w="1984" w:type="dxa"/>
            <w:shd w:val="clear" w:color="auto" w:fill="auto"/>
            <w:vAlign w:val="bottom"/>
          </w:tcPr>
          <w:p w14:paraId="2A74AAC8" w14:textId="77777777" w:rsidR="00676882" w:rsidRDefault="00676882" w:rsidP="00DF45FA">
            <w:pPr>
              <w:pStyle w:val="Tabletext"/>
            </w:pPr>
            <w:r>
              <w:t>i) Performance 3-stars - 2 year</w:t>
            </w:r>
          </w:p>
        </w:tc>
        <w:tc>
          <w:tcPr>
            <w:tcW w:w="1984" w:type="dxa"/>
            <w:shd w:val="clear" w:color="auto" w:fill="auto"/>
          </w:tcPr>
          <w:p w14:paraId="58C88B0E" w14:textId="77777777" w:rsidR="00676882" w:rsidRPr="006B0263" w:rsidRDefault="00676882" w:rsidP="00DF45FA">
            <w:pPr>
              <w:pStyle w:val="Tabletext"/>
              <w:jc w:val="right"/>
              <w:rPr>
                <w:color w:val="C00000"/>
              </w:rPr>
            </w:pPr>
            <w:r w:rsidRPr="006B0263">
              <w:rPr>
                <w:color w:val="C00000"/>
              </w:rPr>
              <w:t>-$128.46</w:t>
            </w:r>
          </w:p>
        </w:tc>
        <w:tc>
          <w:tcPr>
            <w:tcW w:w="1984" w:type="dxa"/>
            <w:shd w:val="clear" w:color="auto" w:fill="auto"/>
            <w:vAlign w:val="center"/>
          </w:tcPr>
          <w:p w14:paraId="208B6E1B" w14:textId="77777777" w:rsidR="00676882" w:rsidRPr="006B0263" w:rsidRDefault="00676882" w:rsidP="00DF45FA">
            <w:pPr>
              <w:pStyle w:val="Tabletext"/>
              <w:jc w:val="right"/>
              <w:rPr>
                <w:color w:val="C00000"/>
              </w:rPr>
            </w:pPr>
            <w:r w:rsidRPr="006B0263">
              <w:rPr>
                <w:color w:val="C00000"/>
              </w:rPr>
              <w:t>-$1</w:t>
            </w:r>
            <w:r>
              <w:rPr>
                <w:color w:val="C00000"/>
              </w:rPr>
              <w:t>19.66</w:t>
            </w:r>
          </w:p>
        </w:tc>
        <w:tc>
          <w:tcPr>
            <w:tcW w:w="1984" w:type="dxa"/>
            <w:shd w:val="clear" w:color="auto" w:fill="auto"/>
          </w:tcPr>
          <w:p w14:paraId="200BC95E" w14:textId="77777777" w:rsidR="00676882" w:rsidRPr="006B0263" w:rsidRDefault="00676882" w:rsidP="00DF45FA">
            <w:pPr>
              <w:pStyle w:val="Tabletext"/>
              <w:jc w:val="right"/>
              <w:rPr>
                <w:color w:val="C00000"/>
              </w:rPr>
            </w:pPr>
            <w:r w:rsidRPr="006B0263">
              <w:rPr>
                <w:color w:val="C00000"/>
              </w:rPr>
              <w:t>-$53.71</w:t>
            </w:r>
          </w:p>
        </w:tc>
      </w:tr>
      <w:tr w:rsidR="00676882" w14:paraId="083585FA" w14:textId="77777777" w:rsidTr="00DF45FA">
        <w:trPr>
          <w:gridBefore w:val="1"/>
          <w:wBefore w:w="454" w:type="dxa"/>
        </w:trPr>
        <w:tc>
          <w:tcPr>
            <w:tcW w:w="1984" w:type="dxa"/>
            <w:shd w:val="clear" w:color="auto" w:fill="auto"/>
            <w:vAlign w:val="bottom"/>
          </w:tcPr>
          <w:p w14:paraId="440AA2E3" w14:textId="77777777" w:rsidR="00676882" w:rsidRDefault="00676882" w:rsidP="00DF45FA">
            <w:pPr>
              <w:pStyle w:val="Tabletext"/>
            </w:pPr>
            <w:r>
              <w:t>j) Performance 3-stars - 4 year</w:t>
            </w:r>
          </w:p>
        </w:tc>
        <w:tc>
          <w:tcPr>
            <w:tcW w:w="1984" w:type="dxa"/>
            <w:shd w:val="clear" w:color="auto" w:fill="auto"/>
          </w:tcPr>
          <w:p w14:paraId="6717C471" w14:textId="77777777" w:rsidR="00676882" w:rsidRPr="006B0263" w:rsidRDefault="00676882" w:rsidP="00DF45FA">
            <w:pPr>
              <w:pStyle w:val="Tabletext"/>
              <w:jc w:val="right"/>
              <w:rPr>
                <w:color w:val="C00000"/>
              </w:rPr>
            </w:pPr>
            <w:r w:rsidRPr="006B0263">
              <w:rPr>
                <w:color w:val="C00000"/>
              </w:rPr>
              <w:t>-$125.55</w:t>
            </w:r>
          </w:p>
        </w:tc>
        <w:tc>
          <w:tcPr>
            <w:tcW w:w="1984" w:type="dxa"/>
            <w:shd w:val="clear" w:color="auto" w:fill="auto"/>
            <w:vAlign w:val="center"/>
          </w:tcPr>
          <w:p w14:paraId="15D8050F" w14:textId="77777777" w:rsidR="00676882" w:rsidRPr="006B0263" w:rsidRDefault="00676882" w:rsidP="00DF45FA">
            <w:pPr>
              <w:pStyle w:val="Tabletext"/>
              <w:jc w:val="right"/>
              <w:rPr>
                <w:color w:val="C00000"/>
              </w:rPr>
            </w:pPr>
            <w:r w:rsidRPr="006B0263">
              <w:rPr>
                <w:color w:val="C00000"/>
              </w:rPr>
              <w:t>-$1</w:t>
            </w:r>
            <w:r>
              <w:rPr>
                <w:color w:val="C00000"/>
              </w:rPr>
              <w:t>16.41</w:t>
            </w:r>
          </w:p>
        </w:tc>
        <w:tc>
          <w:tcPr>
            <w:tcW w:w="1984" w:type="dxa"/>
            <w:shd w:val="clear" w:color="auto" w:fill="auto"/>
          </w:tcPr>
          <w:p w14:paraId="1B46DA68" w14:textId="77777777" w:rsidR="00676882" w:rsidRPr="006B0263" w:rsidRDefault="00676882" w:rsidP="00DF45FA">
            <w:pPr>
              <w:pStyle w:val="Tabletext"/>
              <w:jc w:val="right"/>
              <w:rPr>
                <w:color w:val="C00000"/>
              </w:rPr>
            </w:pPr>
            <w:r w:rsidRPr="006B0263">
              <w:rPr>
                <w:color w:val="C00000"/>
              </w:rPr>
              <w:t>-$49.84</w:t>
            </w:r>
          </w:p>
        </w:tc>
      </w:tr>
      <w:tr w:rsidR="00676882" w14:paraId="1D653410" w14:textId="77777777" w:rsidTr="00DF45FA">
        <w:trPr>
          <w:gridBefore w:val="1"/>
          <w:wBefore w:w="454" w:type="dxa"/>
        </w:trPr>
        <w:tc>
          <w:tcPr>
            <w:tcW w:w="7936" w:type="dxa"/>
            <w:gridSpan w:val="4"/>
            <w:tcBorders>
              <w:bottom w:val="single" w:sz="4" w:space="0" w:color="646464"/>
            </w:tcBorders>
            <w:shd w:val="clear" w:color="auto" w:fill="auto"/>
          </w:tcPr>
          <w:p w14:paraId="08617229" w14:textId="77777777" w:rsidR="00676882" w:rsidRDefault="00676882" w:rsidP="00DF45FA">
            <w:pPr>
              <w:pStyle w:val="Source"/>
            </w:pPr>
            <w:r>
              <w:t>Source: ACIL Allen</w:t>
            </w:r>
          </w:p>
        </w:tc>
      </w:tr>
      <w:tr w:rsidR="00676882" w14:paraId="45ADCB59"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4E8B00E2" w14:textId="77777777" w:rsidR="00676882" w:rsidRDefault="00676882" w:rsidP="00DF45FA">
            <w:pPr>
              <w:pStyle w:val="spacer"/>
            </w:pPr>
          </w:p>
        </w:tc>
      </w:tr>
    </w:tbl>
    <w:p w14:paraId="375EE8BA" w14:textId="77777777" w:rsidR="00676882" w:rsidRDefault="00676882" w:rsidP="00676882">
      <w:pPr>
        <w:pStyle w:val="Heading3"/>
      </w:pPr>
      <w:bookmarkStart w:id="305" w:name="_Ref75909958"/>
      <w:bookmarkStart w:id="306" w:name="_Ref80468002"/>
      <w:r>
        <w:t>Health impacts vs energy-efficiency savings</w:t>
      </w:r>
      <w:bookmarkEnd w:id="305"/>
      <w:bookmarkEnd w:id="306"/>
    </w:p>
    <w:p w14:paraId="4F1307C7" w14:textId="77777777" w:rsidR="00676882" w:rsidRDefault="00676882" w:rsidP="00676882">
      <w:pPr>
        <w:pStyle w:val="BodyText"/>
      </w:pPr>
      <w:r>
        <w:t xml:space="preserve">The health impacts versus energy-efficiency savings are discussed in section </w:t>
      </w:r>
      <w:r w:rsidRPr="009E4AB1">
        <w:fldChar w:fldCharType="begin"/>
      </w:r>
      <w:r w:rsidRPr="009E4AB1">
        <w:instrText xml:space="preserve"> REF _Ref75768799 \r \h  \* MERGEFORMAT </w:instrText>
      </w:r>
      <w:r w:rsidRPr="009E4AB1">
        <w:fldChar w:fldCharType="separate"/>
      </w:r>
      <w:r>
        <w:t>5.1.1</w:t>
      </w:r>
      <w:r w:rsidRPr="009E4AB1">
        <w:fldChar w:fldCharType="end"/>
      </w:r>
      <w:r>
        <w:t xml:space="preserve">. The trade-off is highly complex, and not easily quantified. In the reference case scenarios, the only health impacts quantified are from particulates from domestic gas burning. </w:t>
      </w:r>
    </w:p>
    <w:p w14:paraId="281E3FD3" w14:textId="77777777" w:rsidR="00676882" w:rsidRDefault="00676882" w:rsidP="00676882">
      <w:pPr>
        <w:pStyle w:val="BodyText"/>
      </w:pPr>
      <w:r>
        <w:t>There is uncertainty regarding the health benefits of improved thermal comfort, household preferences (the degree to which they prefer improved thermal comfort and the degree to which they value energy cost savings), and the marginal rate of technical substitution for each household.</w:t>
      </w:r>
      <w:r>
        <w:rPr>
          <w:rStyle w:val="FootnoteReference"/>
        </w:rPr>
        <w:footnoteReference w:id="8"/>
      </w:r>
      <w:r>
        <w:t xml:space="preserve"> That is:</w:t>
      </w:r>
    </w:p>
    <w:p w14:paraId="2B835606" w14:textId="77777777" w:rsidR="00676882" w:rsidRDefault="00676882" w:rsidP="00676882">
      <w:pPr>
        <w:pStyle w:val="ListBullet"/>
      </w:pPr>
      <w:r>
        <w:lastRenderedPageBreak/>
        <w:t>It is unknown how well rental properties can trade-off thermal comfort for energy savings. It is even more complicated given behavioural choices.</w:t>
      </w:r>
    </w:p>
    <w:p w14:paraId="6887EBE2" w14:textId="77777777" w:rsidR="00676882" w:rsidRDefault="00676882" w:rsidP="00676882">
      <w:pPr>
        <w:pStyle w:val="ListBullet"/>
      </w:pPr>
      <w:r>
        <w:t>It is unknown how the trade-off varies between rental properties.</w:t>
      </w:r>
    </w:p>
    <w:p w14:paraId="417136C9" w14:textId="77777777" w:rsidR="00676882" w:rsidRDefault="00676882" w:rsidP="00676882">
      <w:pPr>
        <w:pStyle w:val="ListBullet"/>
      </w:pPr>
      <w:r>
        <w:t>It is unknown how extensive health benefits would be if tenants were to take all benefits as health and comfort, rather than as energy savings.</w:t>
      </w:r>
    </w:p>
    <w:p w14:paraId="2F4F9643" w14:textId="77777777" w:rsidR="00676882" w:rsidRDefault="00676882" w:rsidP="00676882">
      <w:pPr>
        <w:pStyle w:val="ListBullet"/>
      </w:pPr>
      <w:r>
        <w:t xml:space="preserve">It is unknown how </w:t>
      </w:r>
      <w:proofErr w:type="gramStart"/>
      <w:r>
        <w:t>tenants</w:t>
      </w:r>
      <w:proofErr w:type="gramEnd"/>
      <w:r>
        <w:t xml:space="preserve"> preference uncertain health benefits relative to readily realisable energy savings.</w:t>
      </w:r>
    </w:p>
    <w:p w14:paraId="1B4448A2" w14:textId="77777777" w:rsidR="00676882" w:rsidRDefault="00676882" w:rsidP="00676882">
      <w:pPr>
        <w:pStyle w:val="BodyText"/>
      </w:pPr>
      <w:r>
        <w:t xml:space="preserve">Accordingly, weighting health benefits highly relative to energy-savings introduces many unknowns and uncertainties. </w:t>
      </w:r>
    </w:p>
    <w:p w14:paraId="25A31C7C" w14:textId="77777777" w:rsidR="00676882" w:rsidRDefault="00676882" w:rsidP="00676882">
      <w:pPr>
        <w:pStyle w:val="BodyText"/>
      </w:pPr>
      <w:r>
        <w:t xml:space="preserve">To test the scenario where all benefits are taken as improved health outcomes, estimates based on the New Zealand Heat Smart Programme </w:t>
      </w:r>
      <w:sdt>
        <w:sdtPr>
          <w:id w:val="1240606409"/>
          <w:citation/>
        </w:sdtPr>
        <w:sdtContent>
          <w:r>
            <w:fldChar w:fldCharType="begin"/>
          </w:r>
          <w:r>
            <w:instrText xml:space="preserve"> CITATION Gri12 \l 3081 </w:instrText>
          </w:r>
          <w:r>
            <w:fldChar w:fldCharType="separate"/>
          </w:r>
          <w:r>
            <w:rPr>
              <w:noProof/>
            </w:rPr>
            <w:t>(Grimes, Denne, &amp; Howden-Chapman, 2012)</w:t>
          </w:r>
          <w:r>
            <w:fldChar w:fldCharType="end"/>
          </w:r>
        </w:sdtContent>
      </w:sdt>
      <w:r>
        <w:t xml:space="preserve"> have been used (see Appendix B). In this case, energy use remains the same — the rebound effect is 100 per cent — that is, there are no carbon offsets, network savings, energy savings, or renewable energy offsets avoided. This replaces one benefit (health) for six others, including one type of health benefit for two others. The result is shown in </w:t>
      </w:r>
      <w:r w:rsidRPr="009E4AB1">
        <w:fldChar w:fldCharType="begin"/>
      </w:r>
      <w:r w:rsidRPr="009E4AB1">
        <w:instrText xml:space="preserve"> REF _Ref80465840 \h  \* MERGEFORMAT </w:instrText>
      </w:r>
      <w:r w:rsidRPr="009E4AB1">
        <w:fldChar w:fldCharType="separate"/>
      </w:r>
      <w:r w:rsidRPr="00F32FCC">
        <w:t>Table 5.9</w:t>
      </w:r>
      <w:r w:rsidRPr="009E4AB1">
        <w:fldChar w:fldCharType="end"/>
      </w:r>
      <w:r>
        <w:t>.</w:t>
      </w:r>
    </w:p>
    <w:p w14:paraId="7D888C45" w14:textId="77777777" w:rsidR="00676882" w:rsidRDefault="00676882" w:rsidP="00676882">
      <w:pPr>
        <w:pStyle w:val="Caption"/>
      </w:pPr>
      <w:bookmarkStart w:id="307" w:name="_Ref80465840"/>
      <w:bookmarkStart w:id="308" w:name="_Toc80719334"/>
      <w:r w:rsidRPr="006B0263">
        <w:rPr>
          <w:rStyle w:val="CaptionLabel"/>
        </w:rPr>
        <w:t>Table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Table \* ARABIC \S 1 \* MERGEFORMAT </w:instrText>
      </w:r>
      <w:r w:rsidRPr="006B0263">
        <w:rPr>
          <w:rStyle w:val="CaptionLabel"/>
        </w:rPr>
        <w:fldChar w:fldCharType="separate"/>
      </w:r>
      <w:r>
        <w:rPr>
          <w:rStyle w:val="CaptionLabel"/>
          <w:noProof/>
        </w:rPr>
        <w:t>9</w:t>
      </w:r>
      <w:r w:rsidRPr="006B0263">
        <w:rPr>
          <w:rStyle w:val="CaptionLabel"/>
        </w:rPr>
        <w:fldChar w:fldCharType="end"/>
      </w:r>
      <w:bookmarkEnd w:id="307"/>
      <w:r>
        <w:tab/>
        <w:t>Headline results, health impacts only</w:t>
      </w:r>
      <w:bookmarkEnd w:id="308"/>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9"/>
        <w:tblDescription w:val="Headline results, health impacts only"/>
      </w:tblPr>
      <w:tblGrid>
        <w:gridCol w:w="454"/>
        <w:gridCol w:w="2645"/>
        <w:gridCol w:w="2645"/>
        <w:gridCol w:w="2646"/>
      </w:tblGrid>
      <w:tr w:rsidR="00676882" w14:paraId="0AD153D5" w14:textId="77777777" w:rsidTr="00DF45FA">
        <w:trPr>
          <w:tblHeader/>
        </w:trPr>
        <w:tc>
          <w:tcPr>
            <w:tcW w:w="3099" w:type="dxa"/>
            <w:gridSpan w:val="2"/>
            <w:tcBorders>
              <w:top w:val="nil"/>
              <w:bottom w:val="nil"/>
            </w:tcBorders>
            <w:shd w:val="clear" w:color="auto" w:fill="140034"/>
            <w:tcMar>
              <w:left w:w="454" w:type="dxa"/>
            </w:tcMar>
          </w:tcPr>
          <w:p w14:paraId="7A7A415A" w14:textId="77777777" w:rsidR="00676882" w:rsidRDefault="00676882" w:rsidP="00DF45FA">
            <w:pPr>
              <w:pStyle w:val="Tablecolumnheadings"/>
            </w:pPr>
            <w:r>
              <w:t>Option modelled</w:t>
            </w:r>
          </w:p>
        </w:tc>
        <w:tc>
          <w:tcPr>
            <w:tcW w:w="2645" w:type="dxa"/>
            <w:tcBorders>
              <w:top w:val="nil"/>
              <w:bottom w:val="nil"/>
            </w:tcBorders>
            <w:shd w:val="clear" w:color="auto" w:fill="140034"/>
          </w:tcPr>
          <w:p w14:paraId="3F2A1780" w14:textId="77777777" w:rsidR="00676882" w:rsidRDefault="00676882" w:rsidP="00DF45FA">
            <w:pPr>
              <w:pStyle w:val="Tablecolumnheadings"/>
              <w:jc w:val="right"/>
            </w:pPr>
            <w:r>
              <w:t>Benefit-cost ratio (BCR)</w:t>
            </w:r>
          </w:p>
        </w:tc>
        <w:tc>
          <w:tcPr>
            <w:tcW w:w="2646" w:type="dxa"/>
            <w:tcBorders>
              <w:top w:val="nil"/>
              <w:bottom w:val="nil"/>
              <w:right w:val="single" w:sz="6" w:space="0" w:color="140034"/>
            </w:tcBorders>
            <w:shd w:val="clear" w:color="auto" w:fill="140034"/>
          </w:tcPr>
          <w:p w14:paraId="4CD46270" w14:textId="77777777" w:rsidR="00676882" w:rsidRDefault="00676882" w:rsidP="00DF45FA">
            <w:pPr>
              <w:pStyle w:val="Tablecolumnheadings"/>
              <w:jc w:val="right"/>
            </w:pPr>
            <w:r>
              <w:t>Net present value ($ million)</w:t>
            </w:r>
          </w:p>
        </w:tc>
      </w:tr>
      <w:tr w:rsidR="00676882" w14:paraId="2E46ADAC" w14:textId="77777777" w:rsidTr="00676882">
        <w:trPr>
          <w:gridBefore w:val="1"/>
          <w:wBefore w:w="454" w:type="dxa"/>
        </w:trPr>
        <w:tc>
          <w:tcPr>
            <w:tcW w:w="2645" w:type="dxa"/>
            <w:tcBorders>
              <w:top w:val="nil"/>
            </w:tcBorders>
            <w:shd w:val="clear" w:color="auto" w:fill="auto"/>
            <w:vAlign w:val="bottom"/>
          </w:tcPr>
          <w:p w14:paraId="1B89D07F" w14:textId="77777777" w:rsidR="00676882" w:rsidRDefault="00676882" w:rsidP="00DF45FA">
            <w:pPr>
              <w:pStyle w:val="Tabletext"/>
            </w:pPr>
            <w:r>
              <w:t>a) Insulation R3 - 2 year</w:t>
            </w:r>
          </w:p>
        </w:tc>
        <w:tc>
          <w:tcPr>
            <w:tcW w:w="2645" w:type="dxa"/>
            <w:tcBorders>
              <w:top w:val="nil"/>
              <w:bottom w:val="single" w:sz="4" w:space="0" w:color="646464"/>
            </w:tcBorders>
            <w:shd w:val="clear" w:color="auto" w:fill="auto"/>
            <w:vAlign w:val="center"/>
          </w:tcPr>
          <w:p w14:paraId="111061DF" w14:textId="77777777" w:rsidR="00676882" w:rsidRDefault="00676882" w:rsidP="00DF45FA">
            <w:pPr>
              <w:pStyle w:val="Tabletext"/>
              <w:jc w:val="right"/>
            </w:pPr>
            <w:r w:rsidRPr="002C6E25">
              <w:t>0.14</w:t>
            </w:r>
          </w:p>
        </w:tc>
        <w:tc>
          <w:tcPr>
            <w:tcW w:w="2646" w:type="dxa"/>
            <w:tcBorders>
              <w:top w:val="nil"/>
            </w:tcBorders>
            <w:shd w:val="clear" w:color="auto" w:fill="auto"/>
            <w:vAlign w:val="center"/>
          </w:tcPr>
          <w:p w14:paraId="3C87514C" w14:textId="77777777" w:rsidR="00676882" w:rsidRPr="006B0263" w:rsidRDefault="00676882" w:rsidP="00DF45FA">
            <w:pPr>
              <w:pStyle w:val="Tabletext"/>
              <w:jc w:val="right"/>
              <w:rPr>
                <w:color w:val="C00000"/>
              </w:rPr>
            </w:pPr>
            <w:r w:rsidRPr="006B0263">
              <w:rPr>
                <w:color w:val="C00000"/>
              </w:rPr>
              <w:t>-$46.57</w:t>
            </w:r>
          </w:p>
        </w:tc>
      </w:tr>
      <w:tr w:rsidR="00676882" w14:paraId="437DE874" w14:textId="77777777" w:rsidTr="00676882">
        <w:trPr>
          <w:gridBefore w:val="1"/>
          <w:wBefore w:w="454" w:type="dxa"/>
        </w:trPr>
        <w:tc>
          <w:tcPr>
            <w:tcW w:w="2645" w:type="dxa"/>
            <w:shd w:val="clear" w:color="auto" w:fill="auto"/>
            <w:vAlign w:val="bottom"/>
          </w:tcPr>
          <w:p w14:paraId="688169E3" w14:textId="77777777" w:rsidR="00676882" w:rsidRDefault="00676882" w:rsidP="00DF45FA">
            <w:pPr>
              <w:pStyle w:val="Tabletext"/>
            </w:pPr>
            <w:r>
              <w:t>b) Insulation R3 - 4 year</w:t>
            </w:r>
          </w:p>
        </w:tc>
        <w:tc>
          <w:tcPr>
            <w:tcW w:w="2645" w:type="dxa"/>
            <w:tcBorders>
              <w:top w:val="single" w:sz="4" w:space="0" w:color="646464"/>
            </w:tcBorders>
            <w:shd w:val="clear" w:color="auto" w:fill="ACD8B5"/>
            <w:vAlign w:val="center"/>
          </w:tcPr>
          <w:p w14:paraId="47C81177" w14:textId="77777777" w:rsidR="00676882" w:rsidRDefault="00676882" w:rsidP="00DF45FA">
            <w:pPr>
              <w:pStyle w:val="Tabletext"/>
              <w:jc w:val="right"/>
            </w:pPr>
            <w:r w:rsidRPr="002C6E25">
              <w:t>0.14</w:t>
            </w:r>
          </w:p>
        </w:tc>
        <w:tc>
          <w:tcPr>
            <w:tcW w:w="2646" w:type="dxa"/>
            <w:shd w:val="clear" w:color="auto" w:fill="auto"/>
            <w:vAlign w:val="center"/>
          </w:tcPr>
          <w:p w14:paraId="6152E090" w14:textId="77777777" w:rsidR="00676882" w:rsidRPr="006B0263" w:rsidRDefault="00676882" w:rsidP="00DF45FA">
            <w:pPr>
              <w:pStyle w:val="Tabletext"/>
              <w:jc w:val="right"/>
              <w:rPr>
                <w:color w:val="C00000"/>
              </w:rPr>
            </w:pPr>
            <w:r w:rsidRPr="006B0263">
              <w:rPr>
                <w:color w:val="C00000"/>
              </w:rPr>
              <w:t>-$45.52</w:t>
            </w:r>
          </w:p>
        </w:tc>
      </w:tr>
      <w:tr w:rsidR="00676882" w14:paraId="6EE29821" w14:textId="77777777" w:rsidTr="00DF45FA">
        <w:trPr>
          <w:gridBefore w:val="1"/>
          <w:wBefore w:w="454" w:type="dxa"/>
        </w:trPr>
        <w:tc>
          <w:tcPr>
            <w:tcW w:w="2645" w:type="dxa"/>
            <w:shd w:val="clear" w:color="auto" w:fill="auto"/>
            <w:vAlign w:val="bottom"/>
          </w:tcPr>
          <w:p w14:paraId="504B7272" w14:textId="77777777" w:rsidR="00676882" w:rsidRDefault="00676882" w:rsidP="00DF45FA">
            <w:pPr>
              <w:pStyle w:val="Tabletext"/>
            </w:pPr>
            <w:r>
              <w:t>c) Insulation R5 - 2 year</w:t>
            </w:r>
          </w:p>
        </w:tc>
        <w:tc>
          <w:tcPr>
            <w:tcW w:w="2645" w:type="dxa"/>
            <w:shd w:val="clear" w:color="auto" w:fill="auto"/>
            <w:vAlign w:val="center"/>
          </w:tcPr>
          <w:p w14:paraId="7972641D" w14:textId="77777777" w:rsidR="00676882" w:rsidRDefault="00676882" w:rsidP="00DF45FA">
            <w:pPr>
              <w:pStyle w:val="Tabletext"/>
              <w:jc w:val="right"/>
            </w:pPr>
            <w:r w:rsidRPr="002C6E25">
              <w:t>0.12</w:t>
            </w:r>
          </w:p>
        </w:tc>
        <w:tc>
          <w:tcPr>
            <w:tcW w:w="2646" w:type="dxa"/>
            <w:shd w:val="clear" w:color="auto" w:fill="auto"/>
            <w:vAlign w:val="center"/>
          </w:tcPr>
          <w:p w14:paraId="3477B189" w14:textId="77777777" w:rsidR="00676882" w:rsidRPr="006B0263" w:rsidRDefault="00676882" w:rsidP="00DF45FA">
            <w:pPr>
              <w:pStyle w:val="Tabletext"/>
              <w:jc w:val="right"/>
              <w:rPr>
                <w:color w:val="C00000"/>
              </w:rPr>
            </w:pPr>
            <w:r w:rsidRPr="006B0263">
              <w:rPr>
                <w:color w:val="C00000"/>
              </w:rPr>
              <w:t>-$53.45</w:t>
            </w:r>
          </w:p>
        </w:tc>
      </w:tr>
      <w:tr w:rsidR="00676882" w14:paraId="35361124" w14:textId="77777777" w:rsidTr="00DF45FA">
        <w:trPr>
          <w:gridBefore w:val="1"/>
          <w:wBefore w:w="454" w:type="dxa"/>
        </w:trPr>
        <w:tc>
          <w:tcPr>
            <w:tcW w:w="2645" w:type="dxa"/>
            <w:shd w:val="clear" w:color="auto" w:fill="auto"/>
            <w:vAlign w:val="bottom"/>
          </w:tcPr>
          <w:p w14:paraId="05F30F25" w14:textId="77777777" w:rsidR="00676882" w:rsidRDefault="00676882" w:rsidP="00DF45FA">
            <w:pPr>
              <w:pStyle w:val="Tabletext"/>
            </w:pPr>
            <w:r>
              <w:t>d) Insulation R5 - 4 year</w:t>
            </w:r>
          </w:p>
        </w:tc>
        <w:tc>
          <w:tcPr>
            <w:tcW w:w="2645" w:type="dxa"/>
            <w:shd w:val="clear" w:color="auto" w:fill="auto"/>
            <w:vAlign w:val="center"/>
          </w:tcPr>
          <w:p w14:paraId="5898BA4F" w14:textId="77777777" w:rsidR="00676882" w:rsidRDefault="00676882" w:rsidP="00DF45FA">
            <w:pPr>
              <w:pStyle w:val="Tabletext"/>
              <w:jc w:val="right"/>
            </w:pPr>
            <w:r w:rsidRPr="002C6E25">
              <w:t>0.13</w:t>
            </w:r>
          </w:p>
        </w:tc>
        <w:tc>
          <w:tcPr>
            <w:tcW w:w="2646" w:type="dxa"/>
            <w:shd w:val="clear" w:color="auto" w:fill="auto"/>
            <w:vAlign w:val="center"/>
          </w:tcPr>
          <w:p w14:paraId="7630478E" w14:textId="77777777" w:rsidR="00676882" w:rsidRPr="006B0263" w:rsidRDefault="00676882" w:rsidP="00DF45FA">
            <w:pPr>
              <w:pStyle w:val="Tabletext"/>
              <w:jc w:val="right"/>
              <w:rPr>
                <w:color w:val="C00000"/>
              </w:rPr>
            </w:pPr>
            <w:r w:rsidRPr="006B0263">
              <w:rPr>
                <w:color w:val="C00000"/>
              </w:rPr>
              <w:t>-$52.35</w:t>
            </w:r>
          </w:p>
        </w:tc>
      </w:tr>
      <w:tr w:rsidR="00676882" w14:paraId="72C2B9B2" w14:textId="77777777" w:rsidTr="00DF45FA">
        <w:trPr>
          <w:gridBefore w:val="1"/>
          <w:wBefore w:w="454" w:type="dxa"/>
        </w:trPr>
        <w:tc>
          <w:tcPr>
            <w:tcW w:w="2645" w:type="dxa"/>
            <w:shd w:val="clear" w:color="auto" w:fill="auto"/>
            <w:vAlign w:val="bottom"/>
          </w:tcPr>
          <w:p w14:paraId="763C63F9" w14:textId="77777777" w:rsidR="00676882" w:rsidRDefault="00676882" w:rsidP="00DF45FA">
            <w:pPr>
              <w:pStyle w:val="Tabletext"/>
            </w:pPr>
            <w:r>
              <w:t>e) Heater - 2 year</w:t>
            </w:r>
          </w:p>
        </w:tc>
        <w:tc>
          <w:tcPr>
            <w:tcW w:w="2645" w:type="dxa"/>
            <w:shd w:val="clear" w:color="auto" w:fill="auto"/>
            <w:vAlign w:val="center"/>
          </w:tcPr>
          <w:p w14:paraId="05D435C1" w14:textId="77777777" w:rsidR="00676882" w:rsidRDefault="00676882" w:rsidP="00DF45FA">
            <w:pPr>
              <w:pStyle w:val="Tabletext"/>
              <w:jc w:val="right"/>
            </w:pPr>
            <w:r w:rsidRPr="002C6E25">
              <w:t>0.10</w:t>
            </w:r>
          </w:p>
        </w:tc>
        <w:tc>
          <w:tcPr>
            <w:tcW w:w="2646" w:type="dxa"/>
            <w:shd w:val="clear" w:color="auto" w:fill="auto"/>
            <w:vAlign w:val="center"/>
          </w:tcPr>
          <w:p w14:paraId="391EEEFA" w14:textId="77777777" w:rsidR="00676882" w:rsidRPr="006B0263" w:rsidRDefault="00676882" w:rsidP="00DF45FA">
            <w:pPr>
              <w:pStyle w:val="Tabletext"/>
              <w:jc w:val="right"/>
              <w:rPr>
                <w:color w:val="C00000"/>
              </w:rPr>
            </w:pPr>
            <w:r w:rsidRPr="006B0263">
              <w:rPr>
                <w:color w:val="C00000"/>
              </w:rPr>
              <w:t>-$34.15</w:t>
            </w:r>
          </w:p>
        </w:tc>
      </w:tr>
      <w:tr w:rsidR="00676882" w14:paraId="247B5CBA" w14:textId="77777777" w:rsidTr="00676882">
        <w:trPr>
          <w:gridBefore w:val="1"/>
          <w:wBefore w:w="454" w:type="dxa"/>
        </w:trPr>
        <w:tc>
          <w:tcPr>
            <w:tcW w:w="2645" w:type="dxa"/>
            <w:shd w:val="clear" w:color="auto" w:fill="auto"/>
            <w:vAlign w:val="bottom"/>
          </w:tcPr>
          <w:p w14:paraId="335AC971" w14:textId="77777777" w:rsidR="00676882" w:rsidRDefault="00676882" w:rsidP="00DF45FA">
            <w:pPr>
              <w:pStyle w:val="Tabletext"/>
            </w:pPr>
            <w:r>
              <w:t>f) Heater - 4 year</w:t>
            </w:r>
          </w:p>
        </w:tc>
        <w:tc>
          <w:tcPr>
            <w:tcW w:w="2645" w:type="dxa"/>
            <w:shd w:val="clear" w:color="auto" w:fill="auto"/>
            <w:vAlign w:val="center"/>
          </w:tcPr>
          <w:p w14:paraId="3CEEBD8E" w14:textId="77777777" w:rsidR="00676882" w:rsidRDefault="00676882" w:rsidP="00DF45FA">
            <w:pPr>
              <w:pStyle w:val="Tabletext"/>
              <w:jc w:val="right"/>
            </w:pPr>
            <w:r w:rsidRPr="002C6E25">
              <w:t>0.10</w:t>
            </w:r>
          </w:p>
        </w:tc>
        <w:tc>
          <w:tcPr>
            <w:tcW w:w="2646" w:type="dxa"/>
            <w:tcBorders>
              <w:bottom w:val="single" w:sz="4" w:space="0" w:color="646464"/>
            </w:tcBorders>
            <w:shd w:val="clear" w:color="auto" w:fill="auto"/>
            <w:vAlign w:val="center"/>
          </w:tcPr>
          <w:p w14:paraId="2DEAD1B2" w14:textId="77777777" w:rsidR="00676882" w:rsidRPr="006B0263" w:rsidRDefault="00676882" w:rsidP="00DF45FA">
            <w:pPr>
              <w:pStyle w:val="Tabletext"/>
              <w:jc w:val="right"/>
              <w:rPr>
                <w:color w:val="C00000"/>
              </w:rPr>
            </w:pPr>
            <w:r w:rsidRPr="006B0263">
              <w:rPr>
                <w:color w:val="C00000"/>
              </w:rPr>
              <w:t>-$33.94</w:t>
            </w:r>
          </w:p>
        </w:tc>
      </w:tr>
      <w:tr w:rsidR="00676882" w14:paraId="7E36C1D6" w14:textId="77777777" w:rsidTr="00676882">
        <w:trPr>
          <w:gridBefore w:val="1"/>
          <w:wBefore w:w="454" w:type="dxa"/>
        </w:trPr>
        <w:tc>
          <w:tcPr>
            <w:tcW w:w="2645" w:type="dxa"/>
            <w:shd w:val="clear" w:color="auto" w:fill="auto"/>
            <w:vAlign w:val="bottom"/>
          </w:tcPr>
          <w:p w14:paraId="2BA114DA" w14:textId="77777777" w:rsidR="00676882" w:rsidRDefault="00676882" w:rsidP="00DF45FA">
            <w:pPr>
              <w:pStyle w:val="Tabletext"/>
            </w:pPr>
            <w:r>
              <w:t>g) Performance 2-stars - 2 year</w:t>
            </w:r>
          </w:p>
        </w:tc>
        <w:tc>
          <w:tcPr>
            <w:tcW w:w="2645" w:type="dxa"/>
            <w:shd w:val="clear" w:color="auto" w:fill="auto"/>
            <w:vAlign w:val="center"/>
          </w:tcPr>
          <w:p w14:paraId="5DA9BB65" w14:textId="77777777" w:rsidR="00676882" w:rsidRDefault="00676882" w:rsidP="00DF45FA">
            <w:pPr>
              <w:pStyle w:val="Tabletext"/>
              <w:jc w:val="right"/>
            </w:pPr>
            <w:r w:rsidRPr="002C6E25">
              <w:t>0.04</w:t>
            </w:r>
          </w:p>
        </w:tc>
        <w:tc>
          <w:tcPr>
            <w:tcW w:w="2646" w:type="dxa"/>
            <w:tcBorders>
              <w:top w:val="single" w:sz="4" w:space="0" w:color="646464"/>
            </w:tcBorders>
            <w:shd w:val="clear" w:color="auto" w:fill="ACD8B5"/>
            <w:vAlign w:val="center"/>
          </w:tcPr>
          <w:p w14:paraId="5387077A" w14:textId="77777777" w:rsidR="00676882" w:rsidRPr="006B0263" w:rsidRDefault="00676882" w:rsidP="00DF45FA">
            <w:pPr>
              <w:pStyle w:val="Tabletext"/>
              <w:jc w:val="right"/>
              <w:rPr>
                <w:color w:val="C00000"/>
              </w:rPr>
            </w:pPr>
            <w:r w:rsidRPr="006B0263">
              <w:rPr>
                <w:color w:val="C00000"/>
              </w:rPr>
              <w:t>-$23.02</w:t>
            </w:r>
          </w:p>
        </w:tc>
      </w:tr>
      <w:tr w:rsidR="00676882" w14:paraId="3E3831CC" w14:textId="77777777" w:rsidTr="00DF45FA">
        <w:trPr>
          <w:gridBefore w:val="1"/>
          <w:wBefore w:w="454" w:type="dxa"/>
        </w:trPr>
        <w:tc>
          <w:tcPr>
            <w:tcW w:w="2645" w:type="dxa"/>
            <w:shd w:val="clear" w:color="auto" w:fill="auto"/>
            <w:vAlign w:val="bottom"/>
          </w:tcPr>
          <w:p w14:paraId="15B72BE0" w14:textId="77777777" w:rsidR="00676882" w:rsidRDefault="00676882" w:rsidP="00DF45FA">
            <w:pPr>
              <w:pStyle w:val="Tabletext"/>
            </w:pPr>
            <w:r>
              <w:t>h) Performance 2-stars - 4 year</w:t>
            </w:r>
          </w:p>
        </w:tc>
        <w:tc>
          <w:tcPr>
            <w:tcW w:w="2645" w:type="dxa"/>
            <w:shd w:val="clear" w:color="auto" w:fill="auto"/>
            <w:vAlign w:val="center"/>
          </w:tcPr>
          <w:p w14:paraId="2F1AF10A" w14:textId="77777777" w:rsidR="00676882" w:rsidRDefault="00676882" w:rsidP="00DF45FA">
            <w:pPr>
              <w:pStyle w:val="Tabletext"/>
              <w:jc w:val="right"/>
            </w:pPr>
            <w:r w:rsidRPr="002C6E25">
              <w:t>0.04</w:t>
            </w:r>
          </w:p>
        </w:tc>
        <w:tc>
          <w:tcPr>
            <w:tcW w:w="2646" w:type="dxa"/>
            <w:shd w:val="clear" w:color="auto" w:fill="auto"/>
            <w:vAlign w:val="center"/>
          </w:tcPr>
          <w:p w14:paraId="379DDD1B" w14:textId="77777777" w:rsidR="00676882" w:rsidRPr="006B0263" w:rsidRDefault="00676882" w:rsidP="00DF45FA">
            <w:pPr>
              <w:pStyle w:val="Tabletext"/>
              <w:jc w:val="right"/>
              <w:rPr>
                <w:color w:val="C00000"/>
              </w:rPr>
            </w:pPr>
            <w:r w:rsidRPr="006B0263">
              <w:rPr>
                <w:color w:val="C00000"/>
              </w:rPr>
              <w:t>-$23.05</w:t>
            </w:r>
          </w:p>
        </w:tc>
      </w:tr>
      <w:tr w:rsidR="00676882" w14:paraId="551A83B8" w14:textId="77777777" w:rsidTr="00DF45FA">
        <w:trPr>
          <w:gridBefore w:val="1"/>
          <w:wBefore w:w="454" w:type="dxa"/>
        </w:trPr>
        <w:tc>
          <w:tcPr>
            <w:tcW w:w="2645" w:type="dxa"/>
            <w:shd w:val="clear" w:color="auto" w:fill="auto"/>
            <w:vAlign w:val="bottom"/>
          </w:tcPr>
          <w:p w14:paraId="0CDB228C" w14:textId="77777777" w:rsidR="00676882" w:rsidRDefault="00676882" w:rsidP="00DF45FA">
            <w:pPr>
              <w:pStyle w:val="Tabletext"/>
            </w:pPr>
            <w:r>
              <w:t>i) Performance 3-stars - 2 year</w:t>
            </w:r>
          </w:p>
        </w:tc>
        <w:tc>
          <w:tcPr>
            <w:tcW w:w="2645" w:type="dxa"/>
            <w:shd w:val="clear" w:color="auto" w:fill="auto"/>
            <w:vAlign w:val="center"/>
          </w:tcPr>
          <w:p w14:paraId="4DC91A9E" w14:textId="77777777" w:rsidR="00676882" w:rsidRDefault="00676882" w:rsidP="00DF45FA">
            <w:pPr>
              <w:pStyle w:val="Tabletext"/>
              <w:jc w:val="right"/>
            </w:pPr>
            <w:r w:rsidRPr="002C6E25">
              <w:t>0.04</w:t>
            </w:r>
          </w:p>
        </w:tc>
        <w:tc>
          <w:tcPr>
            <w:tcW w:w="2646" w:type="dxa"/>
            <w:shd w:val="clear" w:color="auto" w:fill="auto"/>
            <w:vAlign w:val="center"/>
          </w:tcPr>
          <w:p w14:paraId="370EFD5C" w14:textId="77777777" w:rsidR="00676882" w:rsidRPr="006B0263" w:rsidRDefault="00676882" w:rsidP="00DF45FA">
            <w:pPr>
              <w:pStyle w:val="Tabletext"/>
              <w:jc w:val="right"/>
              <w:rPr>
                <w:color w:val="C00000"/>
              </w:rPr>
            </w:pPr>
            <w:r w:rsidRPr="006B0263">
              <w:rPr>
                <w:color w:val="C00000"/>
              </w:rPr>
              <w:t>-$202.94</w:t>
            </w:r>
          </w:p>
        </w:tc>
      </w:tr>
      <w:tr w:rsidR="00676882" w14:paraId="47B2BE34" w14:textId="77777777" w:rsidTr="00DF45FA">
        <w:trPr>
          <w:gridBefore w:val="1"/>
          <w:wBefore w:w="454" w:type="dxa"/>
        </w:trPr>
        <w:tc>
          <w:tcPr>
            <w:tcW w:w="2645" w:type="dxa"/>
            <w:shd w:val="clear" w:color="auto" w:fill="auto"/>
            <w:vAlign w:val="bottom"/>
          </w:tcPr>
          <w:p w14:paraId="753C06C0" w14:textId="77777777" w:rsidR="00676882" w:rsidRDefault="00676882" w:rsidP="00DF45FA">
            <w:pPr>
              <w:pStyle w:val="Tabletext"/>
            </w:pPr>
            <w:r>
              <w:t>j) Performance 3-stars - 4 year</w:t>
            </w:r>
          </w:p>
        </w:tc>
        <w:tc>
          <w:tcPr>
            <w:tcW w:w="2645" w:type="dxa"/>
            <w:shd w:val="clear" w:color="auto" w:fill="auto"/>
            <w:vAlign w:val="center"/>
          </w:tcPr>
          <w:p w14:paraId="1ADBFCF2" w14:textId="77777777" w:rsidR="00676882" w:rsidRDefault="00676882" w:rsidP="00DF45FA">
            <w:pPr>
              <w:pStyle w:val="Tabletext"/>
              <w:jc w:val="right"/>
            </w:pPr>
            <w:r w:rsidRPr="002C6E25">
              <w:t>0.04</w:t>
            </w:r>
          </w:p>
        </w:tc>
        <w:tc>
          <w:tcPr>
            <w:tcW w:w="2646" w:type="dxa"/>
            <w:shd w:val="clear" w:color="auto" w:fill="auto"/>
            <w:vAlign w:val="center"/>
          </w:tcPr>
          <w:p w14:paraId="048399DF" w14:textId="77777777" w:rsidR="00676882" w:rsidRPr="006B0263" w:rsidRDefault="00676882" w:rsidP="00DF45FA">
            <w:pPr>
              <w:pStyle w:val="Tabletext"/>
              <w:jc w:val="right"/>
              <w:rPr>
                <w:color w:val="C00000"/>
              </w:rPr>
            </w:pPr>
            <w:r w:rsidRPr="006B0263">
              <w:rPr>
                <w:color w:val="C00000"/>
              </w:rPr>
              <w:t>-$201.48</w:t>
            </w:r>
          </w:p>
        </w:tc>
      </w:tr>
      <w:tr w:rsidR="00676882" w14:paraId="7C8C3209" w14:textId="77777777" w:rsidTr="00DF45FA">
        <w:trPr>
          <w:gridBefore w:val="1"/>
          <w:wBefore w:w="454" w:type="dxa"/>
        </w:trPr>
        <w:tc>
          <w:tcPr>
            <w:tcW w:w="7936" w:type="dxa"/>
            <w:gridSpan w:val="3"/>
            <w:tcBorders>
              <w:bottom w:val="single" w:sz="4" w:space="0" w:color="646464"/>
            </w:tcBorders>
            <w:shd w:val="clear" w:color="auto" w:fill="auto"/>
          </w:tcPr>
          <w:p w14:paraId="2F37A197" w14:textId="77777777" w:rsidR="00676882" w:rsidRDefault="00676882" w:rsidP="00DF45FA">
            <w:pPr>
              <w:pStyle w:val="Source"/>
            </w:pPr>
            <w:r>
              <w:rPr>
                <w:i w:val="0"/>
                <w:iCs/>
              </w:rPr>
              <w:t>Note: All scenarios are presented with a social cost of carbon calculated at 3 per cent discount rate.</w:t>
            </w:r>
          </w:p>
          <w:p w14:paraId="043EE963" w14:textId="77777777" w:rsidR="00676882" w:rsidRDefault="00676882" w:rsidP="00DF45FA">
            <w:pPr>
              <w:pStyle w:val="Source"/>
            </w:pPr>
            <w:r>
              <w:t>Source: ACIL Allen</w:t>
            </w:r>
          </w:p>
        </w:tc>
      </w:tr>
      <w:tr w:rsidR="00676882" w14:paraId="26B14B80" w14:textId="77777777" w:rsidTr="00DF45FA">
        <w:trPr>
          <w:gridBefore w:val="1"/>
          <w:wBefore w:w="454" w:type="dxa"/>
          <w:trHeight w:hRule="exact" w:val="160"/>
        </w:trPr>
        <w:tc>
          <w:tcPr>
            <w:tcW w:w="7936" w:type="dxa"/>
            <w:gridSpan w:val="3"/>
            <w:tcBorders>
              <w:top w:val="single" w:sz="4" w:space="0" w:color="646464"/>
              <w:bottom w:val="nil"/>
            </w:tcBorders>
            <w:shd w:val="clear" w:color="auto" w:fill="auto"/>
          </w:tcPr>
          <w:p w14:paraId="29687084" w14:textId="77777777" w:rsidR="00676882" w:rsidRDefault="00676882" w:rsidP="00DF45FA">
            <w:pPr>
              <w:pStyle w:val="spacer"/>
            </w:pPr>
          </w:p>
        </w:tc>
      </w:tr>
    </w:tbl>
    <w:p w14:paraId="7AAA3547" w14:textId="77777777" w:rsidR="00676882" w:rsidRDefault="00676882" w:rsidP="00676882">
      <w:pPr>
        <w:pStyle w:val="BodyText"/>
      </w:pPr>
      <w:r>
        <w:t xml:space="preserve">Sensitivity testing of health impacts involves two changes. The first is to substitute all energy cost savings for health benefits, the second is to test the breakeven point for health benefits. Given the uncertainties discussed above, the results are highly speculative (that is, the feasibility of the two constraints is highly uncertain). The sensitivity testing is given in </w:t>
      </w:r>
      <w:r w:rsidRPr="009E4AB1">
        <w:fldChar w:fldCharType="begin"/>
      </w:r>
      <w:r w:rsidRPr="009E4AB1">
        <w:instrText xml:space="preserve"> REF _Ref75906352 \h  \* MERGEFORMAT </w:instrText>
      </w:r>
      <w:r w:rsidRPr="009E4AB1">
        <w:fldChar w:fldCharType="separate"/>
      </w:r>
      <w:r w:rsidRPr="00F32FCC">
        <w:t>Table 5.10</w:t>
      </w:r>
      <w:r w:rsidRPr="009E4AB1">
        <w:fldChar w:fldCharType="end"/>
      </w:r>
      <w:r>
        <w:t>. The results can be interpreted as ‘i</w:t>
      </w:r>
      <w:r w:rsidRPr="00CC5E8F">
        <w:t>f</w:t>
      </w:r>
      <w:r>
        <w:t xml:space="preserve"> </w:t>
      </w:r>
      <w:r w:rsidRPr="00CC5E8F">
        <w:t>all</w:t>
      </w:r>
      <w:r>
        <w:t xml:space="preserve"> the household energy savings </w:t>
      </w:r>
      <w:r w:rsidRPr="00CC5E8F">
        <w:t>are</w:t>
      </w:r>
      <w:r>
        <w:t xml:space="preserve"> </w:t>
      </w:r>
      <w:r w:rsidRPr="00CC5E8F">
        <w:t>received</w:t>
      </w:r>
      <w:r>
        <w:t xml:space="preserve"> </w:t>
      </w:r>
      <w:r w:rsidRPr="00CC5E8F">
        <w:t>as</w:t>
      </w:r>
      <w:r>
        <w:t xml:space="preserve"> </w:t>
      </w:r>
      <w:r w:rsidRPr="00CC5E8F">
        <w:t>health</w:t>
      </w:r>
      <w:r>
        <w:t xml:space="preserve"> </w:t>
      </w:r>
      <w:r w:rsidRPr="00CC5E8F">
        <w:t>benefits</w:t>
      </w:r>
      <w:r>
        <w:t xml:space="preserve"> </w:t>
      </w:r>
      <w:r w:rsidRPr="00CC5E8F">
        <w:t>(</w:t>
      </w:r>
      <w:proofErr w:type="gramStart"/>
      <w:r w:rsidRPr="00CC5E8F">
        <w:t>i.e.</w:t>
      </w:r>
      <w:proofErr w:type="gramEnd"/>
      <w:r>
        <w:t xml:space="preserve"> </w:t>
      </w:r>
      <w:r w:rsidRPr="00CC5E8F">
        <w:t>no</w:t>
      </w:r>
      <w:r>
        <w:t xml:space="preserve"> </w:t>
      </w:r>
      <w:r w:rsidRPr="00CC5E8F">
        <w:t>energy</w:t>
      </w:r>
      <w:r>
        <w:t xml:space="preserve"> </w:t>
      </w:r>
      <w:r w:rsidRPr="00CC5E8F">
        <w:t>efficiency</w:t>
      </w:r>
      <w:r>
        <w:t xml:space="preserve"> </w:t>
      </w:r>
      <w:r w:rsidRPr="00CC5E8F">
        <w:t>savings),</w:t>
      </w:r>
      <w:r>
        <w:t xml:space="preserve"> </w:t>
      </w:r>
      <w:r w:rsidRPr="00CC5E8F">
        <w:t>health</w:t>
      </w:r>
      <w:r>
        <w:t xml:space="preserve"> </w:t>
      </w:r>
      <w:r w:rsidRPr="00CC5E8F">
        <w:t>benefits</w:t>
      </w:r>
      <w:r>
        <w:t xml:space="preserve"> </w:t>
      </w:r>
      <w:r w:rsidRPr="00CC5E8F">
        <w:t>would</w:t>
      </w:r>
      <w:r>
        <w:t xml:space="preserve"> </w:t>
      </w:r>
      <w:r w:rsidRPr="00CC5E8F">
        <w:t>have</w:t>
      </w:r>
      <w:r>
        <w:t xml:space="preserve"> </w:t>
      </w:r>
      <w:r w:rsidRPr="00CC5E8F">
        <w:t>to</w:t>
      </w:r>
      <w:r>
        <w:t xml:space="preserve"> </w:t>
      </w:r>
      <w:r w:rsidRPr="00CC5E8F">
        <w:t>be</w:t>
      </w:r>
      <w:r>
        <w:t xml:space="preserve"> X per cent higher than estimated in the central case’. So, for instance, </w:t>
      </w:r>
      <w:r w:rsidRPr="00CC5E8F">
        <w:t>for</w:t>
      </w:r>
      <w:r>
        <w:t xml:space="preserve"> </w:t>
      </w:r>
      <w:r w:rsidRPr="00CC5E8F">
        <w:t>the</w:t>
      </w:r>
      <w:r>
        <w:t xml:space="preserve"> R3 </w:t>
      </w:r>
      <w:r w:rsidRPr="00CC5E8F">
        <w:t>insulation</w:t>
      </w:r>
      <w:r>
        <w:t xml:space="preserve"> </w:t>
      </w:r>
      <w:r w:rsidRPr="00CC5E8F">
        <w:t>options</w:t>
      </w:r>
      <w:r>
        <w:t xml:space="preserve"> </w:t>
      </w:r>
      <w:r w:rsidRPr="00CC5E8F">
        <w:t>to</w:t>
      </w:r>
      <w:r>
        <w:t xml:space="preserve"> </w:t>
      </w:r>
      <w:r w:rsidRPr="00CC5E8F">
        <w:t>break</w:t>
      </w:r>
      <w:r>
        <w:t xml:space="preserve"> </w:t>
      </w:r>
      <w:r w:rsidRPr="00CC5E8F">
        <w:t>even</w:t>
      </w:r>
      <w:r>
        <w:t xml:space="preserve"> </w:t>
      </w:r>
      <w:r w:rsidRPr="00CC5E8F">
        <w:t>for</w:t>
      </w:r>
      <w:r>
        <w:t xml:space="preserve"> </w:t>
      </w:r>
      <w:r w:rsidRPr="00CC5E8F">
        <w:t>society</w:t>
      </w:r>
      <w:r>
        <w:t xml:space="preserve">, the health benefits would have to be six </w:t>
      </w:r>
      <w:r w:rsidRPr="00CC5E8F">
        <w:t>times</w:t>
      </w:r>
      <w:r>
        <w:t xml:space="preserve"> </w:t>
      </w:r>
      <w:r w:rsidRPr="00CC5E8F">
        <w:t>larger</w:t>
      </w:r>
      <w:r>
        <w:t xml:space="preserve"> </w:t>
      </w:r>
      <w:r w:rsidRPr="00CC5E8F">
        <w:t>than</w:t>
      </w:r>
      <w:r>
        <w:t xml:space="preserve"> </w:t>
      </w:r>
      <w:r w:rsidRPr="00CC5E8F">
        <w:t>we</w:t>
      </w:r>
      <w:r>
        <w:t xml:space="preserve"> </w:t>
      </w:r>
      <w:r w:rsidRPr="00CC5E8F">
        <w:t>estimate</w:t>
      </w:r>
      <w:r>
        <w:t xml:space="preserve"> </w:t>
      </w:r>
      <w:r w:rsidRPr="00CC5E8F">
        <w:t>them</w:t>
      </w:r>
      <w:r>
        <w:t xml:space="preserve"> </w:t>
      </w:r>
      <w:r w:rsidRPr="00CC5E8F">
        <w:t>to</w:t>
      </w:r>
      <w:r>
        <w:t xml:space="preserve"> </w:t>
      </w:r>
      <w:r w:rsidRPr="00CC5E8F">
        <w:t>be</w:t>
      </w:r>
      <w:r>
        <w:t xml:space="preserve"> when households receive all energy benefits as health benefits (</w:t>
      </w:r>
      <w:proofErr w:type="gramStart"/>
      <w:r>
        <w:t>i.e.</w:t>
      </w:r>
      <w:proofErr w:type="gramEnd"/>
      <w:r>
        <w:t xml:space="preserve"> when energy bill savings are zero)</w:t>
      </w:r>
      <w:r w:rsidRPr="00CC5E8F">
        <w:t>.</w:t>
      </w:r>
    </w:p>
    <w:p w14:paraId="6ECAE571" w14:textId="77777777" w:rsidR="00676882" w:rsidRDefault="00676882" w:rsidP="00676882">
      <w:pPr>
        <w:pStyle w:val="Caption"/>
      </w:pPr>
      <w:bookmarkStart w:id="309" w:name="_Ref75906352"/>
      <w:bookmarkStart w:id="310" w:name="_Toc80719335"/>
      <w:r w:rsidRPr="002E180C">
        <w:rPr>
          <w:rStyle w:val="CaptionLabel"/>
        </w:rPr>
        <w:lastRenderedPageBreak/>
        <w:t>Table </w:t>
      </w:r>
      <w:r w:rsidRPr="002E180C">
        <w:rPr>
          <w:rStyle w:val="CaptionLabel"/>
        </w:rPr>
        <w:fldChar w:fldCharType="begin"/>
      </w:r>
      <w:r w:rsidRPr="002E180C">
        <w:rPr>
          <w:rStyle w:val="CaptionLabel"/>
        </w:rPr>
        <w:instrText xml:space="preserve"> STYLEREF 1 \S \* MERGEFORMAT </w:instrText>
      </w:r>
      <w:r w:rsidRPr="002E180C">
        <w:rPr>
          <w:rStyle w:val="CaptionLabel"/>
        </w:rPr>
        <w:fldChar w:fldCharType="separate"/>
      </w:r>
      <w:r>
        <w:rPr>
          <w:rStyle w:val="CaptionLabel"/>
          <w:noProof/>
        </w:rPr>
        <w:t>5</w:t>
      </w:r>
      <w:r w:rsidRPr="002E180C">
        <w:rPr>
          <w:rStyle w:val="CaptionLabel"/>
        </w:rPr>
        <w:fldChar w:fldCharType="end"/>
      </w:r>
      <w:r w:rsidRPr="002E180C">
        <w:rPr>
          <w:rStyle w:val="CaptionLabel"/>
        </w:rPr>
        <w:t>.</w:t>
      </w:r>
      <w:r w:rsidRPr="002E180C">
        <w:rPr>
          <w:rStyle w:val="CaptionLabel"/>
        </w:rPr>
        <w:fldChar w:fldCharType="begin"/>
      </w:r>
      <w:r w:rsidRPr="002E180C">
        <w:rPr>
          <w:rStyle w:val="CaptionLabel"/>
        </w:rPr>
        <w:instrText xml:space="preserve"> SEQ Table \* ARABIC \S 1 \* MERGEFORMAT </w:instrText>
      </w:r>
      <w:r w:rsidRPr="002E180C">
        <w:rPr>
          <w:rStyle w:val="CaptionLabel"/>
        </w:rPr>
        <w:fldChar w:fldCharType="separate"/>
      </w:r>
      <w:r>
        <w:rPr>
          <w:rStyle w:val="CaptionLabel"/>
          <w:noProof/>
        </w:rPr>
        <w:t>10</w:t>
      </w:r>
      <w:r w:rsidRPr="002E180C">
        <w:rPr>
          <w:rStyle w:val="CaptionLabel"/>
        </w:rPr>
        <w:fldChar w:fldCharType="end"/>
      </w:r>
      <w:bookmarkEnd w:id="309"/>
      <w:r>
        <w:tab/>
        <w:t>Breakeven point for health benefits</w:t>
      </w:r>
      <w:bookmarkEnd w:id="310"/>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10"/>
        <w:tblDescription w:val="Breakeven point for health benefits"/>
      </w:tblPr>
      <w:tblGrid>
        <w:gridCol w:w="454"/>
        <w:gridCol w:w="3968"/>
        <w:gridCol w:w="3968"/>
      </w:tblGrid>
      <w:tr w:rsidR="00676882" w14:paraId="374B17A2" w14:textId="77777777" w:rsidTr="00DF45FA">
        <w:trPr>
          <w:tblHeader/>
        </w:trPr>
        <w:tc>
          <w:tcPr>
            <w:tcW w:w="4422" w:type="dxa"/>
            <w:gridSpan w:val="2"/>
            <w:tcBorders>
              <w:top w:val="nil"/>
              <w:bottom w:val="nil"/>
            </w:tcBorders>
            <w:shd w:val="clear" w:color="auto" w:fill="140034"/>
            <w:tcMar>
              <w:left w:w="454" w:type="dxa"/>
            </w:tcMar>
          </w:tcPr>
          <w:p w14:paraId="78D11B9B" w14:textId="77777777" w:rsidR="00676882" w:rsidRDefault="00676882" w:rsidP="00DF45FA">
            <w:pPr>
              <w:pStyle w:val="Tablecolumnheadings"/>
            </w:pPr>
            <w:r>
              <w:t>Scenario</w:t>
            </w:r>
          </w:p>
        </w:tc>
        <w:tc>
          <w:tcPr>
            <w:tcW w:w="3968" w:type="dxa"/>
            <w:tcBorders>
              <w:top w:val="nil"/>
              <w:bottom w:val="nil"/>
              <w:right w:val="single" w:sz="6" w:space="0" w:color="140034"/>
            </w:tcBorders>
            <w:shd w:val="clear" w:color="auto" w:fill="140034"/>
          </w:tcPr>
          <w:p w14:paraId="091CF762" w14:textId="77777777" w:rsidR="00676882" w:rsidRDefault="00676882" w:rsidP="00DF45FA">
            <w:pPr>
              <w:pStyle w:val="Tablecolumnheadings"/>
              <w:jc w:val="center"/>
            </w:pPr>
            <w:r>
              <w:t>Breakeven point for health benefits – increase relative to assumed health benefits with no energy savings</w:t>
            </w:r>
          </w:p>
        </w:tc>
      </w:tr>
      <w:tr w:rsidR="00676882" w14:paraId="38FD808E" w14:textId="77777777" w:rsidTr="00DF45FA">
        <w:trPr>
          <w:gridBefore w:val="1"/>
          <w:wBefore w:w="454" w:type="dxa"/>
        </w:trPr>
        <w:tc>
          <w:tcPr>
            <w:tcW w:w="3968" w:type="dxa"/>
            <w:tcBorders>
              <w:top w:val="nil"/>
            </w:tcBorders>
            <w:shd w:val="clear" w:color="auto" w:fill="auto"/>
            <w:vAlign w:val="bottom"/>
          </w:tcPr>
          <w:p w14:paraId="56D6820F" w14:textId="77777777" w:rsidR="00676882" w:rsidRDefault="00676882" w:rsidP="00DF45FA">
            <w:pPr>
              <w:pStyle w:val="Tabletext"/>
            </w:pPr>
            <w:r>
              <w:t>a) Insulation R3 - 2 year</w:t>
            </w:r>
          </w:p>
        </w:tc>
        <w:tc>
          <w:tcPr>
            <w:tcW w:w="3968" w:type="dxa"/>
            <w:tcBorders>
              <w:top w:val="nil"/>
            </w:tcBorders>
            <w:shd w:val="clear" w:color="auto" w:fill="auto"/>
            <w:vAlign w:val="center"/>
          </w:tcPr>
          <w:p w14:paraId="7E485BFA" w14:textId="77777777" w:rsidR="00676882" w:rsidRDefault="00676882" w:rsidP="00DF45FA">
            <w:pPr>
              <w:pStyle w:val="Tabletext"/>
              <w:jc w:val="center"/>
            </w:pPr>
            <w:r>
              <w:t>615</w:t>
            </w:r>
            <w:r w:rsidRPr="00D64D7D">
              <w:t>%</w:t>
            </w:r>
          </w:p>
        </w:tc>
      </w:tr>
      <w:tr w:rsidR="00676882" w14:paraId="2E917ED9" w14:textId="77777777" w:rsidTr="00DF45FA">
        <w:trPr>
          <w:gridBefore w:val="1"/>
          <w:wBefore w:w="454" w:type="dxa"/>
        </w:trPr>
        <w:tc>
          <w:tcPr>
            <w:tcW w:w="3968" w:type="dxa"/>
            <w:shd w:val="clear" w:color="auto" w:fill="auto"/>
            <w:vAlign w:val="bottom"/>
          </w:tcPr>
          <w:p w14:paraId="70398F71" w14:textId="77777777" w:rsidR="00676882" w:rsidRDefault="00676882" w:rsidP="00DF45FA">
            <w:pPr>
              <w:pStyle w:val="Tabletext"/>
            </w:pPr>
            <w:r>
              <w:t>b) Insulation R3 - 4 year</w:t>
            </w:r>
          </w:p>
        </w:tc>
        <w:tc>
          <w:tcPr>
            <w:tcW w:w="3968" w:type="dxa"/>
            <w:shd w:val="clear" w:color="auto" w:fill="auto"/>
            <w:vAlign w:val="center"/>
          </w:tcPr>
          <w:p w14:paraId="6B40C34E" w14:textId="77777777" w:rsidR="00676882" w:rsidRDefault="00676882" w:rsidP="00DF45FA">
            <w:pPr>
              <w:pStyle w:val="Tabletext"/>
              <w:jc w:val="center"/>
            </w:pPr>
            <w:r>
              <w:t>605%</w:t>
            </w:r>
          </w:p>
        </w:tc>
      </w:tr>
      <w:tr w:rsidR="00676882" w14:paraId="0F58C3AB" w14:textId="77777777" w:rsidTr="00DF45FA">
        <w:trPr>
          <w:gridBefore w:val="1"/>
          <w:wBefore w:w="454" w:type="dxa"/>
        </w:trPr>
        <w:tc>
          <w:tcPr>
            <w:tcW w:w="3968" w:type="dxa"/>
            <w:shd w:val="clear" w:color="auto" w:fill="auto"/>
            <w:vAlign w:val="bottom"/>
          </w:tcPr>
          <w:p w14:paraId="1EBC19E2" w14:textId="77777777" w:rsidR="00676882" w:rsidRDefault="00676882" w:rsidP="00DF45FA">
            <w:pPr>
              <w:pStyle w:val="Tabletext"/>
            </w:pPr>
            <w:r>
              <w:t>c) Insulation R5 - 2 year</w:t>
            </w:r>
          </w:p>
        </w:tc>
        <w:tc>
          <w:tcPr>
            <w:tcW w:w="3968" w:type="dxa"/>
            <w:shd w:val="clear" w:color="auto" w:fill="auto"/>
            <w:vAlign w:val="center"/>
          </w:tcPr>
          <w:p w14:paraId="3139BEC8" w14:textId="77777777" w:rsidR="00676882" w:rsidRDefault="00676882" w:rsidP="00DF45FA">
            <w:pPr>
              <w:pStyle w:val="Tabletext"/>
              <w:jc w:val="center"/>
            </w:pPr>
            <w:r>
              <w:t>705%</w:t>
            </w:r>
          </w:p>
        </w:tc>
      </w:tr>
      <w:tr w:rsidR="00676882" w14:paraId="5BDA95B6" w14:textId="77777777" w:rsidTr="00DF45FA">
        <w:trPr>
          <w:gridBefore w:val="1"/>
          <w:wBefore w:w="454" w:type="dxa"/>
        </w:trPr>
        <w:tc>
          <w:tcPr>
            <w:tcW w:w="3968" w:type="dxa"/>
            <w:shd w:val="clear" w:color="auto" w:fill="auto"/>
            <w:vAlign w:val="bottom"/>
          </w:tcPr>
          <w:p w14:paraId="5B5735C3" w14:textId="77777777" w:rsidR="00676882" w:rsidRDefault="00676882" w:rsidP="00DF45FA">
            <w:pPr>
              <w:pStyle w:val="Tabletext"/>
            </w:pPr>
            <w:r>
              <w:t>d) Insulation R5 - 4 year</w:t>
            </w:r>
          </w:p>
        </w:tc>
        <w:tc>
          <w:tcPr>
            <w:tcW w:w="3968" w:type="dxa"/>
            <w:shd w:val="clear" w:color="auto" w:fill="auto"/>
            <w:vAlign w:val="center"/>
          </w:tcPr>
          <w:p w14:paraId="3BB64DFC" w14:textId="77777777" w:rsidR="00676882" w:rsidRDefault="00676882" w:rsidP="00DF45FA">
            <w:pPr>
              <w:pStyle w:val="Tabletext"/>
              <w:jc w:val="center"/>
            </w:pPr>
            <w:r>
              <w:t>696%</w:t>
            </w:r>
          </w:p>
        </w:tc>
      </w:tr>
      <w:tr w:rsidR="00676882" w14:paraId="60D9B1B5" w14:textId="77777777" w:rsidTr="00DF45FA">
        <w:trPr>
          <w:gridBefore w:val="1"/>
          <w:wBefore w:w="454" w:type="dxa"/>
        </w:trPr>
        <w:tc>
          <w:tcPr>
            <w:tcW w:w="3968" w:type="dxa"/>
            <w:shd w:val="clear" w:color="auto" w:fill="auto"/>
            <w:vAlign w:val="bottom"/>
          </w:tcPr>
          <w:p w14:paraId="6BAE46CC" w14:textId="77777777" w:rsidR="00676882" w:rsidRDefault="00676882" w:rsidP="00DF45FA">
            <w:pPr>
              <w:pStyle w:val="Tabletext"/>
            </w:pPr>
            <w:r>
              <w:t>e) Heater - 2 year</w:t>
            </w:r>
          </w:p>
        </w:tc>
        <w:tc>
          <w:tcPr>
            <w:tcW w:w="3968" w:type="dxa"/>
            <w:shd w:val="clear" w:color="auto" w:fill="auto"/>
            <w:vAlign w:val="center"/>
          </w:tcPr>
          <w:p w14:paraId="17DEFE97" w14:textId="77777777" w:rsidR="00676882" w:rsidRDefault="00676882" w:rsidP="00DF45FA">
            <w:pPr>
              <w:pStyle w:val="Tabletext"/>
              <w:jc w:val="center"/>
            </w:pPr>
            <w:r>
              <w:t>932%</w:t>
            </w:r>
          </w:p>
        </w:tc>
      </w:tr>
      <w:tr w:rsidR="00676882" w14:paraId="70106685" w14:textId="77777777" w:rsidTr="00DF45FA">
        <w:trPr>
          <w:gridBefore w:val="1"/>
          <w:wBefore w:w="454" w:type="dxa"/>
        </w:trPr>
        <w:tc>
          <w:tcPr>
            <w:tcW w:w="3968" w:type="dxa"/>
            <w:shd w:val="clear" w:color="auto" w:fill="auto"/>
            <w:vAlign w:val="bottom"/>
          </w:tcPr>
          <w:p w14:paraId="1A835834" w14:textId="77777777" w:rsidR="00676882" w:rsidRDefault="00676882" w:rsidP="00DF45FA">
            <w:pPr>
              <w:pStyle w:val="Tabletext"/>
            </w:pPr>
            <w:r>
              <w:t>f) Heater - 4 year</w:t>
            </w:r>
          </w:p>
        </w:tc>
        <w:tc>
          <w:tcPr>
            <w:tcW w:w="3968" w:type="dxa"/>
            <w:shd w:val="clear" w:color="auto" w:fill="auto"/>
            <w:vAlign w:val="center"/>
          </w:tcPr>
          <w:p w14:paraId="3BDB8880" w14:textId="77777777" w:rsidR="00676882" w:rsidRDefault="00676882" w:rsidP="00DF45FA">
            <w:pPr>
              <w:pStyle w:val="Tabletext"/>
              <w:jc w:val="center"/>
            </w:pPr>
            <w:r>
              <w:t>935%</w:t>
            </w:r>
          </w:p>
        </w:tc>
      </w:tr>
      <w:tr w:rsidR="00676882" w14:paraId="59EE3A9B" w14:textId="77777777" w:rsidTr="00DF45FA">
        <w:trPr>
          <w:gridBefore w:val="1"/>
          <w:wBefore w:w="454" w:type="dxa"/>
        </w:trPr>
        <w:tc>
          <w:tcPr>
            <w:tcW w:w="3968" w:type="dxa"/>
            <w:shd w:val="clear" w:color="auto" w:fill="auto"/>
            <w:vAlign w:val="bottom"/>
          </w:tcPr>
          <w:p w14:paraId="4039FC38" w14:textId="77777777" w:rsidR="00676882" w:rsidRDefault="00676882" w:rsidP="00DF45FA">
            <w:pPr>
              <w:pStyle w:val="Tabletext"/>
            </w:pPr>
            <w:r>
              <w:t>g) Performance 2-stars - 2 year</w:t>
            </w:r>
          </w:p>
        </w:tc>
        <w:tc>
          <w:tcPr>
            <w:tcW w:w="3968" w:type="dxa"/>
            <w:shd w:val="clear" w:color="auto" w:fill="auto"/>
            <w:vAlign w:val="center"/>
          </w:tcPr>
          <w:p w14:paraId="0B8DCC96" w14:textId="77777777" w:rsidR="00676882" w:rsidRDefault="00676882" w:rsidP="00DF45FA">
            <w:pPr>
              <w:pStyle w:val="Tabletext"/>
              <w:jc w:val="center"/>
            </w:pPr>
            <w:r>
              <w:t>2149%</w:t>
            </w:r>
          </w:p>
        </w:tc>
      </w:tr>
      <w:tr w:rsidR="00676882" w14:paraId="34EA33E1" w14:textId="77777777" w:rsidTr="00DF45FA">
        <w:trPr>
          <w:gridBefore w:val="1"/>
          <w:wBefore w:w="454" w:type="dxa"/>
        </w:trPr>
        <w:tc>
          <w:tcPr>
            <w:tcW w:w="3968" w:type="dxa"/>
            <w:shd w:val="clear" w:color="auto" w:fill="auto"/>
            <w:vAlign w:val="bottom"/>
          </w:tcPr>
          <w:p w14:paraId="234B3B48" w14:textId="77777777" w:rsidR="00676882" w:rsidRDefault="00676882" w:rsidP="00DF45FA">
            <w:pPr>
              <w:pStyle w:val="Tabletext"/>
            </w:pPr>
            <w:r>
              <w:t>h) Performance 2-stars - 4 year</w:t>
            </w:r>
          </w:p>
        </w:tc>
        <w:tc>
          <w:tcPr>
            <w:tcW w:w="3968" w:type="dxa"/>
            <w:shd w:val="clear" w:color="auto" w:fill="auto"/>
            <w:vAlign w:val="center"/>
          </w:tcPr>
          <w:p w14:paraId="182DED02" w14:textId="77777777" w:rsidR="00676882" w:rsidRDefault="00676882" w:rsidP="00DF45FA">
            <w:pPr>
              <w:pStyle w:val="Tabletext"/>
              <w:jc w:val="center"/>
            </w:pPr>
            <w:r>
              <w:t>2153%</w:t>
            </w:r>
          </w:p>
        </w:tc>
      </w:tr>
      <w:tr w:rsidR="00676882" w14:paraId="0E6BE1CE" w14:textId="77777777" w:rsidTr="00DF45FA">
        <w:trPr>
          <w:gridBefore w:val="1"/>
          <w:wBefore w:w="454" w:type="dxa"/>
        </w:trPr>
        <w:tc>
          <w:tcPr>
            <w:tcW w:w="3968" w:type="dxa"/>
            <w:shd w:val="clear" w:color="auto" w:fill="auto"/>
            <w:vAlign w:val="bottom"/>
          </w:tcPr>
          <w:p w14:paraId="17D50386" w14:textId="77777777" w:rsidR="00676882" w:rsidRDefault="00676882" w:rsidP="00DF45FA">
            <w:pPr>
              <w:pStyle w:val="Tabletext"/>
            </w:pPr>
            <w:r>
              <w:t>i) Performance 3-stars - 2 year</w:t>
            </w:r>
          </w:p>
        </w:tc>
        <w:tc>
          <w:tcPr>
            <w:tcW w:w="3968" w:type="dxa"/>
            <w:shd w:val="clear" w:color="auto" w:fill="auto"/>
            <w:vAlign w:val="center"/>
          </w:tcPr>
          <w:p w14:paraId="61F4FBC7" w14:textId="77777777" w:rsidR="00676882" w:rsidRDefault="00676882" w:rsidP="00DF45FA">
            <w:pPr>
              <w:pStyle w:val="Tabletext"/>
              <w:jc w:val="center"/>
            </w:pPr>
            <w:r>
              <w:t>2569%</w:t>
            </w:r>
          </w:p>
        </w:tc>
      </w:tr>
      <w:tr w:rsidR="00676882" w14:paraId="3C08F550" w14:textId="77777777" w:rsidTr="00DF45FA">
        <w:trPr>
          <w:gridBefore w:val="1"/>
          <w:wBefore w:w="454" w:type="dxa"/>
        </w:trPr>
        <w:tc>
          <w:tcPr>
            <w:tcW w:w="3968" w:type="dxa"/>
            <w:shd w:val="clear" w:color="auto" w:fill="auto"/>
            <w:vAlign w:val="bottom"/>
          </w:tcPr>
          <w:p w14:paraId="5BC24D83" w14:textId="77777777" w:rsidR="00676882" w:rsidRDefault="00676882" w:rsidP="00DF45FA">
            <w:pPr>
              <w:pStyle w:val="Tabletext"/>
            </w:pPr>
            <w:r>
              <w:t>j) Performance 3-stars - 4 year</w:t>
            </w:r>
          </w:p>
        </w:tc>
        <w:tc>
          <w:tcPr>
            <w:tcW w:w="3968" w:type="dxa"/>
            <w:shd w:val="clear" w:color="auto" w:fill="auto"/>
            <w:vAlign w:val="center"/>
          </w:tcPr>
          <w:p w14:paraId="482484D7" w14:textId="77777777" w:rsidR="00676882" w:rsidRDefault="00676882" w:rsidP="00DF45FA">
            <w:pPr>
              <w:pStyle w:val="Tabletext"/>
              <w:jc w:val="center"/>
            </w:pPr>
            <w:r>
              <w:t>2560%</w:t>
            </w:r>
          </w:p>
        </w:tc>
      </w:tr>
      <w:tr w:rsidR="00676882" w14:paraId="7147DC4F" w14:textId="77777777" w:rsidTr="00DF45FA">
        <w:trPr>
          <w:gridBefore w:val="1"/>
          <w:wBefore w:w="454" w:type="dxa"/>
        </w:trPr>
        <w:tc>
          <w:tcPr>
            <w:tcW w:w="7936" w:type="dxa"/>
            <w:gridSpan w:val="2"/>
            <w:tcBorders>
              <w:bottom w:val="single" w:sz="4" w:space="0" w:color="646464"/>
            </w:tcBorders>
            <w:shd w:val="clear" w:color="auto" w:fill="auto"/>
          </w:tcPr>
          <w:p w14:paraId="3EB7C34C" w14:textId="77777777" w:rsidR="00676882" w:rsidRDefault="00676882" w:rsidP="00DF45FA">
            <w:pPr>
              <w:pStyle w:val="Source"/>
            </w:pPr>
            <w:r>
              <w:rPr>
                <w:i w:val="0"/>
                <w:iCs/>
              </w:rPr>
              <w:t>Note: All scenarios are presented with a social cost of carbon calculated at 3 per cent discount rate.</w:t>
            </w:r>
          </w:p>
          <w:p w14:paraId="2ACC0E28" w14:textId="77777777" w:rsidR="00676882" w:rsidRDefault="00676882" w:rsidP="00DF45FA">
            <w:pPr>
              <w:pStyle w:val="Source"/>
            </w:pPr>
            <w:r>
              <w:t>Source: ACIL Allen</w:t>
            </w:r>
          </w:p>
        </w:tc>
      </w:tr>
      <w:tr w:rsidR="00676882" w14:paraId="45E228E4" w14:textId="77777777" w:rsidTr="00DF45FA">
        <w:trPr>
          <w:gridBefore w:val="1"/>
          <w:wBefore w:w="454" w:type="dxa"/>
          <w:trHeight w:hRule="exact" w:val="160"/>
        </w:trPr>
        <w:tc>
          <w:tcPr>
            <w:tcW w:w="7936" w:type="dxa"/>
            <w:gridSpan w:val="2"/>
            <w:tcBorders>
              <w:top w:val="single" w:sz="4" w:space="0" w:color="646464"/>
              <w:bottom w:val="nil"/>
            </w:tcBorders>
            <w:shd w:val="clear" w:color="auto" w:fill="auto"/>
          </w:tcPr>
          <w:p w14:paraId="6CDBC359" w14:textId="77777777" w:rsidR="00676882" w:rsidRDefault="00676882" w:rsidP="00DF45FA">
            <w:pPr>
              <w:pStyle w:val="spacer"/>
            </w:pPr>
          </w:p>
        </w:tc>
      </w:tr>
    </w:tbl>
    <w:p w14:paraId="10477A8A" w14:textId="77777777" w:rsidR="00676882" w:rsidRDefault="00676882" w:rsidP="00676882">
      <w:pPr>
        <w:pStyle w:val="BodyText"/>
      </w:pPr>
      <w:r>
        <w:t>Given the degree of uncertainty, these scenarios are highly speculative. The above results are intended to illustrate both how uncertain health benefits are, and how speculative the health benefits would have to be to make the proposed options preferred rather than dis-preferred without energy savings (in contrast to public health measures which are far more certain). Though, as noted, the benefits should be understood as a lower bound estimate.</w:t>
      </w:r>
    </w:p>
    <w:p w14:paraId="2134AD18" w14:textId="77777777" w:rsidR="00676882" w:rsidRDefault="00676882" w:rsidP="00676882">
      <w:pPr>
        <w:pStyle w:val="Heading3"/>
      </w:pPr>
      <w:bookmarkStart w:id="311" w:name="_Ref80467227"/>
      <w:r>
        <w:t>Upgrade costs</w:t>
      </w:r>
      <w:bookmarkEnd w:id="311"/>
    </w:p>
    <w:p w14:paraId="7CE12497" w14:textId="77777777" w:rsidR="00676882" w:rsidRPr="00C062C5" w:rsidRDefault="00676882" w:rsidP="00676882">
      <w:pPr>
        <w:pStyle w:val="BodyText"/>
      </w:pPr>
      <w:r>
        <w:t xml:space="preserve">The breakeven analysis for upgrade costs aims to answer the question ‘how much would the costs of upgrades have to decrease for a minimum standards policy to break even to society in cost-benefit terms for all scenarios?’ To answer this question a scalar for upgrade costs was used to find the breakeven point for each scenario (where NPV is zero with a three per cent discount rate). The results are presented in </w:t>
      </w:r>
      <w:r>
        <w:fldChar w:fldCharType="begin"/>
      </w:r>
      <w:r>
        <w:instrText xml:space="preserve"> REF _Ref80719359 \h </w:instrText>
      </w:r>
      <w:r>
        <w:fldChar w:fldCharType="separate"/>
      </w:r>
      <w:r w:rsidRPr="003D5786">
        <w:rPr>
          <w:rStyle w:val="CaptionLabel"/>
        </w:rPr>
        <w:t>Table </w:t>
      </w:r>
      <w:r>
        <w:rPr>
          <w:rStyle w:val="CaptionLabel"/>
          <w:noProof/>
        </w:rPr>
        <w:t>5</w:t>
      </w:r>
      <w:r w:rsidRPr="003D5786">
        <w:rPr>
          <w:rStyle w:val="CaptionLabel"/>
        </w:rPr>
        <w:t>.</w:t>
      </w:r>
      <w:r>
        <w:rPr>
          <w:rStyle w:val="CaptionLabel"/>
          <w:noProof/>
        </w:rPr>
        <w:t>11</w:t>
      </w:r>
      <w:r>
        <w:fldChar w:fldCharType="end"/>
      </w:r>
      <w:r>
        <w:t xml:space="preserve">. They show that </w:t>
      </w:r>
      <w:r w:rsidRPr="00C062C5">
        <w:t>the</w:t>
      </w:r>
      <w:r>
        <w:t xml:space="preserve"> upgrade costs </w:t>
      </w:r>
      <w:r w:rsidRPr="00C062C5">
        <w:t>would</w:t>
      </w:r>
      <w:r>
        <w:t xml:space="preserve"> </w:t>
      </w:r>
      <w:r w:rsidRPr="00C062C5">
        <w:t>need</w:t>
      </w:r>
      <w:r>
        <w:t xml:space="preserve"> </w:t>
      </w:r>
      <w:r w:rsidRPr="00C062C5">
        <w:t>to</w:t>
      </w:r>
      <w:r>
        <w:t xml:space="preserve"> </w:t>
      </w:r>
      <w:r w:rsidRPr="00C062C5">
        <w:t>be:</w:t>
      </w:r>
    </w:p>
    <w:p w14:paraId="6445C1DE" w14:textId="77777777" w:rsidR="00676882" w:rsidRPr="00C062C5" w:rsidRDefault="00676882" w:rsidP="00676882">
      <w:pPr>
        <w:pStyle w:val="ListBullet"/>
      </w:pPr>
      <w:r>
        <w:t>about 46 per cent lower for heater options to become net positive for society</w:t>
      </w:r>
    </w:p>
    <w:p w14:paraId="632B5C28" w14:textId="77777777" w:rsidR="00676882" w:rsidRPr="00C062C5" w:rsidRDefault="00676882" w:rsidP="00676882">
      <w:pPr>
        <w:pStyle w:val="ListBullet"/>
      </w:pPr>
      <w:r>
        <w:t xml:space="preserve">about 52 per cent lower for 3-star performance options to become net positive for society </w:t>
      </w:r>
    </w:p>
    <w:p w14:paraId="117B43B3" w14:textId="77777777" w:rsidR="00676882" w:rsidRDefault="00676882" w:rsidP="00676882">
      <w:pPr>
        <w:pStyle w:val="ListBullet"/>
      </w:pPr>
      <w:r>
        <w:t>about 77 per cent lower for 2-star performance options to become net positive for society.</w:t>
      </w:r>
    </w:p>
    <w:p w14:paraId="40E0E359" w14:textId="77777777" w:rsidR="00676882" w:rsidRDefault="00676882" w:rsidP="00676882">
      <w:pPr>
        <w:pStyle w:val="BodyText"/>
      </w:pPr>
      <w:r>
        <w:t>All these decreases in upgrade costs do not change the ordinal ranking of the options.</w:t>
      </w:r>
    </w:p>
    <w:p w14:paraId="0E7EA573" w14:textId="77777777" w:rsidR="00676882" w:rsidRDefault="00676882" w:rsidP="00676882">
      <w:pPr>
        <w:pStyle w:val="Caption"/>
      </w:pPr>
      <w:bookmarkStart w:id="312" w:name="_Ref80719359"/>
      <w:bookmarkStart w:id="313" w:name="_Toc80719336"/>
      <w:bookmarkStart w:id="314" w:name="_Ref80719358"/>
      <w:r w:rsidRPr="003D5786">
        <w:rPr>
          <w:rStyle w:val="CaptionLabel"/>
        </w:rPr>
        <w:t>Table </w:t>
      </w:r>
      <w:r w:rsidRPr="003D5786">
        <w:rPr>
          <w:rStyle w:val="CaptionLabel"/>
        </w:rPr>
        <w:fldChar w:fldCharType="begin"/>
      </w:r>
      <w:r w:rsidRPr="003D5786">
        <w:rPr>
          <w:rStyle w:val="CaptionLabel"/>
        </w:rPr>
        <w:instrText xml:space="preserve"> STYLEREF 1 \S \* MERGEFORMAT </w:instrText>
      </w:r>
      <w:r w:rsidRPr="003D5786">
        <w:rPr>
          <w:rStyle w:val="CaptionLabel"/>
        </w:rPr>
        <w:fldChar w:fldCharType="separate"/>
      </w:r>
      <w:r>
        <w:rPr>
          <w:rStyle w:val="CaptionLabel"/>
          <w:noProof/>
        </w:rPr>
        <w:t>5</w:t>
      </w:r>
      <w:r w:rsidRPr="003D5786">
        <w:rPr>
          <w:rStyle w:val="CaptionLabel"/>
        </w:rPr>
        <w:fldChar w:fldCharType="end"/>
      </w:r>
      <w:r w:rsidRPr="003D5786">
        <w:rPr>
          <w:rStyle w:val="CaptionLabel"/>
        </w:rPr>
        <w:t>.</w:t>
      </w:r>
      <w:r w:rsidRPr="003D5786">
        <w:rPr>
          <w:rStyle w:val="CaptionLabel"/>
        </w:rPr>
        <w:fldChar w:fldCharType="begin"/>
      </w:r>
      <w:r w:rsidRPr="003D5786">
        <w:rPr>
          <w:rStyle w:val="CaptionLabel"/>
        </w:rPr>
        <w:instrText xml:space="preserve"> SEQ Table \* ARABIC \S 1 \* MERGEFORMAT </w:instrText>
      </w:r>
      <w:r w:rsidRPr="003D5786">
        <w:rPr>
          <w:rStyle w:val="CaptionLabel"/>
        </w:rPr>
        <w:fldChar w:fldCharType="separate"/>
      </w:r>
      <w:r>
        <w:rPr>
          <w:rStyle w:val="CaptionLabel"/>
          <w:noProof/>
        </w:rPr>
        <w:t>11</w:t>
      </w:r>
      <w:r w:rsidRPr="003D5786">
        <w:rPr>
          <w:rStyle w:val="CaptionLabel"/>
        </w:rPr>
        <w:fldChar w:fldCharType="end"/>
      </w:r>
      <w:bookmarkEnd w:id="312"/>
      <w:r>
        <w:tab/>
      </w:r>
      <w:bookmarkEnd w:id="313"/>
      <w:r>
        <w:t>Breakeven point for upgrade costs</w:t>
      </w:r>
      <w:bookmarkEnd w:id="314"/>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5.11"/>
        <w:tblDescription w:val="Sensitivity testing of upgrade costs"/>
      </w:tblPr>
      <w:tblGrid>
        <w:gridCol w:w="454"/>
        <w:gridCol w:w="1984"/>
        <w:gridCol w:w="1984"/>
        <w:gridCol w:w="1984"/>
        <w:gridCol w:w="1984"/>
      </w:tblGrid>
      <w:tr w:rsidR="00676882" w14:paraId="161905E5" w14:textId="77777777" w:rsidTr="00DF45FA">
        <w:trPr>
          <w:tblHeader/>
        </w:trPr>
        <w:tc>
          <w:tcPr>
            <w:tcW w:w="2438" w:type="dxa"/>
            <w:gridSpan w:val="2"/>
            <w:tcBorders>
              <w:top w:val="nil"/>
              <w:bottom w:val="nil"/>
            </w:tcBorders>
            <w:shd w:val="clear" w:color="auto" w:fill="140034"/>
            <w:tcMar>
              <w:left w:w="454" w:type="dxa"/>
            </w:tcMar>
          </w:tcPr>
          <w:p w14:paraId="2B9DF7A2" w14:textId="77777777" w:rsidR="00676882" w:rsidRDefault="00676882" w:rsidP="00DF45FA">
            <w:pPr>
              <w:pStyle w:val="Caption"/>
              <w:ind w:left="0" w:firstLine="0"/>
            </w:pPr>
            <w:r>
              <w:tab/>
              <w:t xml:space="preserve">Sensitivity testing of upgrade costs </w:t>
            </w:r>
            <w:r>
              <w:rPr>
                <w:b/>
                <w:bCs/>
                <w:color w:val="FFFFFF" w:themeColor="background1"/>
              </w:rPr>
              <w:t>Sc</w:t>
            </w:r>
            <w:r w:rsidRPr="003012B7">
              <w:rPr>
                <w:b/>
                <w:bCs/>
                <w:color w:val="FFFFFF" w:themeColor="background1"/>
              </w:rPr>
              <w:t>enario</w:t>
            </w:r>
          </w:p>
        </w:tc>
        <w:tc>
          <w:tcPr>
            <w:tcW w:w="1984" w:type="dxa"/>
            <w:tcBorders>
              <w:top w:val="nil"/>
              <w:bottom w:val="nil"/>
            </w:tcBorders>
            <w:shd w:val="clear" w:color="auto" w:fill="140034"/>
          </w:tcPr>
          <w:p w14:paraId="6631C6EF" w14:textId="77777777" w:rsidR="00676882" w:rsidRDefault="00676882" w:rsidP="00DF45FA">
            <w:pPr>
              <w:pStyle w:val="Tablecolumnheadings"/>
            </w:pPr>
            <w:r>
              <w:t>NPV ($ million) – upgrade costs 47% lower</w:t>
            </w:r>
          </w:p>
        </w:tc>
        <w:tc>
          <w:tcPr>
            <w:tcW w:w="1984" w:type="dxa"/>
            <w:tcBorders>
              <w:top w:val="nil"/>
              <w:bottom w:val="nil"/>
            </w:tcBorders>
            <w:shd w:val="clear" w:color="auto" w:fill="140034"/>
          </w:tcPr>
          <w:p w14:paraId="1EA9AACC" w14:textId="77777777" w:rsidR="00676882" w:rsidRDefault="00676882" w:rsidP="00DF45FA">
            <w:pPr>
              <w:pStyle w:val="Tablecolumnheadings"/>
            </w:pPr>
            <w:r>
              <w:t>NPV ($ million) – upgrade costs 152% lower</w:t>
            </w:r>
          </w:p>
        </w:tc>
        <w:tc>
          <w:tcPr>
            <w:tcW w:w="1984" w:type="dxa"/>
            <w:tcBorders>
              <w:top w:val="nil"/>
              <w:bottom w:val="nil"/>
              <w:right w:val="single" w:sz="6" w:space="0" w:color="140034"/>
            </w:tcBorders>
            <w:shd w:val="clear" w:color="auto" w:fill="140034"/>
          </w:tcPr>
          <w:p w14:paraId="6E0A2421" w14:textId="77777777" w:rsidR="00676882" w:rsidRDefault="00676882" w:rsidP="00DF45FA">
            <w:pPr>
              <w:pStyle w:val="Tablecolumnheadings"/>
            </w:pPr>
            <w:r>
              <w:t>NPV ($ million) – upgrade costs 172% lower</w:t>
            </w:r>
          </w:p>
        </w:tc>
      </w:tr>
      <w:tr w:rsidR="00676882" w14:paraId="3E68781D" w14:textId="77777777" w:rsidTr="00DF45FA">
        <w:trPr>
          <w:gridBefore w:val="1"/>
          <w:wBefore w:w="454" w:type="dxa"/>
        </w:trPr>
        <w:tc>
          <w:tcPr>
            <w:tcW w:w="1984" w:type="dxa"/>
            <w:tcBorders>
              <w:top w:val="nil"/>
            </w:tcBorders>
            <w:shd w:val="clear" w:color="auto" w:fill="auto"/>
            <w:vAlign w:val="bottom"/>
          </w:tcPr>
          <w:p w14:paraId="5903D810" w14:textId="77777777" w:rsidR="00676882" w:rsidRDefault="00676882" w:rsidP="00DF45FA">
            <w:pPr>
              <w:pStyle w:val="Tabletext"/>
            </w:pPr>
            <w:r>
              <w:t>a) Insulation R3 - 2 year</w:t>
            </w:r>
          </w:p>
        </w:tc>
        <w:tc>
          <w:tcPr>
            <w:tcW w:w="1984" w:type="dxa"/>
            <w:tcBorders>
              <w:top w:val="nil"/>
            </w:tcBorders>
            <w:shd w:val="clear" w:color="auto" w:fill="auto"/>
            <w:vAlign w:val="center"/>
          </w:tcPr>
          <w:p w14:paraId="0384CEA9" w14:textId="77777777" w:rsidR="00676882" w:rsidRDefault="00676882" w:rsidP="00DF45FA">
            <w:pPr>
              <w:pStyle w:val="Tabletext"/>
              <w:jc w:val="right"/>
            </w:pPr>
            <w:r w:rsidRPr="00AB33DB">
              <w:t>$22.11</w:t>
            </w:r>
          </w:p>
        </w:tc>
        <w:tc>
          <w:tcPr>
            <w:tcW w:w="1984" w:type="dxa"/>
            <w:tcBorders>
              <w:top w:val="nil"/>
            </w:tcBorders>
            <w:shd w:val="clear" w:color="auto" w:fill="auto"/>
            <w:vAlign w:val="center"/>
          </w:tcPr>
          <w:p w14:paraId="18F8CBA4" w14:textId="77777777" w:rsidR="00676882" w:rsidRDefault="00676882" w:rsidP="00DF45FA">
            <w:pPr>
              <w:pStyle w:val="Tabletext"/>
              <w:jc w:val="right"/>
            </w:pPr>
            <w:r w:rsidRPr="00F70800">
              <w:t>$23.36</w:t>
            </w:r>
          </w:p>
        </w:tc>
        <w:tc>
          <w:tcPr>
            <w:tcW w:w="1984" w:type="dxa"/>
            <w:tcBorders>
              <w:top w:val="nil"/>
            </w:tcBorders>
            <w:shd w:val="clear" w:color="auto" w:fill="auto"/>
            <w:vAlign w:val="center"/>
          </w:tcPr>
          <w:p w14:paraId="1BA9066E" w14:textId="77777777" w:rsidR="00676882" w:rsidRDefault="00676882" w:rsidP="00DF45FA">
            <w:pPr>
              <w:pStyle w:val="Tabletext"/>
              <w:jc w:val="right"/>
            </w:pPr>
            <w:r w:rsidRPr="003E2451">
              <w:t>$29.56</w:t>
            </w:r>
          </w:p>
        </w:tc>
      </w:tr>
      <w:tr w:rsidR="00676882" w14:paraId="68EDC075" w14:textId="77777777" w:rsidTr="00DF45FA">
        <w:trPr>
          <w:gridBefore w:val="1"/>
          <w:wBefore w:w="454" w:type="dxa"/>
        </w:trPr>
        <w:tc>
          <w:tcPr>
            <w:tcW w:w="1984" w:type="dxa"/>
            <w:shd w:val="clear" w:color="auto" w:fill="auto"/>
            <w:vAlign w:val="bottom"/>
          </w:tcPr>
          <w:p w14:paraId="48D4B552" w14:textId="77777777" w:rsidR="00676882" w:rsidRDefault="00676882" w:rsidP="00DF45FA">
            <w:pPr>
              <w:pStyle w:val="Tabletext"/>
            </w:pPr>
            <w:r>
              <w:t>b) Insulation R3 - 4 year</w:t>
            </w:r>
          </w:p>
        </w:tc>
        <w:tc>
          <w:tcPr>
            <w:tcW w:w="1984" w:type="dxa"/>
            <w:shd w:val="clear" w:color="auto" w:fill="auto"/>
            <w:vAlign w:val="center"/>
          </w:tcPr>
          <w:p w14:paraId="233CDAE4" w14:textId="77777777" w:rsidR="00676882" w:rsidRDefault="00676882" w:rsidP="00DF45FA">
            <w:pPr>
              <w:pStyle w:val="Tabletext"/>
              <w:jc w:val="right"/>
            </w:pPr>
            <w:r w:rsidRPr="00AB33DB">
              <w:t>$22.67</w:t>
            </w:r>
          </w:p>
        </w:tc>
        <w:tc>
          <w:tcPr>
            <w:tcW w:w="1984" w:type="dxa"/>
            <w:shd w:val="clear" w:color="auto" w:fill="auto"/>
            <w:vAlign w:val="center"/>
          </w:tcPr>
          <w:p w14:paraId="70A616F8" w14:textId="77777777" w:rsidR="00676882" w:rsidRDefault="00676882" w:rsidP="00DF45FA">
            <w:pPr>
              <w:pStyle w:val="Tabletext"/>
              <w:jc w:val="right"/>
            </w:pPr>
            <w:r w:rsidRPr="00F70800">
              <w:t>$23.90</w:t>
            </w:r>
          </w:p>
        </w:tc>
        <w:tc>
          <w:tcPr>
            <w:tcW w:w="1984" w:type="dxa"/>
            <w:shd w:val="clear" w:color="auto" w:fill="auto"/>
            <w:vAlign w:val="center"/>
          </w:tcPr>
          <w:p w14:paraId="2ECC2680" w14:textId="77777777" w:rsidR="00676882" w:rsidRDefault="00676882" w:rsidP="00DF45FA">
            <w:pPr>
              <w:pStyle w:val="Tabletext"/>
              <w:jc w:val="right"/>
            </w:pPr>
            <w:r w:rsidRPr="003E2451">
              <w:t>$30.07</w:t>
            </w:r>
          </w:p>
        </w:tc>
      </w:tr>
      <w:tr w:rsidR="00676882" w14:paraId="5C70F6DE" w14:textId="77777777" w:rsidTr="00676882">
        <w:trPr>
          <w:gridBefore w:val="1"/>
          <w:wBefore w:w="454" w:type="dxa"/>
        </w:trPr>
        <w:tc>
          <w:tcPr>
            <w:tcW w:w="1984" w:type="dxa"/>
            <w:shd w:val="clear" w:color="auto" w:fill="auto"/>
            <w:vAlign w:val="bottom"/>
          </w:tcPr>
          <w:p w14:paraId="03FD3F0B" w14:textId="77777777" w:rsidR="00676882" w:rsidRDefault="00676882" w:rsidP="00DF45FA">
            <w:pPr>
              <w:pStyle w:val="Tabletext"/>
            </w:pPr>
            <w:r>
              <w:t>c) Insulation R5 - 2 year</w:t>
            </w:r>
          </w:p>
        </w:tc>
        <w:tc>
          <w:tcPr>
            <w:tcW w:w="1984" w:type="dxa"/>
            <w:tcBorders>
              <w:bottom w:val="single" w:sz="4" w:space="0" w:color="646464"/>
            </w:tcBorders>
            <w:shd w:val="clear" w:color="auto" w:fill="auto"/>
            <w:vAlign w:val="center"/>
          </w:tcPr>
          <w:p w14:paraId="25684A1C" w14:textId="77777777" w:rsidR="00676882" w:rsidRDefault="00676882" w:rsidP="00DF45FA">
            <w:pPr>
              <w:pStyle w:val="Tabletext"/>
              <w:jc w:val="right"/>
            </w:pPr>
            <w:r w:rsidRPr="00AB33DB">
              <w:t>$32.69</w:t>
            </w:r>
          </w:p>
        </w:tc>
        <w:tc>
          <w:tcPr>
            <w:tcW w:w="1984" w:type="dxa"/>
            <w:tcBorders>
              <w:bottom w:val="single" w:sz="4" w:space="0" w:color="646464"/>
            </w:tcBorders>
            <w:shd w:val="clear" w:color="auto" w:fill="auto"/>
            <w:vAlign w:val="center"/>
          </w:tcPr>
          <w:p w14:paraId="2CEFE818" w14:textId="77777777" w:rsidR="00676882" w:rsidRDefault="00676882" w:rsidP="00DF45FA">
            <w:pPr>
              <w:pStyle w:val="Tabletext"/>
              <w:jc w:val="right"/>
            </w:pPr>
            <w:r w:rsidRPr="00F70800">
              <w:t>$34.31</w:t>
            </w:r>
          </w:p>
        </w:tc>
        <w:tc>
          <w:tcPr>
            <w:tcW w:w="1984" w:type="dxa"/>
            <w:tcBorders>
              <w:bottom w:val="single" w:sz="4" w:space="0" w:color="646464"/>
            </w:tcBorders>
            <w:shd w:val="clear" w:color="auto" w:fill="auto"/>
            <w:vAlign w:val="center"/>
          </w:tcPr>
          <w:p w14:paraId="0AA7A4FB" w14:textId="77777777" w:rsidR="00676882" w:rsidRDefault="00676882" w:rsidP="00DF45FA">
            <w:pPr>
              <w:pStyle w:val="Tabletext"/>
              <w:jc w:val="right"/>
            </w:pPr>
            <w:r w:rsidRPr="003E2451">
              <w:t>$42.43</w:t>
            </w:r>
          </w:p>
        </w:tc>
      </w:tr>
      <w:tr w:rsidR="00676882" w14:paraId="66BB43BA" w14:textId="77777777" w:rsidTr="00676882">
        <w:trPr>
          <w:gridBefore w:val="1"/>
          <w:wBefore w:w="454" w:type="dxa"/>
        </w:trPr>
        <w:tc>
          <w:tcPr>
            <w:tcW w:w="1984" w:type="dxa"/>
            <w:shd w:val="clear" w:color="auto" w:fill="auto"/>
            <w:vAlign w:val="bottom"/>
          </w:tcPr>
          <w:p w14:paraId="74BB79A3" w14:textId="77777777" w:rsidR="00676882" w:rsidRDefault="00676882" w:rsidP="00DF45FA">
            <w:pPr>
              <w:pStyle w:val="Tabletext"/>
            </w:pPr>
            <w:r>
              <w:t>d) Insulation R5 - 4 year</w:t>
            </w:r>
          </w:p>
        </w:tc>
        <w:tc>
          <w:tcPr>
            <w:tcW w:w="1984" w:type="dxa"/>
            <w:tcBorders>
              <w:top w:val="single" w:sz="4" w:space="0" w:color="646464"/>
            </w:tcBorders>
            <w:shd w:val="clear" w:color="auto" w:fill="ACD8B5"/>
            <w:vAlign w:val="center"/>
          </w:tcPr>
          <w:p w14:paraId="57365DFF" w14:textId="77777777" w:rsidR="00676882" w:rsidRDefault="00676882" w:rsidP="00DF45FA">
            <w:pPr>
              <w:pStyle w:val="Tabletext"/>
              <w:jc w:val="right"/>
            </w:pPr>
            <w:r w:rsidRPr="00AB33DB">
              <w:t>$33.17</w:t>
            </w:r>
          </w:p>
        </w:tc>
        <w:tc>
          <w:tcPr>
            <w:tcW w:w="1984" w:type="dxa"/>
            <w:tcBorders>
              <w:top w:val="single" w:sz="4" w:space="0" w:color="646464"/>
            </w:tcBorders>
            <w:shd w:val="clear" w:color="auto" w:fill="ACD8B5"/>
            <w:vAlign w:val="center"/>
          </w:tcPr>
          <w:p w14:paraId="5BC0DC2C" w14:textId="77777777" w:rsidR="00676882" w:rsidRDefault="00676882" w:rsidP="00DF45FA">
            <w:pPr>
              <w:pStyle w:val="Tabletext"/>
              <w:jc w:val="right"/>
            </w:pPr>
            <w:r w:rsidRPr="00F70800">
              <w:t>$34.78</w:t>
            </w:r>
          </w:p>
        </w:tc>
        <w:tc>
          <w:tcPr>
            <w:tcW w:w="1984" w:type="dxa"/>
            <w:tcBorders>
              <w:top w:val="single" w:sz="4" w:space="0" w:color="646464"/>
            </w:tcBorders>
            <w:shd w:val="clear" w:color="auto" w:fill="ACD8B5"/>
            <w:vAlign w:val="center"/>
          </w:tcPr>
          <w:p w14:paraId="10CB6A57" w14:textId="77777777" w:rsidR="00676882" w:rsidRDefault="00676882" w:rsidP="00DF45FA">
            <w:pPr>
              <w:pStyle w:val="Tabletext"/>
              <w:jc w:val="right"/>
            </w:pPr>
            <w:r w:rsidRPr="003E2451">
              <w:t>$42.84</w:t>
            </w:r>
          </w:p>
        </w:tc>
      </w:tr>
      <w:tr w:rsidR="00676882" w14:paraId="3918BB63" w14:textId="77777777" w:rsidTr="00DF45FA">
        <w:trPr>
          <w:gridBefore w:val="1"/>
          <w:wBefore w:w="454" w:type="dxa"/>
        </w:trPr>
        <w:tc>
          <w:tcPr>
            <w:tcW w:w="1984" w:type="dxa"/>
            <w:shd w:val="clear" w:color="auto" w:fill="auto"/>
            <w:vAlign w:val="bottom"/>
          </w:tcPr>
          <w:p w14:paraId="39221249" w14:textId="77777777" w:rsidR="00676882" w:rsidRDefault="00676882" w:rsidP="00DF45FA">
            <w:pPr>
              <w:pStyle w:val="Tabletext"/>
            </w:pPr>
            <w:r>
              <w:t>e) Heater - 2 year</w:t>
            </w:r>
          </w:p>
        </w:tc>
        <w:tc>
          <w:tcPr>
            <w:tcW w:w="1984" w:type="dxa"/>
            <w:shd w:val="clear" w:color="auto" w:fill="auto"/>
            <w:vAlign w:val="center"/>
          </w:tcPr>
          <w:p w14:paraId="6B243A95" w14:textId="77777777" w:rsidR="00676882" w:rsidRDefault="00676882" w:rsidP="00DF45FA">
            <w:pPr>
              <w:pStyle w:val="Tabletext"/>
              <w:jc w:val="right"/>
            </w:pPr>
            <w:r w:rsidRPr="00AB33DB">
              <w:t>$0.40</w:t>
            </w:r>
          </w:p>
        </w:tc>
        <w:tc>
          <w:tcPr>
            <w:tcW w:w="1984" w:type="dxa"/>
            <w:shd w:val="clear" w:color="auto" w:fill="auto"/>
            <w:vAlign w:val="center"/>
          </w:tcPr>
          <w:p w14:paraId="67E84B94" w14:textId="77777777" w:rsidR="00676882" w:rsidRDefault="00676882" w:rsidP="00DF45FA">
            <w:pPr>
              <w:pStyle w:val="Tabletext"/>
              <w:jc w:val="right"/>
            </w:pPr>
            <w:r w:rsidRPr="00F70800">
              <w:t>$2.10</w:t>
            </w:r>
          </w:p>
        </w:tc>
        <w:tc>
          <w:tcPr>
            <w:tcW w:w="1984" w:type="dxa"/>
            <w:shd w:val="clear" w:color="auto" w:fill="auto"/>
            <w:vAlign w:val="center"/>
          </w:tcPr>
          <w:p w14:paraId="55A86ADE" w14:textId="77777777" w:rsidR="00676882" w:rsidRDefault="00676882" w:rsidP="00DF45FA">
            <w:pPr>
              <w:pStyle w:val="Tabletext"/>
              <w:jc w:val="right"/>
            </w:pPr>
            <w:r w:rsidRPr="003E2451">
              <w:t>$10.59</w:t>
            </w:r>
          </w:p>
        </w:tc>
      </w:tr>
      <w:tr w:rsidR="00676882" w14:paraId="2862284B" w14:textId="77777777" w:rsidTr="00DF45FA">
        <w:trPr>
          <w:gridBefore w:val="1"/>
          <w:wBefore w:w="454" w:type="dxa"/>
        </w:trPr>
        <w:tc>
          <w:tcPr>
            <w:tcW w:w="1984" w:type="dxa"/>
            <w:shd w:val="clear" w:color="auto" w:fill="auto"/>
            <w:vAlign w:val="bottom"/>
          </w:tcPr>
          <w:p w14:paraId="04D99EA8" w14:textId="77777777" w:rsidR="00676882" w:rsidRDefault="00676882" w:rsidP="00DF45FA">
            <w:pPr>
              <w:pStyle w:val="Tabletext"/>
            </w:pPr>
            <w:r>
              <w:t>f) Heater - 4 year</w:t>
            </w:r>
          </w:p>
        </w:tc>
        <w:tc>
          <w:tcPr>
            <w:tcW w:w="1984" w:type="dxa"/>
            <w:shd w:val="clear" w:color="auto" w:fill="auto"/>
            <w:vAlign w:val="center"/>
          </w:tcPr>
          <w:p w14:paraId="2BA856C5" w14:textId="77777777" w:rsidR="00676882" w:rsidRDefault="00676882" w:rsidP="00DF45FA">
            <w:pPr>
              <w:pStyle w:val="Tabletext"/>
              <w:jc w:val="right"/>
            </w:pPr>
            <w:r w:rsidRPr="00AB33DB">
              <w:t>$0.26</w:t>
            </w:r>
          </w:p>
        </w:tc>
        <w:tc>
          <w:tcPr>
            <w:tcW w:w="1984" w:type="dxa"/>
            <w:shd w:val="clear" w:color="auto" w:fill="auto"/>
            <w:vAlign w:val="center"/>
          </w:tcPr>
          <w:p w14:paraId="74157ED5" w14:textId="77777777" w:rsidR="00676882" w:rsidRDefault="00676882" w:rsidP="00DF45FA">
            <w:pPr>
              <w:pStyle w:val="Tabletext"/>
              <w:jc w:val="right"/>
            </w:pPr>
            <w:r w:rsidRPr="00F70800">
              <w:t>$1.94</w:t>
            </w:r>
          </w:p>
        </w:tc>
        <w:tc>
          <w:tcPr>
            <w:tcW w:w="1984" w:type="dxa"/>
            <w:shd w:val="clear" w:color="auto" w:fill="auto"/>
            <w:vAlign w:val="center"/>
          </w:tcPr>
          <w:p w14:paraId="77AFA537" w14:textId="77777777" w:rsidR="00676882" w:rsidRDefault="00676882" w:rsidP="00DF45FA">
            <w:pPr>
              <w:pStyle w:val="Tabletext"/>
              <w:jc w:val="right"/>
            </w:pPr>
            <w:r w:rsidRPr="003E2451">
              <w:t>$10.35</w:t>
            </w:r>
          </w:p>
        </w:tc>
      </w:tr>
      <w:tr w:rsidR="00676882" w14:paraId="5DBAF37E" w14:textId="77777777" w:rsidTr="00DF45FA">
        <w:trPr>
          <w:gridBefore w:val="1"/>
          <w:wBefore w:w="454" w:type="dxa"/>
        </w:trPr>
        <w:tc>
          <w:tcPr>
            <w:tcW w:w="1984" w:type="dxa"/>
            <w:shd w:val="clear" w:color="auto" w:fill="auto"/>
            <w:vAlign w:val="bottom"/>
          </w:tcPr>
          <w:p w14:paraId="58B07BB8" w14:textId="77777777" w:rsidR="00676882" w:rsidRDefault="00676882" w:rsidP="00DF45FA">
            <w:pPr>
              <w:pStyle w:val="Tabletext"/>
            </w:pPr>
            <w:r>
              <w:t>g) Performance 2-stars - 2 year</w:t>
            </w:r>
          </w:p>
        </w:tc>
        <w:tc>
          <w:tcPr>
            <w:tcW w:w="1984" w:type="dxa"/>
            <w:shd w:val="clear" w:color="auto" w:fill="auto"/>
            <w:vAlign w:val="center"/>
          </w:tcPr>
          <w:p w14:paraId="05871DB6" w14:textId="77777777" w:rsidR="00676882" w:rsidRPr="006B0263" w:rsidRDefault="00676882" w:rsidP="00DF45FA">
            <w:pPr>
              <w:pStyle w:val="Tabletext"/>
              <w:jc w:val="right"/>
              <w:rPr>
                <w:color w:val="C00000"/>
              </w:rPr>
            </w:pPr>
            <w:r w:rsidRPr="006B0263">
              <w:rPr>
                <w:color w:val="C00000"/>
              </w:rPr>
              <w:t>-$4.98</w:t>
            </w:r>
          </w:p>
        </w:tc>
        <w:tc>
          <w:tcPr>
            <w:tcW w:w="1984" w:type="dxa"/>
            <w:shd w:val="clear" w:color="auto" w:fill="auto"/>
            <w:vAlign w:val="center"/>
          </w:tcPr>
          <w:p w14:paraId="2B8B76C1" w14:textId="77777777" w:rsidR="00676882" w:rsidRPr="006B0263" w:rsidRDefault="00676882" w:rsidP="00DF45FA">
            <w:pPr>
              <w:pStyle w:val="Tabletext"/>
              <w:jc w:val="right"/>
              <w:rPr>
                <w:color w:val="C00000"/>
              </w:rPr>
            </w:pPr>
            <w:r w:rsidRPr="006B0263">
              <w:rPr>
                <w:color w:val="C00000"/>
              </w:rPr>
              <w:t>-$4.12</w:t>
            </w:r>
          </w:p>
        </w:tc>
        <w:tc>
          <w:tcPr>
            <w:tcW w:w="1984" w:type="dxa"/>
            <w:shd w:val="clear" w:color="auto" w:fill="auto"/>
            <w:vAlign w:val="center"/>
          </w:tcPr>
          <w:p w14:paraId="2057A754" w14:textId="77777777" w:rsidR="00676882" w:rsidRDefault="00676882" w:rsidP="00DF45FA">
            <w:pPr>
              <w:pStyle w:val="Tabletext"/>
              <w:jc w:val="right"/>
            </w:pPr>
            <w:r w:rsidRPr="003E2451">
              <w:t>$0.16</w:t>
            </w:r>
          </w:p>
        </w:tc>
      </w:tr>
      <w:tr w:rsidR="00676882" w14:paraId="4A021206" w14:textId="77777777" w:rsidTr="00DF45FA">
        <w:trPr>
          <w:gridBefore w:val="1"/>
          <w:wBefore w:w="454" w:type="dxa"/>
        </w:trPr>
        <w:tc>
          <w:tcPr>
            <w:tcW w:w="1984" w:type="dxa"/>
            <w:shd w:val="clear" w:color="auto" w:fill="auto"/>
            <w:vAlign w:val="bottom"/>
          </w:tcPr>
          <w:p w14:paraId="681C0888" w14:textId="77777777" w:rsidR="00676882" w:rsidRDefault="00676882" w:rsidP="00DF45FA">
            <w:pPr>
              <w:pStyle w:val="Tabletext"/>
            </w:pPr>
            <w:r>
              <w:lastRenderedPageBreak/>
              <w:t>h) Performance 2-stars - 4 year</w:t>
            </w:r>
          </w:p>
        </w:tc>
        <w:tc>
          <w:tcPr>
            <w:tcW w:w="1984" w:type="dxa"/>
            <w:shd w:val="clear" w:color="auto" w:fill="auto"/>
            <w:vAlign w:val="center"/>
          </w:tcPr>
          <w:p w14:paraId="1680287E" w14:textId="77777777" w:rsidR="00676882" w:rsidRPr="006B0263" w:rsidRDefault="00676882" w:rsidP="00DF45FA">
            <w:pPr>
              <w:pStyle w:val="Tabletext"/>
              <w:jc w:val="right"/>
              <w:rPr>
                <w:color w:val="C00000"/>
              </w:rPr>
            </w:pPr>
            <w:r w:rsidRPr="006B0263">
              <w:rPr>
                <w:color w:val="C00000"/>
              </w:rPr>
              <w:t>-$4.94</w:t>
            </w:r>
          </w:p>
        </w:tc>
        <w:tc>
          <w:tcPr>
            <w:tcW w:w="1984" w:type="dxa"/>
            <w:shd w:val="clear" w:color="auto" w:fill="auto"/>
            <w:vAlign w:val="center"/>
          </w:tcPr>
          <w:p w14:paraId="4D9E3081" w14:textId="77777777" w:rsidR="00676882" w:rsidRPr="006B0263" w:rsidRDefault="00676882" w:rsidP="00DF45FA">
            <w:pPr>
              <w:pStyle w:val="Tabletext"/>
              <w:jc w:val="right"/>
              <w:rPr>
                <w:color w:val="C00000"/>
              </w:rPr>
            </w:pPr>
            <w:r w:rsidRPr="006B0263">
              <w:rPr>
                <w:color w:val="C00000"/>
              </w:rPr>
              <w:t>-$4.09</w:t>
            </w:r>
          </w:p>
        </w:tc>
        <w:tc>
          <w:tcPr>
            <w:tcW w:w="1984" w:type="dxa"/>
            <w:shd w:val="clear" w:color="auto" w:fill="auto"/>
            <w:vAlign w:val="center"/>
          </w:tcPr>
          <w:p w14:paraId="48B7B0AF" w14:textId="77777777" w:rsidR="00676882" w:rsidRDefault="00676882" w:rsidP="00DF45FA">
            <w:pPr>
              <w:pStyle w:val="Tabletext"/>
              <w:jc w:val="right"/>
            </w:pPr>
            <w:r w:rsidRPr="003E2451">
              <w:t>$0.15</w:t>
            </w:r>
          </w:p>
        </w:tc>
      </w:tr>
      <w:tr w:rsidR="00676882" w14:paraId="3DABECE5" w14:textId="77777777" w:rsidTr="00DF45FA">
        <w:trPr>
          <w:gridBefore w:val="1"/>
          <w:wBefore w:w="454" w:type="dxa"/>
        </w:trPr>
        <w:tc>
          <w:tcPr>
            <w:tcW w:w="1984" w:type="dxa"/>
            <w:shd w:val="clear" w:color="auto" w:fill="auto"/>
            <w:vAlign w:val="bottom"/>
          </w:tcPr>
          <w:p w14:paraId="4C7A51F6" w14:textId="77777777" w:rsidR="00676882" w:rsidRDefault="00676882" w:rsidP="00DF45FA">
            <w:pPr>
              <w:pStyle w:val="Tabletext"/>
            </w:pPr>
            <w:r>
              <w:t>i) Performance 3-stars - 2 year</w:t>
            </w:r>
          </w:p>
        </w:tc>
        <w:tc>
          <w:tcPr>
            <w:tcW w:w="1984" w:type="dxa"/>
            <w:shd w:val="clear" w:color="auto" w:fill="auto"/>
            <w:vAlign w:val="center"/>
          </w:tcPr>
          <w:p w14:paraId="0BA725C9" w14:textId="77777777" w:rsidR="00676882" w:rsidRPr="006B0263" w:rsidRDefault="00676882" w:rsidP="00DF45FA">
            <w:pPr>
              <w:pStyle w:val="Tabletext"/>
              <w:jc w:val="right"/>
              <w:rPr>
                <w:color w:val="C00000"/>
              </w:rPr>
            </w:pPr>
            <w:r w:rsidRPr="006B0263">
              <w:rPr>
                <w:color w:val="C00000"/>
              </w:rPr>
              <w:t>-$9.65</w:t>
            </w:r>
          </w:p>
        </w:tc>
        <w:tc>
          <w:tcPr>
            <w:tcW w:w="1984" w:type="dxa"/>
            <w:shd w:val="clear" w:color="auto" w:fill="auto"/>
            <w:vAlign w:val="center"/>
          </w:tcPr>
          <w:p w14:paraId="26613436" w14:textId="77777777" w:rsidR="00676882" w:rsidRDefault="00676882" w:rsidP="00DF45FA">
            <w:pPr>
              <w:pStyle w:val="Tabletext"/>
              <w:jc w:val="right"/>
            </w:pPr>
            <w:r w:rsidRPr="00F70800">
              <w:t>$0.71</w:t>
            </w:r>
          </w:p>
        </w:tc>
        <w:tc>
          <w:tcPr>
            <w:tcW w:w="1984" w:type="dxa"/>
            <w:shd w:val="clear" w:color="auto" w:fill="auto"/>
            <w:vAlign w:val="center"/>
          </w:tcPr>
          <w:p w14:paraId="7A1CCB30" w14:textId="77777777" w:rsidR="00676882" w:rsidRDefault="00676882" w:rsidP="00DF45FA">
            <w:pPr>
              <w:pStyle w:val="Tabletext"/>
              <w:jc w:val="right"/>
            </w:pPr>
            <w:r w:rsidRPr="003E2451">
              <w:t>$52.49</w:t>
            </w:r>
          </w:p>
        </w:tc>
      </w:tr>
      <w:tr w:rsidR="00676882" w14:paraId="5061F2E1" w14:textId="77777777" w:rsidTr="00DF45FA">
        <w:trPr>
          <w:gridBefore w:val="1"/>
          <w:wBefore w:w="454" w:type="dxa"/>
        </w:trPr>
        <w:tc>
          <w:tcPr>
            <w:tcW w:w="1984" w:type="dxa"/>
            <w:shd w:val="clear" w:color="auto" w:fill="auto"/>
            <w:vAlign w:val="bottom"/>
          </w:tcPr>
          <w:p w14:paraId="07ABDBCC" w14:textId="77777777" w:rsidR="00676882" w:rsidRDefault="00676882" w:rsidP="00DF45FA">
            <w:pPr>
              <w:pStyle w:val="Tabletext"/>
            </w:pPr>
            <w:r>
              <w:t>j) Performance 3-stars - 4 year</w:t>
            </w:r>
          </w:p>
        </w:tc>
        <w:tc>
          <w:tcPr>
            <w:tcW w:w="1984" w:type="dxa"/>
            <w:shd w:val="clear" w:color="auto" w:fill="auto"/>
            <w:vAlign w:val="center"/>
          </w:tcPr>
          <w:p w14:paraId="671BC2FA" w14:textId="77777777" w:rsidR="00676882" w:rsidRPr="006B0263" w:rsidRDefault="00676882" w:rsidP="00DF45FA">
            <w:pPr>
              <w:pStyle w:val="Tabletext"/>
              <w:jc w:val="right"/>
              <w:rPr>
                <w:color w:val="C00000"/>
              </w:rPr>
            </w:pPr>
            <w:r w:rsidRPr="006B0263">
              <w:rPr>
                <w:color w:val="C00000"/>
              </w:rPr>
              <w:t>-$7.67</w:t>
            </w:r>
          </w:p>
        </w:tc>
        <w:tc>
          <w:tcPr>
            <w:tcW w:w="1984" w:type="dxa"/>
            <w:shd w:val="clear" w:color="auto" w:fill="auto"/>
            <w:vAlign w:val="center"/>
          </w:tcPr>
          <w:p w14:paraId="2F13CE8F" w14:textId="77777777" w:rsidR="00676882" w:rsidRDefault="00676882" w:rsidP="00DF45FA">
            <w:pPr>
              <w:pStyle w:val="Tabletext"/>
              <w:jc w:val="right"/>
            </w:pPr>
            <w:r w:rsidRPr="00F70800">
              <w:t>$2.59</w:t>
            </w:r>
          </w:p>
        </w:tc>
        <w:tc>
          <w:tcPr>
            <w:tcW w:w="1984" w:type="dxa"/>
            <w:shd w:val="clear" w:color="auto" w:fill="auto"/>
            <w:vAlign w:val="center"/>
          </w:tcPr>
          <w:p w14:paraId="25E80058" w14:textId="77777777" w:rsidR="00676882" w:rsidRDefault="00676882" w:rsidP="00DF45FA">
            <w:pPr>
              <w:pStyle w:val="Tabletext"/>
              <w:jc w:val="right"/>
            </w:pPr>
            <w:r w:rsidRPr="003E2451">
              <w:t>$53.89</w:t>
            </w:r>
          </w:p>
        </w:tc>
      </w:tr>
      <w:tr w:rsidR="00676882" w14:paraId="58264698" w14:textId="77777777" w:rsidTr="00DF45FA">
        <w:trPr>
          <w:gridBefore w:val="1"/>
          <w:wBefore w:w="454" w:type="dxa"/>
        </w:trPr>
        <w:tc>
          <w:tcPr>
            <w:tcW w:w="7936" w:type="dxa"/>
            <w:gridSpan w:val="4"/>
            <w:tcBorders>
              <w:bottom w:val="single" w:sz="4" w:space="0" w:color="646464"/>
            </w:tcBorders>
            <w:shd w:val="clear" w:color="auto" w:fill="auto"/>
          </w:tcPr>
          <w:p w14:paraId="58AF8372" w14:textId="77777777" w:rsidR="00676882" w:rsidRDefault="00676882" w:rsidP="00DF45FA">
            <w:pPr>
              <w:pStyle w:val="Source"/>
            </w:pPr>
            <w:r>
              <w:rPr>
                <w:i w:val="0"/>
                <w:iCs/>
              </w:rPr>
              <w:t>Note: All scenarios are presented with a social cost of carbon calculated at 3 per cent discount rate.</w:t>
            </w:r>
          </w:p>
          <w:p w14:paraId="605280DB" w14:textId="77777777" w:rsidR="00676882" w:rsidRDefault="00676882" w:rsidP="00DF45FA">
            <w:pPr>
              <w:pStyle w:val="Source"/>
            </w:pPr>
            <w:r>
              <w:t>Source: ACIL Allen</w:t>
            </w:r>
          </w:p>
        </w:tc>
      </w:tr>
      <w:tr w:rsidR="00676882" w14:paraId="76C91444"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4F6F2AC8" w14:textId="77777777" w:rsidR="00676882" w:rsidRDefault="00676882" w:rsidP="00DF45FA">
            <w:pPr>
              <w:pStyle w:val="spacer"/>
            </w:pPr>
          </w:p>
        </w:tc>
      </w:tr>
    </w:tbl>
    <w:p w14:paraId="1B1B7E33" w14:textId="77777777" w:rsidR="00676882" w:rsidRDefault="00676882" w:rsidP="00676882">
      <w:pPr>
        <w:pStyle w:val="Heading3"/>
      </w:pPr>
      <w:bookmarkStart w:id="315" w:name="_Ref76308359"/>
      <w:r>
        <w:t>Maximum expenditure limits</w:t>
      </w:r>
      <w:bookmarkEnd w:id="315"/>
    </w:p>
    <w:p w14:paraId="08C529FF" w14:textId="77777777" w:rsidR="00676882" w:rsidRDefault="00676882" w:rsidP="00676882">
      <w:pPr>
        <w:pStyle w:val="BodyText"/>
      </w:pPr>
      <w:r>
        <w:t xml:space="preserve">Upgrade costs for the performance standards are highly variable across the rental housing stock. The costs to reach a 2-star or 3-star performance standard are difficult to predict for an individual household. The central results have been estimated without maximum expenditure limits. Including maximum expenditure limits in the policy would mean that the worst performing rental properties would be limited in the degree to which they would have to make upgrades. </w:t>
      </w:r>
    </w:p>
    <w:p w14:paraId="0EE8C959" w14:textId="77777777" w:rsidR="00676882" w:rsidRDefault="00676882" w:rsidP="00676882">
      <w:pPr>
        <w:pStyle w:val="BodyText"/>
      </w:pPr>
      <w:r>
        <w:t xml:space="preserve">For a performance-based option, maximum expenditure limits could have a significant impact on the results from the analysis. The basis for the upgrade costs used in the modelling of the performance options are described in Appendix </w:t>
      </w:r>
      <w:r w:rsidRPr="009E4AB1">
        <w:fldChar w:fldCharType="begin"/>
      </w:r>
      <w:r w:rsidRPr="009E4AB1">
        <w:instrText xml:space="preserve"> REF _Ref75909177 \r \h  \* MERGEFORMAT </w:instrText>
      </w:r>
      <w:r w:rsidRPr="009E4AB1">
        <w:fldChar w:fldCharType="separate"/>
      </w:r>
      <w:r>
        <w:t>C</w:t>
      </w:r>
      <w:r w:rsidRPr="009E4AB1">
        <w:fldChar w:fldCharType="end"/>
      </w:r>
      <w:r>
        <w:t xml:space="preserve">. The distribution of assumed costs for upgrades to a 2-star performance standard are given in </w:t>
      </w:r>
      <w:r w:rsidRPr="009E4AB1">
        <w:fldChar w:fldCharType="begin"/>
      </w:r>
      <w:r w:rsidRPr="009E4AB1">
        <w:instrText xml:space="preserve"> REF _Ref80468215 \h  \* MERGEFORMAT </w:instrText>
      </w:r>
      <w:r w:rsidRPr="009E4AB1">
        <w:fldChar w:fldCharType="separate"/>
      </w:r>
      <w:r w:rsidRPr="00F32FCC">
        <w:t>Figure 5.19</w:t>
      </w:r>
      <w:r w:rsidRPr="009E4AB1">
        <w:fldChar w:fldCharType="end"/>
      </w:r>
      <w:r>
        <w:t>.</w:t>
      </w:r>
    </w:p>
    <w:p w14:paraId="1381072B" w14:textId="77777777" w:rsidR="00676882" w:rsidRDefault="00676882" w:rsidP="00676882">
      <w:pPr>
        <w:pStyle w:val="Caption"/>
      </w:pPr>
      <w:bookmarkStart w:id="316" w:name="_Ref80468215"/>
      <w:bookmarkStart w:id="317" w:name="_Toc80719279"/>
      <w:r w:rsidRPr="006B0263">
        <w:rPr>
          <w:rStyle w:val="CaptionLabel"/>
        </w:rPr>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19</w:t>
      </w:r>
      <w:r w:rsidRPr="006B0263">
        <w:rPr>
          <w:rStyle w:val="CaptionLabel"/>
        </w:rPr>
        <w:fldChar w:fldCharType="end"/>
      </w:r>
      <w:bookmarkEnd w:id="316"/>
      <w:r>
        <w:tab/>
        <w:t>Distribution of costs to upgrade to 2 stars</w:t>
      </w:r>
      <w:bookmarkEnd w:id="317"/>
    </w:p>
    <w:p w14:paraId="57FCBA10" w14:textId="77777777" w:rsidR="00676882" w:rsidRPr="003012B7" w:rsidRDefault="00676882" w:rsidP="00676882">
      <w:pPr>
        <w:pStyle w:val="BodyText"/>
      </w:pPr>
      <w:r>
        <w:rPr>
          <w:noProof/>
        </w:rPr>
        <w:drawing>
          <wp:inline distT="0" distB="0" distL="0" distR="0" wp14:anchorId="5B020A95" wp14:editId="785CE146">
            <wp:extent cx="4901565" cy="2304415"/>
            <wp:effectExtent l="0" t="0" r="0" b="635"/>
            <wp:docPr id="63" name="Picture 63" descr="Figure 5.19: Distribution of costs to upgrade to 2 st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descr="Figure 5.19: Distribution of costs to upgrade to 2 stars"/>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901565" cy="2304415"/>
                    </a:xfrm>
                    <a:prstGeom prst="rect">
                      <a:avLst/>
                    </a:prstGeom>
                    <a:noFill/>
                  </pic:spPr>
                </pic:pic>
              </a:graphicData>
            </a:graphic>
          </wp:inline>
        </w:drawing>
      </w:r>
    </w:p>
    <w:p w14:paraId="157ACF8E" w14:textId="77777777" w:rsidR="00676882" w:rsidRDefault="00676882" w:rsidP="00676882">
      <w:pPr>
        <w:pStyle w:val="BodyText"/>
        <w:spacing w:after="0" w:line="0" w:lineRule="atLeast"/>
        <w:rPr>
          <w:i/>
          <w:iCs/>
          <w:sz w:val="16"/>
          <w:szCs w:val="16"/>
        </w:rPr>
      </w:pPr>
      <w:r w:rsidRPr="007F2D37">
        <w:rPr>
          <w:i/>
          <w:iCs/>
          <w:sz w:val="16"/>
          <w:szCs w:val="16"/>
        </w:rPr>
        <w:t>Source: Energy Efficient Strategies</w:t>
      </w:r>
      <w:r w:rsidRPr="007F2D37" w:rsidDel="00CD3041">
        <w:rPr>
          <w:i/>
          <w:iCs/>
          <w:sz w:val="16"/>
          <w:szCs w:val="16"/>
        </w:rPr>
        <w:t xml:space="preserve"> </w:t>
      </w:r>
    </w:p>
    <w:p w14:paraId="237948F7" w14:textId="77777777" w:rsidR="00676882" w:rsidRDefault="00676882" w:rsidP="00676882">
      <w:pPr>
        <w:pStyle w:val="BodyText"/>
      </w:pPr>
      <w:r>
        <w:t xml:space="preserve">The assumed costs for a 3-star performance standard are given in </w:t>
      </w:r>
      <w:r w:rsidRPr="009E4AB1">
        <w:rPr>
          <w:highlight w:val="yellow"/>
        </w:rPr>
        <w:fldChar w:fldCharType="begin"/>
      </w:r>
      <w:r w:rsidRPr="009E4AB1">
        <w:instrText xml:space="preserve"> REF _Ref80468223 \h  \* MERGEFORMAT </w:instrText>
      </w:r>
      <w:r w:rsidRPr="009E4AB1">
        <w:rPr>
          <w:highlight w:val="yellow"/>
        </w:rPr>
      </w:r>
      <w:r w:rsidRPr="009E4AB1">
        <w:rPr>
          <w:highlight w:val="yellow"/>
        </w:rPr>
        <w:fldChar w:fldCharType="separate"/>
      </w:r>
      <w:r w:rsidRPr="00F32FCC">
        <w:t>Figure 5.20</w:t>
      </w:r>
      <w:r w:rsidRPr="009E4AB1">
        <w:rPr>
          <w:highlight w:val="yellow"/>
        </w:rPr>
        <w:fldChar w:fldCharType="end"/>
      </w:r>
      <w:r>
        <w:t>.</w:t>
      </w:r>
    </w:p>
    <w:p w14:paraId="7EF0DF0E" w14:textId="77777777" w:rsidR="00676882" w:rsidRDefault="00676882" w:rsidP="00676882">
      <w:pPr>
        <w:pStyle w:val="Caption"/>
      </w:pPr>
      <w:bookmarkStart w:id="318" w:name="_Ref80468223"/>
      <w:bookmarkStart w:id="319" w:name="_Toc80719280"/>
      <w:r w:rsidRPr="006B0263">
        <w:rPr>
          <w:rStyle w:val="CaptionLabel"/>
        </w:rPr>
        <w:lastRenderedPageBreak/>
        <w:t>Figure </w:t>
      </w:r>
      <w:r w:rsidRPr="006B0263">
        <w:rPr>
          <w:rStyle w:val="CaptionLabel"/>
        </w:rPr>
        <w:fldChar w:fldCharType="begin"/>
      </w:r>
      <w:r w:rsidRPr="006B0263">
        <w:rPr>
          <w:rStyle w:val="CaptionLabel"/>
        </w:rPr>
        <w:instrText xml:space="preserve"> STYLEREF 1 \S \* MERGEFORMAT </w:instrText>
      </w:r>
      <w:r w:rsidRPr="006B0263">
        <w:rPr>
          <w:rStyle w:val="CaptionLabel"/>
        </w:rPr>
        <w:fldChar w:fldCharType="separate"/>
      </w:r>
      <w:r>
        <w:rPr>
          <w:rStyle w:val="CaptionLabel"/>
          <w:noProof/>
        </w:rPr>
        <w:t>5</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 \* ARABIC \S 1 \* MERGEFORMAT </w:instrText>
      </w:r>
      <w:r w:rsidRPr="006B0263">
        <w:rPr>
          <w:rStyle w:val="CaptionLabel"/>
        </w:rPr>
        <w:fldChar w:fldCharType="separate"/>
      </w:r>
      <w:r>
        <w:rPr>
          <w:rStyle w:val="CaptionLabel"/>
          <w:noProof/>
        </w:rPr>
        <w:t>20</w:t>
      </w:r>
      <w:r w:rsidRPr="006B0263">
        <w:rPr>
          <w:rStyle w:val="CaptionLabel"/>
        </w:rPr>
        <w:fldChar w:fldCharType="end"/>
      </w:r>
      <w:bookmarkEnd w:id="318"/>
      <w:r>
        <w:tab/>
        <w:t>Distribution of costs to upgrade to 3 stars</w:t>
      </w:r>
      <w:bookmarkEnd w:id="319"/>
    </w:p>
    <w:p w14:paraId="79AA062E" w14:textId="77777777" w:rsidR="00676882" w:rsidRDefault="00676882" w:rsidP="00676882">
      <w:pPr>
        <w:pStyle w:val="BodyText"/>
        <w:spacing w:after="0" w:line="0" w:lineRule="atLeast"/>
      </w:pPr>
      <w:r>
        <w:rPr>
          <w:noProof/>
        </w:rPr>
        <w:drawing>
          <wp:inline distT="0" distB="0" distL="0" distR="0" wp14:anchorId="1E3B30E5" wp14:editId="5FCF7B69">
            <wp:extent cx="5039360" cy="2344420"/>
            <wp:effectExtent l="0" t="0" r="8890" b="0"/>
            <wp:docPr id="530" name="Chart 530" descr="A distribution of costs, with representative values from the $2,000 to $4,000 category, all the way up to a $14,000 to $16,000 category, then with some tail values up to $30,000.">
              <a:extLst xmlns:a="http://schemas.openxmlformats.org/drawingml/2006/main">
                <a:ext uri="{FF2B5EF4-FFF2-40B4-BE49-F238E27FC236}">
                  <a16:creationId xmlns:a16="http://schemas.microsoft.com/office/drawing/2014/main" id="{20932847-AD2C-4EDF-A3D4-3D328750F9C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14:paraId="0ABC1AB6" w14:textId="77777777" w:rsidR="00676882" w:rsidRDefault="00676882" w:rsidP="00676882">
      <w:pPr>
        <w:pStyle w:val="BodyText"/>
        <w:spacing w:after="0" w:line="0" w:lineRule="atLeast"/>
      </w:pPr>
      <w:r w:rsidRPr="00123358">
        <w:rPr>
          <w:i/>
          <w:iCs/>
          <w:sz w:val="16"/>
          <w:szCs w:val="16"/>
        </w:rPr>
        <w:t>Source: Energy Efficient Strategies</w:t>
      </w:r>
    </w:p>
    <w:p w14:paraId="6D595F4D" w14:textId="77777777" w:rsidR="00676882" w:rsidRDefault="00676882" w:rsidP="00676882">
      <w:r>
        <w:t>A maximum expenditure limit would likely decrease up-front capital costs of the performance options but will also decrease their associated benefits. The effect of a maximum expenditure limit has not been modelled. However, a limit has the potential to ameliorate the impacts on rental providers (particularly those with the worst-performing properties).</w:t>
      </w:r>
    </w:p>
    <w:p w14:paraId="18AA0D1A" w14:textId="77777777" w:rsidR="00676882" w:rsidRDefault="00676882" w:rsidP="00676882">
      <w:pPr>
        <w:pStyle w:val="BodyText"/>
      </w:pPr>
    </w:p>
    <w:p w14:paraId="4EC5694C" w14:textId="77777777" w:rsidR="00676882" w:rsidRPr="00871467" w:rsidRDefault="00676882" w:rsidP="00676882">
      <w:pPr>
        <w:pStyle w:val="BodyText"/>
        <w:sectPr w:rsidR="00676882" w:rsidRPr="00871467" w:rsidSect="00F32FCC">
          <w:headerReference w:type="even" r:id="rId75"/>
          <w:footerReference w:type="even" r:id="rId76"/>
          <w:headerReference w:type="first" r:id="rId77"/>
          <w:footerReference w:type="first" r:id="rId78"/>
          <w:pgSz w:w="11906" w:h="16838" w:code="9"/>
          <w:pgMar w:top="1134" w:right="851" w:bottom="1134" w:left="3119" w:header="454" w:footer="374"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Chapter 6"/>
        <w:tblDescription w:val="Implementation and review"/>
      </w:tblPr>
      <w:tblGrid>
        <w:gridCol w:w="5570"/>
        <w:gridCol w:w="2366"/>
      </w:tblGrid>
      <w:tr w:rsidR="00676882" w14:paraId="228DF47A" w14:textId="77777777" w:rsidTr="00DF45FA">
        <w:trPr>
          <w:trHeight w:hRule="exact" w:val="382"/>
        </w:trPr>
        <w:tc>
          <w:tcPr>
            <w:tcW w:w="5570" w:type="dxa"/>
          </w:tcPr>
          <w:p w14:paraId="0665740F" w14:textId="77777777" w:rsidR="00676882" w:rsidRDefault="00676882" w:rsidP="00DF45FA">
            <w:pPr>
              <w:pStyle w:val="tagchapterBanner"/>
            </w:pPr>
            <w:r>
              <w:rPr>
                <w:noProof/>
              </w:rPr>
              <w:lastRenderedPageBreak/>
              <w:drawing>
                <wp:anchor distT="0" distB="0" distL="114300" distR="114300" simplePos="0" relativeHeight="251663360" behindDoc="1" locked="1" layoutInCell="1" allowOverlap="1" wp14:anchorId="35BE4A28" wp14:editId="602FA04B">
                  <wp:simplePos x="0" y="0"/>
                  <wp:positionH relativeFrom="page">
                    <wp:posOffset>0</wp:posOffset>
                  </wp:positionH>
                  <wp:positionV relativeFrom="page">
                    <wp:posOffset>0</wp:posOffset>
                  </wp:positionV>
                  <wp:extent cx="5039360" cy="1995170"/>
                  <wp:effectExtent l="0" t="0" r="8890" b="5080"/>
                  <wp:wrapNone/>
                  <wp:docPr id="66"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7D22290E" w14:textId="77777777" w:rsidR="00676882" w:rsidRDefault="00676882" w:rsidP="00DF45FA">
            <w:pPr>
              <w:pStyle w:val="spacer"/>
            </w:pPr>
          </w:p>
        </w:tc>
      </w:tr>
      <w:tr w:rsidR="00676882" w14:paraId="508DF87B" w14:textId="77777777" w:rsidTr="00DF45FA">
        <w:trPr>
          <w:trHeight w:hRule="exact" w:val="2760"/>
        </w:trPr>
        <w:tc>
          <w:tcPr>
            <w:tcW w:w="5570" w:type="dxa"/>
            <w:vAlign w:val="bottom"/>
          </w:tcPr>
          <w:p w14:paraId="3AE89F7F" w14:textId="77777777" w:rsidR="00676882" w:rsidRDefault="00676882" w:rsidP="00DF45FA">
            <w:pPr>
              <w:pStyle w:val="Heading1"/>
            </w:pPr>
            <w:bookmarkStart w:id="320" w:name="_Ref75434576"/>
            <w:bookmarkStart w:id="321" w:name="_Ref75435468"/>
            <w:bookmarkStart w:id="322" w:name="_Ref75435556"/>
            <w:bookmarkStart w:id="323" w:name="_Toc80712595"/>
            <w:r>
              <w:t>Implementation and review</w:t>
            </w:r>
            <w:bookmarkEnd w:id="320"/>
            <w:bookmarkEnd w:id="321"/>
            <w:bookmarkEnd w:id="322"/>
            <w:bookmarkEnd w:id="323"/>
          </w:p>
        </w:tc>
        <w:tc>
          <w:tcPr>
            <w:tcW w:w="2366" w:type="dxa"/>
            <w:tcMar>
              <w:right w:w="224" w:type="dxa"/>
            </w:tcMar>
            <w:vAlign w:val="bottom"/>
          </w:tcPr>
          <w:p w14:paraId="093BA74D" w14:textId="77777777" w:rsidR="00676882" w:rsidRDefault="00676882" w:rsidP="00DF45FA">
            <w:pPr>
              <w:pStyle w:val="HeadingChapter"/>
            </w:pPr>
            <w:r>
              <w:fldChar w:fldCharType="begin"/>
            </w:r>
            <w:r>
              <w:instrText xml:space="preserve"> SEQ ChptNum \* ARABIC </w:instrText>
            </w:r>
            <w:r>
              <w:fldChar w:fldCharType="separate"/>
            </w:r>
            <w:r>
              <w:rPr>
                <w:noProof/>
              </w:rPr>
              <w:t>6</w:t>
            </w:r>
            <w:r>
              <w:rPr>
                <w:noProof/>
              </w:rPr>
              <w:fldChar w:fldCharType="end"/>
            </w:r>
          </w:p>
        </w:tc>
      </w:tr>
      <w:tr w:rsidR="00676882" w14:paraId="0320A951" w14:textId="77777777" w:rsidTr="00DF45FA">
        <w:trPr>
          <w:trHeight w:hRule="exact" w:val="228"/>
        </w:trPr>
        <w:tc>
          <w:tcPr>
            <w:tcW w:w="5570" w:type="dxa"/>
          </w:tcPr>
          <w:p w14:paraId="718279C5" w14:textId="77777777" w:rsidR="00676882" w:rsidRDefault="00676882" w:rsidP="00DF45FA">
            <w:pPr>
              <w:pStyle w:val="spacer"/>
            </w:pPr>
          </w:p>
        </w:tc>
        <w:tc>
          <w:tcPr>
            <w:tcW w:w="2366" w:type="dxa"/>
          </w:tcPr>
          <w:p w14:paraId="35867AC5" w14:textId="77777777" w:rsidR="00676882" w:rsidRDefault="00676882" w:rsidP="00DF45FA">
            <w:pPr>
              <w:pStyle w:val="spacer"/>
            </w:pPr>
          </w:p>
        </w:tc>
      </w:tr>
    </w:tbl>
    <w:p w14:paraId="170C426C" w14:textId="77777777" w:rsidR="00676882" w:rsidRDefault="00676882" w:rsidP="00676882">
      <w:pPr>
        <w:pStyle w:val="BodyText"/>
      </w:pPr>
      <w:bookmarkStart w:id="324" w:name="_Toc75283751"/>
      <w:r>
        <w:t>This chapter provides guidelines for the implementation and review of minimum energy efficiency standards for residential rental properties. It covers an approach to administration and enforcement of minimum standards, including considerations noted by stakeholders. It discusses potential supporting mechanisms (not included in the impact analysis or core options). Finally, it provides a roadmap for review of the programs.</w:t>
      </w:r>
    </w:p>
    <w:p w14:paraId="4C5CF357" w14:textId="77777777" w:rsidR="00676882" w:rsidRDefault="00676882" w:rsidP="00676882">
      <w:pPr>
        <w:pStyle w:val="BodyText"/>
      </w:pPr>
      <w:r>
        <w:t>The recommendations in this section generally apply equally to all options presented. In several cases, the recommendations pertain only to a performance option, and are indicated as such.</w:t>
      </w:r>
    </w:p>
    <w:p w14:paraId="24F033BD" w14:textId="77777777" w:rsidR="00676882" w:rsidRDefault="00676882" w:rsidP="00676882">
      <w:pPr>
        <w:pStyle w:val="Heading2"/>
      </w:pPr>
      <w:bookmarkStart w:id="325" w:name="_Toc80481680"/>
      <w:bookmarkStart w:id="326" w:name="_Toc80700317"/>
      <w:bookmarkStart w:id="327" w:name="_Toc80700565"/>
      <w:bookmarkStart w:id="328" w:name="_Toc80712596"/>
      <w:bookmarkEnd w:id="325"/>
      <w:bookmarkEnd w:id="326"/>
      <w:bookmarkEnd w:id="327"/>
      <w:r>
        <w:t>Administration and enforcement</w:t>
      </w:r>
      <w:bookmarkEnd w:id="328"/>
    </w:p>
    <w:p w14:paraId="2DFD990D" w14:textId="77777777" w:rsidR="00676882" w:rsidRDefault="00676882" w:rsidP="00676882">
      <w:pPr>
        <w:pStyle w:val="BodyText"/>
      </w:pPr>
      <w:r>
        <w:t>The implementation of the proposed standards will be a cross-agency responsibility. Elements of the implementation and the responsible parties include:</w:t>
      </w:r>
    </w:p>
    <w:p w14:paraId="74E554D2" w14:textId="77777777" w:rsidR="00676882" w:rsidRDefault="00676882" w:rsidP="00676882">
      <w:pPr>
        <w:pStyle w:val="ListBullet"/>
      </w:pPr>
      <w:r>
        <w:t xml:space="preserve">Providing legislative drafting and supporting materials, which will be the responsibility of the Directorate. Supporting measures described in section </w:t>
      </w:r>
      <w:r w:rsidRPr="009E4AB1">
        <w:fldChar w:fldCharType="begin"/>
      </w:r>
      <w:r w:rsidRPr="009E4AB1">
        <w:instrText xml:space="preserve"> REF _Ref75951036 \r \h  \* MERGEFORMAT </w:instrText>
      </w:r>
      <w:r w:rsidRPr="009E4AB1">
        <w:fldChar w:fldCharType="separate"/>
      </w:r>
      <w:r>
        <w:t>6.2</w:t>
      </w:r>
      <w:r w:rsidRPr="009E4AB1">
        <w:fldChar w:fldCharType="end"/>
      </w:r>
      <w:r>
        <w:t xml:space="preserve"> would also be the responsibility of the Directorate.</w:t>
      </w:r>
    </w:p>
    <w:p w14:paraId="1CF3F8F9" w14:textId="77777777" w:rsidR="00676882" w:rsidRDefault="00676882" w:rsidP="00676882">
      <w:pPr>
        <w:pStyle w:val="ListBullet"/>
      </w:pPr>
      <w:r>
        <w:t>Enforcement and compliance, which may be the responsibility of Access Canberra, which already provides information, services and compliance mechanisms in related areas.</w:t>
      </w:r>
    </w:p>
    <w:p w14:paraId="56A32586" w14:textId="77777777" w:rsidR="00676882" w:rsidRDefault="00676882" w:rsidP="00676882">
      <w:pPr>
        <w:pStyle w:val="ListBullet"/>
      </w:pPr>
      <w:r>
        <w:t>Housing ACT, which will have the responsibility to assess and manage its public housing stock and make upgrades as appropriate.</w:t>
      </w:r>
    </w:p>
    <w:p w14:paraId="4BE360F1" w14:textId="77777777" w:rsidR="00676882" w:rsidRDefault="00676882" w:rsidP="00676882">
      <w:pPr>
        <w:pStyle w:val="Heading3"/>
      </w:pPr>
      <w:r>
        <w:t>Compliance and enforcement mechanisms</w:t>
      </w:r>
    </w:p>
    <w:p w14:paraId="6D0AE087" w14:textId="77777777" w:rsidR="00676882" w:rsidRDefault="00676882" w:rsidP="00676882">
      <w:pPr>
        <w:pStyle w:val="BodyText"/>
      </w:pPr>
      <w:r>
        <w:t>Compliance is the responsibility of rental providers. In some cases, property managers may be able to inform and support rental providers to meet their obligations under a minimum standard for rental properties. Stakeholders asserted that property managers should not be assumed to be primarily responsible for meeting the standards. They were of the view that informing, educating and supporting rental providers should be the responsibility of government.</w:t>
      </w:r>
    </w:p>
    <w:p w14:paraId="55549939" w14:textId="77777777" w:rsidR="00676882" w:rsidRDefault="00676882" w:rsidP="00676882">
      <w:pPr>
        <w:pStyle w:val="Heading4"/>
      </w:pPr>
      <w:r>
        <w:t>Compliance triggers</w:t>
      </w:r>
    </w:p>
    <w:p w14:paraId="2986F50D" w14:textId="77777777" w:rsidR="00676882" w:rsidRDefault="00676882" w:rsidP="00676882">
      <w:pPr>
        <w:pStyle w:val="BodyText"/>
      </w:pPr>
      <w:r>
        <w:t>Compliance could be required for all rental properties at the start of a new lease, or at the end of the phase-in period, whichever comes first (this was the assumption modelled). Alternatively, compliance could just be required by the end of the phase-in period. Rental providers can readily ascertain for themselves whether a heater is required or through an assessment in the case of whether an insulation upgrade is required.</w:t>
      </w:r>
    </w:p>
    <w:p w14:paraId="3973C94B" w14:textId="77777777" w:rsidR="00676882" w:rsidRDefault="00676882" w:rsidP="00676882">
      <w:pPr>
        <w:pStyle w:val="BodyText"/>
      </w:pPr>
      <w:r>
        <w:t>Under a performance standard, rental providers will need an assessment using the scorecard type measure.</w:t>
      </w:r>
    </w:p>
    <w:p w14:paraId="29FE065C" w14:textId="77777777" w:rsidR="00676882" w:rsidRDefault="00676882" w:rsidP="00676882">
      <w:pPr>
        <w:pStyle w:val="Heading4"/>
      </w:pPr>
      <w:r>
        <w:lastRenderedPageBreak/>
        <w:t>Exemptions</w:t>
      </w:r>
    </w:p>
    <w:p w14:paraId="1146AF2C" w14:textId="77777777" w:rsidR="00676882" w:rsidRDefault="00676882" w:rsidP="00676882">
      <w:pPr>
        <w:pStyle w:val="BodyText"/>
      </w:pPr>
      <w:r>
        <w:t xml:space="preserve">Meeting the minimum standards will not be possible for all rental properties, particularly for insulation or heating standards. Technical limitations will need to be recognised in the regulations. Stakeholders acknowledged that for rental providers to be exempted from the minimum standards, they should have to provide proof — preferably from a professional. </w:t>
      </w:r>
    </w:p>
    <w:p w14:paraId="5FBAE3DA" w14:textId="77777777" w:rsidR="00676882" w:rsidRDefault="00676882" w:rsidP="00676882">
      <w:pPr>
        <w:pStyle w:val="BodyText"/>
      </w:pPr>
      <w:r>
        <w:t xml:space="preserve">Additional reasons for valid exemptions have been identified in policies in other jurisdictions (see Appendix </w:t>
      </w:r>
      <w:r w:rsidRPr="009E4AB1">
        <w:fldChar w:fldCharType="begin"/>
      </w:r>
      <w:r w:rsidRPr="009E4AB1">
        <w:instrText xml:space="preserve"> REF _Ref75435033 \r \h  \* MERGEFORMAT </w:instrText>
      </w:r>
      <w:r w:rsidRPr="009E4AB1">
        <w:fldChar w:fldCharType="separate"/>
      </w:r>
      <w:r>
        <w:t>A</w:t>
      </w:r>
      <w:r w:rsidRPr="009E4AB1">
        <w:fldChar w:fldCharType="end"/>
      </w:r>
      <w:r>
        <w:t>). Examples include:</w:t>
      </w:r>
    </w:p>
    <w:p w14:paraId="1FC41D3B" w14:textId="77777777" w:rsidR="00676882" w:rsidRDefault="00676882" w:rsidP="00676882">
      <w:pPr>
        <w:pStyle w:val="ListBullet"/>
      </w:pPr>
      <w:r>
        <w:t>conservation value</w:t>
      </w:r>
    </w:p>
    <w:p w14:paraId="41A21DA6" w14:textId="77777777" w:rsidR="00676882" w:rsidRDefault="00676882" w:rsidP="00676882">
      <w:pPr>
        <w:pStyle w:val="ListBullet"/>
      </w:pPr>
      <w:r>
        <w:t>heritage value</w:t>
      </w:r>
    </w:p>
    <w:p w14:paraId="03585282" w14:textId="77777777" w:rsidR="00676882" w:rsidRDefault="00676882" w:rsidP="00676882">
      <w:pPr>
        <w:pStyle w:val="ListBullet"/>
      </w:pPr>
      <w:r>
        <w:t xml:space="preserve">maximum spending limits (see section </w:t>
      </w:r>
      <w:r w:rsidRPr="009E4AB1">
        <w:fldChar w:fldCharType="begin"/>
      </w:r>
      <w:r w:rsidRPr="009E4AB1">
        <w:instrText xml:space="preserve"> REF _Ref76308359 \r \h  \* MERGEFORMAT </w:instrText>
      </w:r>
      <w:r w:rsidRPr="009E4AB1">
        <w:fldChar w:fldCharType="separate"/>
      </w:r>
      <w:r>
        <w:t>5.4.6</w:t>
      </w:r>
      <w:r w:rsidRPr="009E4AB1">
        <w:fldChar w:fldCharType="end"/>
      </w:r>
      <w:r>
        <w:t>)</w:t>
      </w:r>
    </w:p>
    <w:p w14:paraId="6E61F999" w14:textId="77777777" w:rsidR="00676882" w:rsidRDefault="00676882" w:rsidP="00676882">
      <w:pPr>
        <w:pStyle w:val="ListBullet"/>
      </w:pPr>
      <w:r>
        <w:t>tenants withholding consent for upgrades to be made</w:t>
      </w:r>
    </w:p>
    <w:p w14:paraId="3FB16183" w14:textId="77777777" w:rsidR="00676882" w:rsidRDefault="00676882" w:rsidP="00676882">
      <w:pPr>
        <w:pStyle w:val="ListBullet"/>
      </w:pPr>
      <w:r>
        <w:t>where substantial devaluation of the property is likely</w:t>
      </w:r>
    </w:p>
    <w:p w14:paraId="12F6AD0B" w14:textId="77777777" w:rsidR="00676882" w:rsidRDefault="00676882" w:rsidP="00676882">
      <w:pPr>
        <w:pStyle w:val="ListBullet"/>
      </w:pPr>
      <w:r>
        <w:t>risks to the structure</w:t>
      </w:r>
    </w:p>
    <w:p w14:paraId="1C59394B" w14:textId="77777777" w:rsidR="00676882" w:rsidRDefault="00676882" w:rsidP="00676882">
      <w:pPr>
        <w:pStyle w:val="ListBullet"/>
      </w:pPr>
      <w:r>
        <w:t>multi-unit properties, where upgrades could infringe on the rights of other residents</w:t>
      </w:r>
    </w:p>
    <w:p w14:paraId="25F7B1DD" w14:textId="77777777" w:rsidR="00676882" w:rsidRDefault="00676882" w:rsidP="00676882">
      <w:pPr>
        <w:pStyle w:val="ListBullet"/>
      </w:pPr>
      <w:r>
        <w:t>where the property was previously owned by the tenant (sale and rent-back arrangements)</w:t>
      </w:r>
    </w:p>
    <w:p w14:paraId="2A6F26EE" w14:textId="77777777" w:rsidR="00676882" w:rsidRDefault="00676882" w:rsidP="00676882">
      <w:pPr>
        <w:pStyle w:val="ListBullet"/>
      </w:pPr>
      <w:r>
        <w:t>where a rental property is likely to be substantially demolished or redeveloped</w:t>
      </w:r>
    </w:p>
    <w:p w14:paraId="0535426B" w14:textId="77777777" w:rsidR="00676882" w:rsidRDefault="00676882" w:rsidP="00676882">
      <w:pPr>
        <w:pStyle w:val="ListBullet"/>
      </w:pPr>
      <w:r>
        <w:t>certified passive buildings</w:t>
      </w:r>
    </w:p>
    <w:p w14:paraId="6741C10F" w14:textId="77777777" w:rsidR="00676882" w:rsidRDefault="00676882" w:rsidP="00676882">
      <w:pPr>
        <w:pStyle w:val="ListBullet"/>
      </w:pPr>
      <w:r>
        <w:t>semi-permanent or business-based rental properties such as boarding houses and hotels</w:t>
      </w:r>
    </w:p>
    <w:p w14:paraId="60985382" w14:textId="77777777" w:rsidR="00676882" w:rsidRPr="00806E81" w:rsidRDefault="00676882" w:rsidP="00676882">
      <w:pPr>
        <w:pStyle w:val="ListBullet"/>
      </w:pPr>
      <w:r>
        <w:t>properties not rented through winter.</w:t>
      </w:r>
    </w:p>
    <w:p w14:paraId="4EC8941E" w14:textId="77777777" w:rsidR="00676882" w:rsidRPr="00662C94" w:rsidRDefault="00676882" w:rsidP="00676882">
      <w:pPr>
        <w:pStyle w:val="Heading4"/>
      </w:pPr>
      <w:r>
        <w:t>Enforcement</w:t>
      </w:r>
    </w:p>
    <w:p w14:paraId="7FE72055" w14:textId="77777777" w:rsidR="00676882" w:rsidRDefault="00676882" w:rsidP="00676882">
      <w:pPr>
        <w:pStyle w:val="BodyText"/>
      </w:pPr>
      <w:r>
        <w:t xml:space="preserve">Extensive enforcement of the minimum standards on all rental properties </w:t>
      </w:r>
      <w:proofErr w:type="gramStart"/>
      <w:r>
        <w:t>at all times</w:t>
      </w:r>
      <w:proofErr w:type="gramEnd"/>
      <w:r>
        <w:t xml:space="preserve"> would become burdensome and not practical. A risk-based approach to compliance testing has been used in New Zealand to maximise the government’s effectiveness at ensuring compliance. A small number of inspections are made each year, focused on those rental properties which are most likely to be non-compliant. Cases of non-compliance are then publicised. The ACT could adopt a similar approach, checking compliance on a targeted subset of rental properties. </w:t>
      </w:r>
    </w:p>
    <w:p w14:paraId="60D04A1F" w14:textId="77777777" w:rsidR="00676882" w:rsidRDefault="00676882" w:rsidP="00676882">
      <w:pPr>
        <w:pStyle w:val="BodyText"/>
      </w:pPr>
      <w:r>
        <w:t>Tenants will need to be able to report non-compliance in such a way that they are not then subject to any form of retaliation. Tenant groups consulted identified that fear of retaliation is a real barrier to reporting faults in rental properties.</w:t>
      </w:r>
    </w:p>
    <w:p w14:paraId="31B8812C" w14:textId="77777777" w:rsidR="00676882" w:rsidRDefault="00676882" w:rsidP="00676882">
      <w:pPr>
        <w:pStyle w:val="Heading2"/>
      </w:pPr>
      <w:bookmarkStart w:id="329" w:name="_Ref75951036"/>
      <w:bookmarkStart w:id="330" w:name="_Toc80712597"/>
      <w:r>
        <w:t>Supporting mechanisms</w:t>
      </w:r>
      <w:bookmarkEnd w:id="329"/>
      <w:bookmarkEnd w:id="330"/>
    </w:p>
    <w:p w14:paraId="0E403CC5" w14:textId="77777777" w:rsidR="00676882" w:rsidRDefault="00676882" w:rsidP="00676882">
      <w:pPr>
        <w:pStyle w:val="BodyText"/>
      </w:pPr>
      <w:r>
        <w:t>Stakeholders identified that a holistic policy would result in better outcomes when assessed against the policy objectives. Three additional support mechanisms were commonly proposed:</w:t>
      </w:r>
    </w:p>
    <w:p w14:paraId="5168057E" w14:textId="77777777" w:rsidR="00676882" w:rsidRDefault="00676882" w:rsidP="00676882">
      <w:pPr>
        <w:pStyle w:val="ListBullet"/>
      </w:pPr>
      <w:r>
        <w:t>supporting educational initiatives</w:t>
      </w:r>
    </w:p>
    <w:p w14:paraId="1EA787E5" w14:textId="77777777" w:rsidR="00676882" w:rsidRDefault="00676882" w:rsidP="00676882">
      <w:pPr>
        <w:pStyle w:val="ListBullet"/>
      </w:pPr>
      <w:r>
        <w:t>government subsidy</w:t>
      </w:r>
    </w:p>
    <w:p w14:paraId="1C151CDB" w14:textId="77777777" w:rsidR="00676882" w:rsidRDefault="00676882" w:rsidP="00676882">
      <w:pPr>
        <w:pStyle w:val="ListBullet"/>
      </w:pPr>
      <w:r>
        <w:t>draught proofing.</w:t>
      </w:r>
    </w:p>
    <w:p w14:paraId="7100CE07" w14:textId="77777777" w:rsidR="00676882" w:rsidRPr="00690A25" w:rsidRDefault="00676882" w:rsidP="00676882">
      <w:pPr>
        <w:pStyle w:val="Heading3"/>
      </w:pPr>
      <w:r>
        <w:t>Education and information</w:t>
      </w:r>
    </w:p>
    <w:p w14:paraId="46ECE5E4" w14:textId="77777777" w:rsidR="00676882" w:rsidRDefault="00676882" w:rsidP="00676882">
      <w:pPr>
        <w:pStyle w:val="BodyText"/>
      </w:pPr>
      <w:r>
        <w:t xml:space="preserve">One stakeholder suggested that the energy-efficiency of a rental property is two-thirds related to the physical condition of the property, while one-third relates to how the property is used. Several stakeholders indicated that there was room for supporting information for tenants. However, as acknowledged in section </w:t>
      </w:r>
      <w:r w:rsidRPr="009E4AB1">
        <w:fldChar w:fldCharType="begin"/>
      </w:r>
      <w:r w:rsidRPr="009E4AB1">
        <w:instrText xml:space="preserve"> REF _Ref75169932 \r \h  \* MERGEFORMAT </w:instrText>
      </w:r>
      <w:r w:rsidRPr="009E4AB1">
        <w:fldChar w:fldCharType="separate"/>
      </w:r>
      <w:r>
        <w:t>4.1.1</w:t>
      </w:r>
      <w:r w:rsidRPr="009E4AB1">
        <w:fldChar w:fldCharType="end"/>
      </w:r>
      <w:r>
        <w:t xml:space="preserve">, the ACT Government already provides </w:t>
      </w:r>
      <w:proofErr w:type="gramStart"/>
      <w:r>
        <w:t>a number of</w:t>
      </w:r>
      <w:proofErr w:type="gramEnd"/>
      <w:r>
        <w:t xml:space="preserve"> supporting information and education programs, including some aimed at tenants.</w:t>
      </w:r>
    </w:p>
    <w:p w14:paraId="093C45B5" w14:textId="77777777" w:rsidR="00676882" w:rsidRPr="00D8065F" w:rsidRDefault="00676882" w:rsidP="00676882">
      <w:pPr>
        <w:pStyle w:val="Heading3"/>
      </w:pPr>
      <w:r>
        <w:lastRenderedPageBreak/>
        <w:t>Government subsidy</w:t>
      </w:r>
    </w:p>
    <w:p w14:paraId="684AD71D" w14:textId="77777777" w:rsidR="00676882" w:rsidRDefault="00676882" w:rsidP="00676882">
      <w:pPr>
        <w:pStyle w:val="BodyText"/>
      </w:pPr>
      <w:r>
        <w:t xml:space="preserve">Even with full cost pass-through, the upfront capital costs for rental providers can be significant. Under the performance options, a minority could have costs in excess of $28,000, based on the modelling. Even under a feature-based standard, expenses are expected to be in the thousands of dollars. While some of this can be recovered through increased rents, some rental providers will struggle to meet the costs. </w:t>
      </w:r>
    </w:p>
    <w:p w14:paraId="1A2B73BD" w14:textId="77777777" w:rsidR="00676882" w:rsidRDefault="00676882" w:rsidP="00676882">
      <w:pPr>
        <w:pStyle w:val="BodyText"/>
      </w:pPr>
      <w:r>
        <w:t xml:space="preserve">Groups representing rental providers were strongly of the opinion that government subsidies would be required to prevent some rental providers from exiting the market — that is, selling the property rather than making the investments required to meet the minimum standards. </w:t>
      </w:r>
    </w:p>
    <w:p w14:paraId="1003EB56" w14:textId="77777777" w:rsidR="00676882" w:rsidRDefault="00676882" w:rsidP="00676882">
      <w:pPr>
        <w:pStyle w:val="BodyText"/>
      </w:pPr>
      <w:r>
        <w:t>A government subsidy for upgrades, that is delivered on condition that the upgrade costs are not passed on immediately to renters, would reduce the risk of the regulations resulting in immediate rental increases across the ACT and should be considered for this reason.</w:t>
      </w:r>
    </w:p>
    <w:p w14:paraId="0167F546" w14:textId="77777777" w:rsidR="00676882" w:rsidRDefault="00676882" w:rsidP="00676882">
      <w:pPr>
        <w:pStyle w:val="Heading3"/>
      </w:pPr>
      <w:r>
        <w:t>Draught proofing complementary to a features-based standard</w:t>
      </w:r>
    </w:p>
    <w:p w14:paraId="0C39264C" w14:textId="77777777" w:rsidR="00676882" w:rsidRDefault="00676882" w:rsidP="00676882">
      <w:pPr>
        <w:pStyle w:val="BodyText"/>
      </w:pPr>
      <w:r>
        <w:t>There is a clear relationship between insulation and draught sealing on the thermal comfort of a home. As identified by the Energy Efficiency Council and the Australian Sustainable Built Environment Council:</w:t>
      </w:r>
    </w:p>
    <w:p w14:paraId="077ED701" w14:textId="77777777" w:rsidR="00676882" w:rsidRDefault="00676882" w:rsidP="00676882">
      <w:pPr>
        <w:pStyle w:val="Quote"/>
      </w:pPr>
      <w:r>
        <w:t>Insulating materials play a key function in maintaining a safe and comfortable indoor temperature, but can also influence air movement, air quality, moisture and the presence and absence of mould.</w:t>
      </w:r>
    </w:p>
    <w:p w14:paraId="280AF27B" w14:textId="77777777" w:rsidR="00676882" w:rsidRDefault="00676882" w:rsidP="00676882">
      <w:pPr>
        <w:pStyle w:val="QuoteSource"/>
      </w:pPr>
      <w:sdt>
        <w:sdtPr>
          <w:id w:val="1250703917"/>
          <w:citation/>
        </w:sdtPr>
        <w:sdtContent>
          <w:r>
            <w:fldChar w:fldCharType="begin"/>
          </w:r>
          <w:r>
            <w:rPr>
              <w:lang w:val="en-US"/>
            </w:rPr>
            <w:instrText xml:space="preserve">CITATION Ene21 \l 1033 </w:instrText>
          </w:r>
          <w:r>
            <w:fldChar w:fldCharType="separate"/>
          </w:r>
          <w:r>
            <w:rPr>
              <w:noProof/>
              <w:lang w:val="en-US"/>
            </w:rPr>
            <w:t>(Energy Efficiency Council and Australian Sustainable Built Environment Council, 2021)</w:t>
          </w:r>
          <w:r>
            <w:fldChar w:fldCharType="end"/>
          </w:r>
        </w:sdtContent>
      </w:sdt>
    </w:p>
    <w:p w14:paraId="470521DA" w14:textId="77777777" w:rsidR="00676882" w:rsidRDefault="00676882" w:rsidP="00676882">
      <w:pPr>
        <w:pStyle w:val="BodyText"/>
      </w:pPr>
      <w:r>
        <w:t xml:space="preserve">The thermal performance of a building is also impacted by air leakage. Although excessive air tightness can result in poor air quality, including high levels of carbon dioxide, standard draught proofing of older housing stock in the ACT is unlikely to result in excessive air tightness. Modern building practices combine minimising unintended air leaks with designing effective ventilation systems to ensure an appropriate level of airflow through a building. Ventilation strategies also have a critical impact on moisture level. </w:t>
      </w:r>
    </w:p>
    <w:p w14:paraId="2AF07D21" w14:textId="77777777" w:rsidR="00676882" w:rsidRDefault="00676882" w:rsidP="00676882">
      <w:pPr>
        <w:pStyle w:val="BodyText"/>
      </w:pPr>
      <w:r>
        <w:t>Some stakeholders from industry and representing community groups pointed out that the benefits of insulation and heating are limited by poor draught proofing. Some stakeholders put forward that draught-proofing would be a more cost-effective improvement for some households. It was suggested that draught proofing should be promoted as a complement to the feature standards.</w:t>
      </w:r>
    </w:p>
    <w:p w14:paraId="66FD1D5F" w14:textId="77777777" w:rsidR="00676882" w:rsidRDefault="00676882" w:rsidP="00676882">
      <w:pPr>
        <w:pStyle w:val="Heading2"/>
      </w:pPr>
      <w:bookmarkStart w:id="331" w:name="_Toc80712598"/>
      <w:r>
        <w:t>Implementation considerations</w:t>
      </w:r>
      <w:bookmarkEnd w:id="331"/>
    </w:p>
    <w:p w14:paraId="175CC32B" w14:textId="77777777" w:rsidR="00676882" w:rsidRPr="00A83099" w:rsidRDefault="00676882" w:rsidP="00676882">
      <w:pPr>
        <w:pStyle w:val="BodyText"/>
      </w:pPr>
      <w:r>
        <w:t>The following points are considerations for the implementation of a minimum standard.</w:t>
      </w:r>
    </w:p>
    <w:p w14:paraId="5CB8138C" w14:textId="77777777" w:rsidR="00676882" w:rsidRDefault="00676882" w:rsidP="00676882">
      <w:pPr>
        <w:pStyle w:val="Heading3"/>
      </w:pPr>
      <w:bookmarkStart w:id="332" w:name="_Ref70952139"/>
      <w:bookmarkStart w:id="333" w:name="_Toc75177003"/>
      <w:r>
        <w:t>General risks associated with installing ceiling insulation</w:t>
      </w:r>
      <w:bookmarkEnd w:id="332"/>
      <w:bookmarkEnd w:id="333"/>
    </w:p>
    <w:p w14:paraId="1CD2D447" w14:textId="77777777" w:rsidR="00676882" w:rsidRDefault="00676882" w:rsidP="00676882">
      <w:pPr>
        <w:pStyle w:val="BodyText"/>
      </w:pPr>
      <w:r>
        <w:t xml:space="preserve">As evidenced by the Commonwealth Government’s Home Insulation Program, there are a range of risks associated with the installation of ceiling insulation in ACT homes. The most significant (extreme) risks include: </w:t>
      </w:r>
    </w:p>
    <w:p w14:paraId="5F266947" w14:textId="77777777" w:rsidR="00676882" w:rsidRDefault="00676882" w:rsidP="00676882">
      <w:pPr>
        <w:pStyle w:val="ListBullet"/>
      </w:pPr>
      <w:r>
        <w:t>Electrical hazards – the risks are death, fire, electric shock or other injury caused directly or indirectly by electricity. Some common electrical risks and causes of injury are electric shock; contact with services; electrocution; burns, particularly with PV installs; fire; wiring encapsulation; PV installs and DC cables.</w:t>
      </w:r>
    </w:p>
    <w:p w14:paraId="5FA1BF8D" w14:textId="77777777" w:rsidR="00676882" w:rsidRDefault="00676882" w:rsidP="00676882">
      <w:pPr>
        <w:pStyle w:val="ListBullet"/>
      </w:pPr>
      <w:r>
        <w:t xml:space="preserve">Working at heights – falls from height can result in permanent or debilitating injuries or deaths. This increases significantly when working at heights over two metres. The person installing </w:t>
      </w:r>
      <w:r>
        <w:lastRenderedPageBreak/>
        <w:t xml:space="preserve">ceiling insulation is exposed to falling from a ladder or </w:t>
      </w:r>
      <w:proofErr w:type="gramStart"/>
      <w:r>
        <w:t>scaffold, or</w:t>
      </w:r>
      <w:proofErr w:type="gramEnd"/>
      <w:r>
        <w:t xml:space="preserve"> falling through ceiling spaces.</w:t>
      </w:r>
    </w:p>
    <w:p w14:paraId="5B3E809A" w14:textId="77777777" w:rsidR="00676882" w:rsidRDefault="00676882" w:rsidP="00676882">
      <w:pPr>
        <w:pStyle w:val="ListBullet"/>
      </w:pPr>
      <w:r>
        <w:t xml:space="preserve">Inadequate training and low level of competency – to perform an installation safely, and to appropriate standards, requires training / knowledge and relies on the competency of installers or quality of installation. </w:t>
      </w:r>
    </w:p>
    <w:p w14:paraId="07D881DE" w14:textId="77777777" w:rsidR="00676882" w:rsidRDefault="00676882" w:rsidP="00676882">
      <w:pPr>
        <w:pStyle w:val="BodyText"/>
      </w:pPr>
      <w:r>
        <w:t>Other risks include exposure to the use of inappropriate materials, inadequate design and documentation, improper manual handling, hazardous substances, working in confined and/ or restricted spaces, and condensation.</w:t>
      </w:r>
    </w:p>
    <w:p w14:paraId="17FAE709" w14:textId="77777777" w:rsidR="00676882" w:rsidRDefault="00676882" w:rsidP="00676882">
      <w:pPr>
        <w:pStyle w:val="BodyText"/>
      </w:pPr>
      <w:r>
        <w:t xml:space="preserve">The risks associated with installing ceiling insulation in existing buildings are greater than in new buildings due to uncertainty around pre-existing conditions such as wiring and electrical equipment, accessibility and exposure to hazardous substances (vermin and asbestos). The risks can be exacerbated when a householder elects to self-install. </w:t>
      </w:r>
    </w:p>
    <w:p w14:paraId="0F7DFF64" w14:textId="77777777" w:rsidR="00676882" w:rsidRDefault="00676882" w:rsidP="00676882">
      <w:pPr>
        <w:pStyle w:val="BodyText"/>
      </w:pPr>
      <w:r>
        <w:t xml:space="preserve">There are </w:t>
      </w:r>
      <w:proofErr w:type="gramStart"/>
      <w:r>
        <w:t>a number of</w:t>
      </w:r>
      <w:proofErr w:type="gramEnd"/>
      <w:r>
        <w:t xml:space="preserve"> measures to mitigate these risks including a pre-inspection of the site, mandatory installation industry training program, a requirement to comply with a range of standards, an audit program, and adequate ventilation to mitigate the build-up of condensation.</w:t>
      </w:r>
    </w:p>
    <w:p w14:paraId="6FBB5EDD" w14:textId="77777777" w:rsidR="00676882" w:rsidRDefault="00676882" w:rsidP="00676882">
      <w:pPr>
        <w:pStyle w:val="BodyText"/>
      </w:pPr>
      <w:r>
        <w:t xml:space="preserve">The Energy Efficiency Council and Australian Sustainable Built Environment Council </w:t>
      </w:r>
      <w:sdt>
        <w:sdtPr>
          <w:id w:val="420147489"/>
          <w:citation/>
        </w:sdtPr>
        <w:sdtContent>
          <w:r>
            <w:fldChar w:fldCharType="begin"/>
          </w:r>
          <w:r>
            <w:rPr>
              <w:lang w:val="en-US"/>
            </w:rPr>
            <w:instrText xml:space="preserve">CITATION Ene21 \n  \t  \l 1033 </w:instrText>
          </w:r>
          <w:r>
            <w:fldChar w:fldCharType="separate"/>
          </w:r>
          <w:r>
            <w:rPr>
              <w:noProof/>
              <w:lang w:val="en-US"/>
            </w:rPr>
            <w:t>(2021)</w:t>
          </w:r>
          <w:r>
            <w:fldChar w:fldCharType="end"/>
          </w:r>
        </w:sdtContent>
      </w:sdt>
      <w:r>
        <w:t xml:space="preserve"> identified that the insulation needs to be correctly installed to maximise benefits and reduce risks for building occupants, including minimising unnecessary gaps in the coverage of insulation, leaving space around heat-generating equipment (for example, heating fans and downlights). They developed </w:t>
      </w:r>
      <w:proofErr w:type="gramStart"/>
      <w:r>
        <w:t>a number of</w:t>
      </w:r>
      <w:proofErr w:type="gramEnd"/>
      <w:r>
        <w:t xml:space="preserve"> recommendations that would improve the safety and quality of insulation installations. The intent was for these recommendations to form the basis for a roadmap. The recommendations include:</w:t>
      </w:r>
    </w:p>
    <w:p w14:paraId="023345B1" w14:textId="77777777" w:rsidR="00676882" w:rsidRDefault="00676882" w:rsidP="00676882">
      <w:pPr>
        <w:pStyle w:val="ListBullet"/>
      </w:pPr>
      <w:r>
        <w:t>training and accreditation</w:t>
      </w:r>
    </w:p>
    <w:p w14:paraId="04053F17" w14:textId="77777777" w:rsidR="00676882" w:rsidRDefault="00676882" w:rsidP="00676882">
      <w:pPr>
        <w:pStyle w:val="ListBullet2"/>
      </w:pPr>
      <w:r>
        <w:t>insulation installers should undergo basic training relating to the safe and effective installation of insulation before they undertake any installation work</w:t>
      </w:r>
    </w:p>
    <w:p w14:paraId="58521A24" w14:textId="77777777" w:rsidR="00676882" w:rsidRDefault="00676882" w:rsidP="00676882">
      <w:pPr>
        <w:pStyle w:val="ListBullet2"/>
      </w:pPr>
      <w:r>
        <w:t>develop a competency-based ‘Insulation Professional’ certification</w:t>
      </w:r>
    </w:p>
    <w:p w14:paraId="60C1BE2B" w14:textId="77777777" w:rsidR="00676882" w:rsidRDefault="00676882" w:rsidP="00676882">
      <w:pPr>
        <w:pStyle w:val="ListBullet2"/>
      </w:pPr>
      <w:r>
        <w:t>integrate basic information on insulation in the training and Continued Professional Development of selected trades</w:t>
      </w:r>
    </w:p>
    <w:p w14:paraId="03A96625" w14:textId="77777777" w:rsidR="00676882" w:rsidRDefault="00676882" w:rsidP="00676882">
      <w:pPr>
        <w:pStyle w:val="ListBullet"/>
      </w:pPr>
      <w:r>
        <w:t>installation of insulation in building retrofits</w:t>
      </w:r>
    </w:p>
    <w:p w14:paraId="14C049D9" w14:textId="77777777" w:rsidR="00676882" w:rsidRDefault="00676882" w:rsidP="00676882">
      <w:pPr>
        <w:pStyle w:val="ListBullet2"/>
      </w:pPr>
      <w:r>
        <w:t>develop national guidelines and documents for insulation retrofits</w:t>
      </w:r>
    </w:p>
    <w:p w14:paraId="2FDDCA59" w14:textId="77777777" w:rsidR="00676882" w:rsidRDefault="00676882" w:rsidP="00676882">
      <w:pPr>
        <w:pStyle w:val="ListBullet2"/>
      </w:pPr>
      <w:r>
        <w:t>maintain a list of products that have been verified to meet the current version of the relevant Australian Standard</w:t>
      </w:r>
      <w:r>
        <w:rPr>
          <w:rStyle w:val="FootnoteReference"/>
        </w:rPr>
        <w:footnoteReference w:id="9"/>
      </w:r>
      <w:r>
        <w:t xml:space="preserve"> </w:t>
      </w:r>
    </w:p>
    <w:p w14:paraId="6AA87ADE" w14:textId="77777777" w:rsidR="00676882" w:rsidRDefault="00676882" w:rsidP="00676882">
      <w:pPr>
        <w:pStyle w:val="ListBullet2"/>
      </w:pPr>
      <w:r>
        <w:t>public programs to require the use of quality installers, processes and products, and the use of companies that are pre-approved to install insulation</w:t>
      </w:r>
    </w:p>
    <w:p w14:paraId="5C7E7BE0" w14:textId="77777777" w:rsidR="00676882" w:rsidRDefault="00676882" w:rsidP="00676882">
      <w:pPr>
        <w:pStyle w:val="ListBullet2"/>
      </w:pPr>
      <w:r>
        <w:t>commission independent audits of insulation installations completed under government programs</w:t>
      </w:r>
    </w:p>
    <w:p w14:paraId="7B63296C" w14:textId="77777777" w:rsidR="00676882" w:rsidRDefault="00676882" w:rsidP="00676882">
      <w:pPr>
        <w:pStyle w:val="ListBullet"/>
      </w:pPr>
      <w:r>
        <w:t>moving beyond an insulation-only approach</w:t>
      </w:r>
    </w:p>
    <w:p w14:paraId="26390767" w14:textId="77777777" w:rsidR="00676882" w:rsidRDefault="00676882" w:rsidP="00676882">
      <w:pPr>
        <w:pStyle w:val="ListBullet2"/>
      </w:pPr>
      <w:r>
        <w:t>maximise the benefits of insulation by integrating the installation of insulation with other elements of a building’s thermal envelope, air tightness and ventilation systems.</w:t>
      </w:r>
    </w:p>
    <w:p w14:paraId="74DDB4EF" w14:textId="77777777" w:rsidR="00676882" w:rsidRDefault="00676882" w:rsidP="00676882">
      <w:pPr>
        <w:pStyle w:val="Heading4"/>
      </w:pPr>
      <w:r>
        <w:t xml:space="preserve">Top up or replacement of poor insulation </w:t>
      </w:r>
    </w:p>
    <w:p w14:paraId="78732FB4" w14:textId="77777777" w:rsidR="00676882" w:rsidRDefault="00676882" w:rsidP="00676882">
      <w:pPr>
        <w:pStyle w:val="BodyText"/>
      </w:pPr>
      <w:r>
        <w:t xml:space="preserve">One of the issues for consideration in prescribing a higher minimum standard of insulation for existing homes that are poorly insulated is whether the insulation should be topped up or replaced. The costs are higher if existing insulation is removed rather than installing new insulation on top of </w:t>
      </w:r>
      <w:r>
        <w:lastRenderedPageBreak/>
        <w:t xml:space="preserve">existing insulation. This may require the development of clear guidelines for installers and householders to help ensure that existing insulation is only removed where necessary. </w:t>
      </w:r>
    </w:p>
    <w:p w14:paraId="75FA0865" w14:textId="77777777" w:rsidR="00676882" w:rsidRDefault="00676882" w:rsidP="00676882">
      <w:pPr>
        <w:pStyle w:val="BodyText"/>
      </w:pPr>
      <w:bookmarkStart w:id="334" w:name="_Hlk71182915"/>
      <w:r>
        <w:t xml:space="preserve">Insulation Australasia noted that insulation installers would prefer to replace installation rather than top up existing insulation as the cost of installation and margin was higher. However, tops ups are only suitable if the insulation is in reasonable condition. Insulation Australasia considered that a top up was not appropriate in circumstances where there is a rodent infestation, or where fibreglass batts would be placed over cellulose as it would increase the chance of a fire. </w:t>
      </w:r>
      <w:bookmarkEnd w:id="334"/>
    </w:p>
    <w:p w14:paraId="1420FC36" w14:textId="77777777" w:rsidR="00676882" w:rsidRDefault="00676882" w:rsidP="00676882">
      <w:pPr>
        <w:pStyle w:val="BodyText"/>
      </w:pPr>
      <w:bookmarkStart w:id="335" w:name="_Hlk71183409"/>
      <w:r>
        <w:t>The Insulation Council of Australia New Zealand also raised the fire risk associated with top ups, particularly if any wiring is on top of the original insulation. If new insulation is then placed on top of the original insulation, there is a risk of the wiring overheating. There is also a potential risk with the clearance around downlights</w:t>
      </w:r>
      <w:bookmarkEnd w:id="335"/>
      <w:r>
        <w:t xml:space="preserve">. </w:t>
      </w:r>
    </w:p>
    <w:p w14:paraId="50785E49" w14:textId="77777777" w:rsidR="00676882" w:rsidRDefault="00676882" w:rsidP="00676882">
      <w:pPr>
        <w:pStyle w:val="BodyText"/>
      </w:pPr>
      <w:r>
        <w:t>The Insulation Council of Australia New Zealand was also of the view that the risks associated with top ups are greater if the original insulation is cellulose. The cellulose can be combustible, tends to move over time and creates a hazard as the installer cannot see where to walk in the ceiling.</w:t>
      </w:r>
    </w:p>
    <w:p w14:paraId="34C5F8FA" w14:textId="77777777" w:rsidR="00676882" w:rsidRDefault="00676882" w:rsidP="00676882">
      <w:pPr>
        <w:pStyle w:val="Heading3"/>
      </w:pPr>
      <w:bookmarkStart w:id="336" w:name="_Ref76033594"/>
      <w:r>
        <w:t xml:space="preserve">Availability of a performance </w:t>
      </w:r>
      <w:bookmarkEnd w:id="336"/>
      <w:r>
        <w:t>rating tool</w:t>
      </w:r>
    </w:p>
    <w:p w14:paraId="29ED5C39" w14:textId="77777777" w:rsidR="00676882" w:rsidRDefault="00676882" w:rsidP="00676882">
      <w:pPr>
        <w:pStyle w:val="BodyText"/>
      </w:pPr>
      <w:r>
        <w:t>A performance-based standard requires the availability of a low-cost whole-of-house performance rating tool. The Victorian Scorecard is an example of this kind of performance rating tool. The two tools currently used in the ACT (ACTHERS and NatHERS) are not suitable for this purpose. The ACT Government will need a suitable performance rating tool in place prior to implementing a performance-based standard.</w:t>
      </w:r>
    </w:p>
    <w:p w14:paraId="11F7C28A" w14:textId="77777777" w:rsidR="00676882" w:rsidRDefault="00676882" w:rsidP="00676882">
      <w:pPr>
        <w:pStyle w:val="BodyText"/>
      </w:pPr>
      <w:r>
        <w:t xml:space="preserve">Additionally, trained assessors will be required to provide assessments and advice to rental providers. The analysis, above, assumes that </w:t>
      </w:r>
      <w:proofErr w:type="gramStart"/>
      <w:r>
        <w:t>a sufficient number</w:t>
      </w:r>
      <w:proofErr w:type="gramEnd"/>
      <w:r>
        <w:t xml:space="preserve"> will be trained to provide the assessments in the early years of the phase-in. However, it is unlikely that the market will support this number over the longer-term — especially as elements of the standards are no longer supported — which may inhibit those that invest in training and up-skilling, and therefore the availability of assessors when they are needed.</w:t>
      </w:r>
    </w:p>
    <w:p w14:paraId="68EED4B7" w14:textId="77777777" w:rsidR="00676882" w:rsidRDefault="00676882" w:rsidP="00676882">
      <w:pPr>
        <w:pStyle w:val="Heading4"/>
      </w:pPr>
      <w:r>
        <w:t>Presence of multiple performance standards</w:t>
      </w:r>
    </w:p>
    <w:p w14:paraId="2D634D3E" w14:textId="77777777" w:rsidR="00676882" w:rsidRDefault="00676882" w:rsidP="00676882">
      <w:pPr>
        <w:pStyle w:val="BodyText"/>
      </w:pPr>
      <w:r>
        <w:t>Multiple stakeholders complained about the confusion and difficulty surrounding the existence of multiple performance rating tools (NatHERS and ACTHERS). Adding another performance rating tool would add to this confusion, and the degree to which a rating can be convertible is questionable. Transitioning away from ACTHERS would address this issue — however, some provision would need to be made for those rental providers who have a rating other than the scorecard.</w:t>
      </w:r>
    </w:p>
    <w:p w14:paraId="5597186B" w14:textId="77777777" w:rsidR="00676882" w:rsidRDefault="00676882" w:rsidP="00676882">
      <w:pPr>
        <w:pStyle w:val="Heading3"/>
      </w:pPr>
      <w:bookmarkStart w:id="337" w:name="_Toc75177006"/>
      <w:r>
        <w:t>Public housing</w:t>
      </w:r>
      <w:bookmarkEnd w:id="337"/>
    </w:p>
    <w:p w14:paraId="209092FF" w14:textId="77777777" w:rsidR="00676882" w:rsidRDefault="00676882" w:rsidP="00676882">
      <w:pPr>
        <w:pStyle w:val="BodyText"/>
      </w:pPr>
      <w:r>
        <w:t>The burden of a minimum standard for rental properties will be particularly significant for the public housing sector generally. Several specific factors which apply to this sector include:</w:t>
      </w:r>
    </w:p>
    <w:p w14:paraId="6563F71C" w14:textId="77777777" w:rsidR="00676882" w:rsidRDefault="00676882" w:rsidP="00676882">
      <w:pPr>
        <w:pStyle w:val="ListBullet"/>
      </w:pPr>
      <w:r>
        <w:t>Expense – While the ACT Government has some policies aimed at providing energy efficiency upgrades in public housing, the funding currently available is insufficient to meet the proposed minimum standard in all houses. Budget constraints are generally the major limitation for the public sector in making upgrades to their properties.</w:t>
      </w:r>
    </w:p>
    <w:p w14:paraId="470BC909" w14:textId="77777777" w:rsidR="00676882" w:rsidRDefault="00676882" w:rsidP="00676882">
      <w:pPr>
        <w:pStyle w:val="ListBullet"/>
      </w:pPr>
      <w:r>
        <w:t>Audit of housing – A primary hurdle in applying a minimum standard to rental premises is an assessment of the condition of the properties. Undertaking an audit of the existing rental stock to identify the status of various energy efficiency characteristics of the dwellings would come at a substantial additional cost.</w:t>
      </w:r>
    </w:p>
    <w:p w14:paraId="2A2C2C46" w14:textId="77777777" w:rsidR="00676882" w:rsidRDefault="00676882" w:rsidP="00676882">
      <w:pPr>
        <w:pStyle w:val="ListBullet"/>
      </w:pPr>
      <w:r>
        <w:lastRenderedPageBreak/>
        <w:t>Vulnerable and diverse renters – Public housing caters for particularly vulnerable populations with diverse needs. Tenant consent and participation is a necessary part of any upgrades. Many public housing tenants may have trouble navigating the process of their tenancy being upgraded to meet minimum standards. These groups may need support in facilitating upgrades of thermal comfort features.</w:t>
      </w:r>
    </w:p>
    <w:p w14:paraId="7BAB3046" w14:textId="77777777" w:rsidR="00676882" w:rsidRDefault="00676882" w:rsidP="00676882">
      <w:pPr>
        <w:pStyle w:val="ListBullet"/>
      </w:pPr>
      <w:r>
        <w:t>Upgrade phase-ins – Unlike private rental leases, public housing tenants tend to stay for significantly longer periods. Accordingly, we have assumed for the purpose of modelling that upgrades are made equally in each year of the phase-in period. In addition to the capital costs of the upgrades, Housing ACT will be required to employ additional staff to manage the upgrade program.</w:t>
      </w:r>
    </w:p>
    <w:p w14:paraId="7167EC21" w14:textId="77777777" w:rsidR="00676882" w:rsidRDefault="00676882" w:rsidP="00676882">
      <w:pPr>
        <w:pStyle w:val="Heading3"/>
      </w:pPr>
      <w:r>
        <w:t>Phase-in periods</w:t>
      </w:r>
    </w:p>
    <w:p w14:paraId="3ADAB42F" w14:textId="77777777" w:rsidR="00676882" w:rsidRDefault="00676882" w:rsidP="00676882">
      <w:pPr>
        <w:pStyle w:val="BodyText"/>
      </w:pPr>
      <w:r>
        <w:t xml:space="preserve">The phase-in periods are important for helping transition the rental market to the minimum standard. Stakeholders affirmed that they would be necessary to allow rental providers the time to make upgrades. The phase-in periods in the scenarios we modelled act like a final point after which the upgrades </w:t>
      </w:r>
      <w:proofErr w:type="gramStart"/>
      <w:r>
        <w:t>have to</w:t>
      </w:r>
      <w:proofErr w:type="gramEnd"/>
      <w:r>
        <w:t xml:space="preserve"> be made, however if rental providers need to undertake upgrades at the start of a new lease, many will have to make the upgrades in the first year, unless they renew existing leases, as a high proportion of leases are signed on an annual basis. </w:t>
      </w:r>
    </w:p>
    <w:p w14:paraId="733F5533" w14:textId="77777777" w:rsidR="00676882" w:rsidRDefault="00676882" w:rsidP="00676882">
      <w:pPr>
        <w:pStyle w:val="BodyText"/>
      </w:pPr>
      <w:r>
        <w:t xml:space="preserve">The results suggest that the difference between a two- and four-year phase-in period is marginal. However, if </w:t>
      </w:r>
      <w:proofErr w:type="gramStart"/>
      <w:r>
        <w:t>a large number of</w:t>
      </w:r>
      <w:proofErr w:type="gramEnd"/>
      <w:r>
        <w:t xml:space="preserve"> rental providers are required to meet a three-star performance standard, in only two years, there will be significant pressure on some parts of industry to deliver. This has the potential to lead to poor compliance, inefficiencies, and place upward pressure on the costs to upgrade.</w:t>
      </w:r>
    </w:p>
    <w:p w14:paraId="5FB47578" w14:textId="77777777" w:rsidR="00676882" w:rsidRDefault="00676882" w:rsidP="00676882">
      <w:pPr>
        <w:pStyle w:val="BodyText"/>
      </w:pPr>
      <w:r>
        <w:t xml:space="preserve">Extending the phase-in periods and allowing rental providers to make the upgrade at any point during the phase-in will further assist rental providers, at the cost of tenants. </w:t>
      </w:r>
    </w:p>
    <w:p w14:paraId="290B64D2" w14:textId="77777777" w:rsidR="00676882" w:rsidRDefault="00676882" w:rsidP="00676882">
      <w:pPr>
        <w:pStyle w:val="Heading2"/>
      </w:pPr>
      <w:bookmarkStart w:id="338" w:name="_Toc80712599"/>
      <w:r>
        <w:t>Review strategy</w:t>
      </w:r>
      <w:bookmarkEnd w:id="338"/>
    </w:p>
    <w:p w14:paraId="3527992B" w14:textId="77777777" w:rsidR="00676882" w:rsidRDefault="00676882" w:rsidP="00676882">
      <w:pPr>
        <w:pStyle w:val="BodyText"/>
      </w:pPr>
      <w:r>
        <w:t xml:space="preserve">Good implementation will require ongoing monitoring and review after a sensible period. The modelling assumes that </w:t>
      </w:r>
      <w:proofErr w:type="gramStart"/>
      <w:r>
        <w:t>the majority of</w:t>
      </w:r>
      <w:proofErr w:type="gramEnd"/>
      <w:r>
        <w:t xml:space="preserve"> the upgrades will occur early on in the phase-in period, and that by the end of the ten-year period modelled they are substantially completed. After the end of the initial upgrades only a few properties, entering the rental market for the first time, will need upgrading. This presents a natural period of initial upgrading, then a period of less intense monitoring, and ultimately review. The Directorate should monitor non-compliance — possibly through Access Canberra and/or ACAT (as necessary).</w:t>
      </w:r>
    </w:p>
    <w:p w14:paraId="4B2BC808" w14:textId="77777777" w:rsidR="00676882" w:rsidRDefault="00676882" w:rsidP="00676882">
      <w:pPr>
        <w:pStyle w:val="BodyText"/>
      </w:pPr>
      <w:r>
        <w:t>There are no data sets which will allow for a complete comparison of rental property conditions before and after the minimum standards. However, under an appropriate Scorecard-like performance measure, some information would be generated on the state of rental properties prior to an upgrade as well as afterward. Housing ACT will be able to provide information on the change in condition for its own properties. For a features-based minimum standard, alternative evidence will need to be gathered, such as surveys of rental providers and tenants.</w:t>
      </w:r>
    </w:p>
    <w:p w14:paraId="69A5CAB2" w14:textId="77777777" w:rsidR="00676882" w:rsidRDefault="00676882" w:rsidP="00676882">
      <w:pPr>
        <w:pStyle w:val="BodyText"/>
      </w:pPr>
      <w:r>
        <w:t>At the end of the ten-year period, the Directorate should complete a formal review of the minimum standard. It should ask:</w:t>
      </w:r>
    </w:p>
    <w:p w14:paraId="185E0F2B" w14:textId="77777777" w:rsidR="00676882" w:rsidRDefault="00676882" w:rsidP="00676882">
      <w:pPr>
        <w:pStyle w:val="ListBullet"/>
      </w:pPr>
      <w:r>
        <w:t>Is there still a problem?</w:t>
      </w:r>
    </w:p>
    <w:p w14:paraId="6B78ABCD" w14:textId="77777777" w:rsidR="00676882" w:rsidRDefault="00676882" w:rsidP="00676882">
      <w:pPr>
        <w:pStyle w:val="ListBullet"/>
      </w:pPr>
      <w:r>
        <w:t>Are the objectives being met?</w:t>
      </w:r>
    </w:p>
    <w:p w14:paraId="0F63C6BF" w14:textId="77777777" w:rsidR="00676882" w:rsidRDefault="00676882" w:rsidP="00676882">
      <w:pPr>
        <w:pStyle w:val="ListBullet"/>
      </w:pPr>
      <w:r>
        <w:t>Were the impacts as anticipated?</w:t>
      </w:r>
    </w:p>
    <w:p w14:paraId="01CC36D4" w14:textId="77777777" w:rsidR="00676882" w:rsidRDefault="00676882" w:rsidP="00676882">
      <w:pPr>
        <w:pStyle w:val="ListBullet"/>
      </w:pPr>
      <w:r>
        <w:t>Is action still required?</w:t>
      </w:r>
    </w:p>
    <w:p w14:paraId="1260014A" w14:textId="77777777" w:rsidR="00676882" w:rsidRPr="00D00AD9" w:rsidRDefault="00676882" w:rsidP="00676882">
      <w:pPr>
        <w:pStyle w:val="ListBullet"/>
      </w:pPr>
      <w:r>
        <w:lastRenderedPageBreak/>
        <w:t xml:space="preserve">Could more appropriate action be taken, </w:t>
      </w:r>
      <w:proofErr w:type="gramStart"/>
      <w:r>
        <w:t>i.e.</w:t>
      </w:r>
      <w:proofErr w:type="gramEnd"/>
      <w:r>
        <w:t xml:space="preserve"> implementation of a modified or different regulatory model?</w:t>
      </w:r>
      <w:sdt>
        <w:sdtPr>
          <w:id w:val="1366326463"/>
          <w:citation/>
        </w:sdtPr>
        <w:sdtContent>
          <w:r>
            <w:fldChar w:fldCharType="begin"/>
          </w:r>
          <w:r>
            <w:instrText xml:space="preserve"> CITATION CMT03 \l 3081 </w:instrText>
          </w:r>
          <w:r>
            <w:fldChar w:fldCharType="separate"/>
          </w:r>
          <w:r>
            <w:rPr>
              <w:noProof/>
            </w:rPr>
            <w:t xml:space="preserve"> (CMTEDD, 2003)</w:t>
          </w:r>
          <w:r>
            <w:fldChar w:fldCharType="end"/>
          </w:r>
        </w:sdtContent>
      </w:sdt>
    </w:p>
    <w:bookmarkEnd w:id="324"/>
    <w:p w14:paraId="081E360D" w14:textId="77777777" w:rsidR="00676882" w:rsidRDefault="00676882" w:rsidP="00676882">
      <w:pPr>
        <w:pStyle w:val="ListBullet"/>
        <w:numPr>
          <w:ilvl w:val="0"/>
          <w:numId w:val="0"/>
        </w:numPr>
      </w:pPr>
    </w:p>
    <w:p w14:paraId="0A0C43C1" w14:textId="77777777" w:rsidR="00676882" w:rsidRDefault="00676882" w:rsidP="00676882">
      <w:pPr>
        <w:pStyle w:val="BodyText"/>
        <w:sectPr w:rsidR="00676882" w:rsidSect="00F32FCC">
          <w:headerReference w:type="even" r:id="rId79"/>
          <w:footerReference w:type="even" r:id="rId80"/>
          <w:headerReference w:type="first" r:id="rId81"/>
          <w:footerReference w:type="first" r:id="rId82"/>
          <w:pgSz w:w="11906" w:h="16838" w:code="9"/>
          <w:pgMar w:top="1134" w:right="851" w:bottom="1134" w:left="3119" w:header="454" w:footer="374"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Chapter 7"/>
        <w:tblDescription w:val="Recommendation statement"/>
      </w:tblPr>
      <w:tblGrid>
        <w:gridCol w:w="5570"/>
        <w:gridCol w:w="2366"/>
      </w:tblGrid>
      <w:tr w:rsidR="00676882" w14:paraId="23F18762" w14:textId="77777777" w:rsidTr="00DF45FA">
        <w:trPr>
          <w:trHeight w:hRule="exact" w:val="382"/>
        </w:trPr>
        <w:tc>
          <w:tcPr>
            <w:tcW w:w="5570" w:type="dxa"/>
          </w:tcPr>
          <w:p w14:paraId="138FEAFA" w14:textId="77777777" w:rsidR="00676882" w:rsidRDefault="00676882" w:rsidP="00DF45FA">
            <w:pPr>
              <w:pStyle w:val="tagchapterBanner"/>
            </w:pPr>
            <w:r>
              <w:rPr>
                <w:noProof/>
              </w:rPr>
              <w:lastRenderedPageBreak/>
              <w:drawing>
                <wp:anchor distT="0" distB="0" distL="114300" distR="114300" simplePos="0" relativeHeight="251661312" behindDoc="1" locked="1" layoutInCell="1" allowOverlap="1" wp14:anchorId="1E254D31" wp14:editId="180F1284">
                  <wp:simplePos x="0" y="0"/>
                  <wp:positionH relativeFrom="page">
                    <wp:posOffset>0</wp:posOffset>
                  </wp:positionH>
                  <wp:positionV relativeFrom="page">
                    <wp:posOffset>0</wp:posOffset>
                  </wp:positionV>
                  <wp:extent cx="5039360" cy="1995170"/>
                  <wp:effectExtent l="0" t="0" r="8890" b="5080"/>
                  <wp:wrapNone/>
                  <wp:docPr id="62"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2"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13364493" w14:textId="77777777" w:rsidR="00676882" w:rsidRDefault="00676882" w:rsidP="00DF45FA">
            <w:pPr>
              <w:pStyle w:val="spacer"/>
            </w:pPr>
          </w:p>
        </w:tc>
      </w:tr>
      <w:tr w:rsidR="00676882" w14:paraId="4E71A04C" w14:textId="77777777" w:rsidTr="00DF45FA">
        <w:trPr>
          <w:trHeight w:hRule="exact" w:val="2760"/>
        </w:trPr>
        <w:tc>
          <w:tcPr>
            <w:tcW w:w="5570" w:type="dxa"/>
            <w:vAlign w:val="bottom"/>
          </w:tcPr>
          <w:p w14:paraId="03E37520" w14:textId="77777777" w:rsidR="00676882" w:rsidRDefault="00676882" w:rsidP="00DF45FA">
            <w:pPr>
              <w:pStyle w:val="Heading1"/>
            </w:pPr>
            <w:bookmarkStart w:id="339" w:name="_Ref75434585"/>
            <w:bookmarkStart w:id="340" w:name="_Toc80712600"/>
            <w:r>
              <w:t>Recommendation statement</w:t>
            </w:r>
            <w:bookmarkEnd w:id="339"/>
            <w:bookmarkEnd w:id="340"/>
          </w:p>
        </w:tc>
        <w:tc>
          <w:tcPr>
            <w:tcW w:w="2366" w:type="dxa"/>
            <w:tcMar>
              <w:right w:w="224" w:type="dxa"/>
            </w:tcMar>
            <w:vAlign w:val="bottom"/>
          </w:tcPr>
          <w:p w14:paraId="4810FAC8" w14:textId="77777777" w:rsidR="00676882" w:rsidRDefault="00676882" w:rsidP="00DF45FA">
            <w:pPr>
              <w:pStyle w:val="HeadingChapter"/>
            </w:pPr>
            <w:r>
              <w:fldChar w:fldCharType="begin"/>
            </w:r>
            <w:r>
              <w:instrText xml:space="preserve"> SEQ ChptNum \* ARABIC </w:instrText>
            </w:r>
            <w:r>
              <w:fldChar w:fldCharType="separate"/>
            </w:r>
            <w:r>
              <w:rPr>
                <w:noProof/>
              </w:rPr>
              <w:t>7</w:t>
            </w:r>
            <w:r>
              <w:rPr>
                <w:noProof/>
              </w:rPr>
              <w:fldChar w:fldCharType="end"/>
            </w:r>
          </w:p>
        </w:tc>
      </w:tr>
      <w:tr w:rsidR="00676882" w14:paraId="76E41ECC" w14:textId="77777777" w:rsidTr="00DF45FA">
        <w:trPr>
          <w:trHeight w:hRule="exact" w:val="228"/>
        </w:trPr>
        <w:tc>
          <w:tcPr>
            <w:tcW w:w="5570" w:type="dxa"/>
          </w:tcPr>
          <w:p w14:paraId="781F750C" w14:textId="77777777" w:rsidR="00676882" w:rsidRDefault="00676882" w:rsidP="00DF45FA">
            <w:pPr>
              <w:pStyle w:val="spacer"/>
            </w:pPr>
          </w:p>
        </w:tc>
        <w:tc>
          <w:tcPr>
            <w:tcW w:w="2366" w:type="dxa"/>
          </w:tcPr>
          <w:p w14:paraId="69DA4DB6" w14:textId="77777777" w:rsidR="00676882" w:rsidRDefault="00676882" w:rsidP="00DF45FA">
            <w:pPr>
              <w:pStyle w:val="spacer"/>
            </w:pPr>
          </w:p>
        </w:tc>
      </w:tr>
    </w:tbl>
    <w:p w14:paraId="287E7697" w14:textId="77777777" w:rsidR="00676882" w:rsidRDefault="00676882" w:rsidP="00676882">
      <w:pPr>
        <w:pStyle w:val="BodyText"/>
      </w:pPr>
      <w:bookmarkStart w:id="341" w:name="_Hlk75983870"/>
      <w:r>
        <w:t xml:space="preserve">As outlined in Chapter </w:t>
      </w:r>
      <w:r w:rsidRPr="009E4AB1">
        <w:fldChar w:fldCharType="begin"/>
      </w:r>
      <w:r w:rsidRPr="009E4AB1">
        <w:instrText xml:space="preserve"> REF _Ref75434567 \n \h  \* MERGEFORMAT </w:instrText>
      </w:r>
      <w:r w:rsidRPr="009E4AB1">
        <w:fldChar w:fldCharType="separate"/>
      </w:r>
      <w:r>
        <w:t>5</w:t>
      </w:r>
      <w:r w:rsidRPr="009E4AB1">
        <w:fldChar w:fldCharType="end"/>
      </w:r>
      <w:r>
        <w:t>, the insulation options result in a net positive outcome economy-wide, while the heater and performance options come at a net cost economy-wide (</w:t>
      </w:r>
      <w:r w:rsidRPr="00A71026">
        <w:t>see</w:t>
      </w:r>
      <w:r>
        <w:rPr>
          <w:i/>
          <w:iCs/>
        </w:rPr>
        <w:t xml:space="preserve"> </w:t>
      </w:r>
      <w:r w:rsidRPr="009E4AB1">
        <w:fldChar w:fldCharType="begin"/>
      </w:r>
      <w:r w:rsidRPr="009E4AB1">
        <w:instrText xml:space="preserve"> REF _Ref80472291 \h  \* MERGEFORMAT </w:instrText>
      </w:r>
      <w:r w:rsidRPr="009E4AB1">
        <w:fldChar w:fldCharType="separate"/>
      </w:r>
      <w:r w:rsidRPr="00F32FCC">
        <w:t>Table 5.1</w:t>
      </w:r>
      <w:r w:rsidRPr="009E4AB1">
        <w:fldChar w:fldCharType="end"/>
      </w:r>
      <w:r>
        <w:t>). The R5 insulation options</w:t>
      </w:r>
      <w:proofErr w:type="gramStart"/>
      <w:r>
        <w:t>, in particular, result</w:t>
      </w:r>
      <w:proofErr w:type="gramEnd"/>
      <w:r>
        <w:t xml:space="preserve"> in the highest net present value.</w:t>
      </w:r>
    </w:p>
    <w:p w14:paraId="169849B6" w14:textId="77777777" w:rsidR="00676882" w:rsidRDefault="00676882" w:rsidP="00676882">
      <w:pPr>
        <w:pStyle w:val="BodyText"/>
      </w:pPr>
      <w:r>
        <w:t xml:space="preserve">The option with the highest net positive impact in terms of energy costs and savings is the 3-star performance option. Though the R5 insulation options also perform well. </w:t>
      </w:r>
    </w:p>
    <w:p w14:paraId="6B509033" w14:textId="77777777" w:rsidR="00676882" w:rsidRPr="001F74AF" w:rsidRDefault="00676882" w:rsidP="00676882">
      <w:r w:rsidRPr="001F74AF">
        <w:t xml:space="preserve">There are </w:t>
      </w:r>
      <w:proofErr w:type="gramStart"/>
      <w:r w:rsidRPr="001F74AF">
        <w:t>a number of</w:t>
      </w:r>
      <w:proofErr w:type="gramEnd"/>
      <w:r w:rsidRPr="001F74AF">
        <w:t xml:space="preserve"> other issues to consider alongside the results of the economy-wide CBA when assessing the way forward for the policy options considered in this RIS. These include:</w:t>
      </w:r>
    </w:p>
    <w:p w14:paraId="0CB8E081" w14:textId="77777777" w:rsidR="00676882" w:rsidRDefault="00676882" w:rsidP="00676882">
      <w:pPr>
        <w:pStyle w:val="ListBullet"/>
      </w:pPr>
      <w:r>
        <w:t xml:space="preserve">the distributional impacts on both tenants and rental providers </w:t>
      </w:r>
    </w:p>
    <w:p w14:paraId="2B895E9A" w14:textId="77777777" w:rsidR="00676882" w:rsidRDefault="00676882" w:rsidP="00676882">
      <w:pPr>
        <w:pStyle w:val="ListBullet"/>
      </w:pPr>
      <w:r>
        <w:t>the ease of regulatory burden and difficulty in implementation</w:t>
      </w:r>
    </w:p>
    <w:p w14:paraId="4FFEF417" w14:textId="77777777" w:rsidR="00676882" w:rsidRDefault="00676882" w:rsidP="00676882">
      <w:pPr>
        <w:pStyle w:val="ListBullet"/>
      </w:pPr>
      <w:r>
        <w:t>the views and preferences of the impacted parties.</w:t>
      </w:r>
    </w:p>
    <w:p w14:paraId="02E6EE66" w14:textId="77777777" w:rsidR="00676882" w:rsidRDefault="00676882" w:rsidP="00676882">
      <w:pPr>
        <w:pStyle w:val="BodyText"/>
      </w:pPr>
      <w:r w:rsidRPr="00091E22">
        <w:t>In</w:t>
      </w:r>
      <w:r>
        <w:t xml:space="preserve"> </w:t>
      </w:r>
      <w:r w:rsidRPr="00091E22">
        <w:t>terms</w:t>
      </w:r>
      <w:r>
        <w:t xml:space="preserve"> </w:t>
      </w:r>
      <w:r w:rsidRPr="00091E22">
        <w:t>of</w:t>
      </w:r>
      <w:r>
        <w:t xml:space="preserve"> </w:t>
      </w:r>
      <w:r w:rsidRPr="00091E22">
        <w:t>impacts</w:t>
      </w:r>
      <w:r>
        <w:t xml:space="preserve"> </w:t>
      </w:r>
      <w:r w:rsidRPr="00091E22">
        <w:t>on</w:t>
      </w:r>
      <w:r>
        <w:t xml:space="preserve"> </w:t>
      </w:r>
      <w:r w:rsidRPr="00091E22">
        <w:t>individual</w:t>
      </w:r>
      <w:r>
        <w:t xml:space="preserve"> </w:t>
      </w:r>
      <w:r w:rsidRPr="00091E22">
        <w:t>households</w:t>
      </w:r>
      <w:r>
        <w:t xml:space="preserve"> (distributional impacts)</w:t>
      </w:r>
      <w:r w:rsidRPr="00091E22">
        <w:t>,</w:t>
      </w:r>
      <w:r>
        <w:t xml:space="preserve"> </w:t>
      </w:r>
      <w:r w:rsidRPr="00091E22">
        <w:t>the</w:t>
      </w:r>
      <w:r>
        <w:t xml:space="preserve"> </w:t>
      </w:r>
      <w:r w:rsidRPr="00091E22">
        <w:t>policy</w:t>
      </w:r>
      <w:r>
        <w:t xml:space="preserve"> </w:t>
      </w:r>
      <w:r w:rsidRPr="00091E22">
        <w:t>option</w:t>
      </w:r>
      <w:r>
        <w:t xml:space="preserve"> </w:t>
      </w:r>
      <w:r w:rsidRPr="00091E22">
        <w:t>that</w:t>
      </w:r>
      <w:r>
        <w:t xml:space="preserve"> </w:t>
      </w:r>
      <w:r w:rsidRPr="00091E22">
        <w:t>would</w:t>
      </w:r>
      <w:r>
        <w:t xml:space="preserve"> </w:t>
      </w:r>
      <w:r w:rsidRPr="00091E22">
        <w:t>provide</w:t>
      </w:r>
      <w:r>
        <w:t xml:space="preserve"> </w:t>
      </w:r>
      <w:r w:rsidRPr="00091E22">
        <w:t>the</w:t>
      </w:r>
      <w:r>
        <w:t xml:space="preserve"> </w:t>
      </w:r>
      <w:r w:rsidRPr="00091E22">
        <w:t>highest</w:t>
      </w:r>
      <w:r>
        <w:t xml:space="preserve"> </w:t>
      </w:r>
      <w:r w:rsidRPr="00091E22">
        <w:t>potential</w:t>
      </w:r>
      <w:r>
        <w:t xml:space="preserve"> </w:t>
      </w:r>
      <w:r w:rsidRPr="00091E22">
        <w:t>net</w:t>
      </w:r>
      <w:r>
        <w:t xml:space="preserve"> </w:t>
      </w:r>
      <w:r w:rsidRPr="00091E22">
        <w:t>benefit</w:t>
      </w:r>
      <w:r>
        <w:t xml:space="preserve"> </w:t>
      </w:r>
      <w:r w:rsidRPr="00091E22">
        <w:t>to</w:t>
      </w:r>
      <w:r>
        <w:t xml:space="preserve"> </w:t>
      </w:r>
      <w:r w:rsidRPr="00091E22">
        <w:t>renters</w:t>
      </w:r>
      <w:r>
        <w:t xml:space="preserve"> </w:t>
      </w:r>
      <w:r w:rsidRPr="00091E22">
        <w:t>(despite</w:t>
      </w:r>
      <w:r>
        <w:t xml:space="preserve"> potential </w:t>
      </w:r>
      <w:r w:rsidRPr="00091E22">
        <w:t>full</w:t>
      </w:r>
      <w:r>
        <w:t xml:space="preserve"> </w:t>
      </w:r>
      <w:r w:rsidRPr="00091E22">
        <w:t>cost</w:t>
      </w:r>
      <w:r>
        <w:t xml:space="preserve"> </w:t>
      </w:r>
      <w:r w:rsidRPr="00091E22">
        <w:t>pass-through) would</w:t>
      </w:r>
      <w:r>
        <w:t xml:space="preserve"> </w:t>
      </w:r>
      <w:r w:rsidRPr="00091E22">
        <w:t>be</w:t>
      </w:r>
      <w:r>
        <w:t xml:space="preserve"> </w:t>
      </w:r>
      <w:r w:rsidRPr="00091E22">
        <w:t>the</w:t>
      </w:r>
      <w:r>
        <w:t xml:space="preserve"> installation of </w:t>
      </w:r>
      <w:r w:rsidRPr="00091E22">
        <w:t>R5</w:t>
      </w:r>
      <w:r>
        <w:t xml:space="preserve"> ceiling </w:t>
      </w:r>
      <w:r w:rsidRPr="00091E22">
        <w:t>insulation</w:t>
      </w:r>
      <w:r>
        <w:t xml:space="preserve"> </w:t>
      </w:r>
      <w:r w:rsidRPr="00091E22">
        <w:t>with</w:t>
      </w:r>
      <w:r>
        <w:t xml:space="preserve"> </w:t>
      </w:r>
      <w:r w:rsidRPr="00091E22">
        <w:t>a</w:t>
      </w:r>
      <w:r>
        <w:t xml:space="preserve"> </w:t>
      </w:r>
      <w:r w:rsidRPr="00091E22">
        <w:t>two-year</w:t>
      </w:r>
      <w:r>
        <w:t xml:space="preserve"> </w:t>
      </w:r>
      <w:r w:rsidRPr="00091E22">
        <w:t>phase-in</w:t>
      </w:r>
      <w:r>
        <w:t xml:space="preserve"> (</w:t>
      </w:r>
      <w:r>
        <w:rPr>
          <w:i/>
          <w:iCs/>
        </w:rPr>
        <w:t xml:space="preserve">Option c </w:t>
      </w:r>
      <w:r>
        <w:t xml:space="preserve">in </w:t>
      </w:r>
      <w:r w:rsidRPr="009E4AB1">
        <w:fldChar w:fldCharType="begin"/>
      </w:r>
      <w:r w:rsidRPr="009E4AB1">
        <w:instrText xml:space="preserve"> REF _Ref75879333 \h  \* MERGEFORMAT </w:instrText>
      </w:r>
      <w:r w:rsidRPr="009E4AB1">
        <w:fldChar w:fldCharType="separate"/>
      </w:r>
      <w:r w:rsidRPr="00F32FCC">
        <w:t>Table 5.2</w:t>
      </w:r>
      <w:r w:rsidRPr="009E4AB1">
        <w:fldChar w:fldCharType="end"/>
      </w:r>
      <w:r>
        <w:t xml:space="preserve">). However, this is only marginally better than the four-year phase-in, and is a result of receiving the benefits marginally sooner for only a few households. </w:t>
      </w:r>
    </w:p>
    <w:p w14:paraId="705482F0" w14:textId="77777777" w:rsidR="00676882" w:rsidRDefault="00676882" w:rsidP="00676882">
      <w:pPr>
        <w:pStyle w:val="BodyText"/>
      </w:pPr>
      <w:r>
        <w:t>The insulation options are also relatively less expensive for rental providers, especially compared with the performance options. Expenses for rental providers, if they are unable to pass through costs, are in the order of $3 per week over the life of the asset, and only a fraction of a per cent of rental returns.</w:t>
      </w:r>
      <w:r>
        <w:rPr>
          <w:rStyle w:val="FootnoteReference"/>
        </w:rPr>
        <w:footnoteReference w:id="10"/>
      </w:r>
      <w:r>
        <w:t xml:space="preserve"> </w:t>
      </w:r>
    </w:p>
    <w:p w14:paraId="753020C1" w14:textId="77777777" w:rsidR="00676882" w:rsidRDefault="00676882" w:rsidP="00676882">
      <w:pPr>
        <w:pStyle w:val="ListBullet"/>
        <w:numPr>
          <w:ilvl w:val="0"/>
          <w:numId w:val="0"/>
        </w:numPr>
      </w:pPr>
      <w:r>
        <w:t>The option with the strongest supporting evidence is the installation of R5 ceiling insulation with a four-year phase-in (</w:t>
      </w:r>
      <w:r w:rsidRPr="00A642FD">
        <w:rPr>
          <w:i/>
          <w:iCs/>
        </w:rPr>
        <w:t>Option</w:t>
      </w:r>
      <w:r>
        <w:rPr>
          <w:i/>
          <w:iCs/>
        </w:rPr>
        <w:t xml:space="preserve"> </w:t>
      </w:r>
      <w:r w:rsidRPr="00A642FD">
        <w:rPr>
          <w:i/>
          <w:iCs/>
        </w:rPr>
        <w:t>d</w:t>
      </w:r>
      <w:r>
        <w:t>). Evidence supporting this include:</w:t>
      </w:r>
    </w:p>
    <w:p w14:paraId="52658EB6" w14:textId="77777777" w:rsidR="00676882" w:rsidRDefault="00676882" w:rsidP="00676882">
      <w:pPr>
        <w:pStyle w:val="ListBullet"/>
      </w:pPr>
      <w:r>
        <w:t>T</w:t>
      </w:r>
      <w:r w:rsidRPr="00020982">
        <w:t>he</w:t>
      </w:r>
      <w:r>
        <w:t xml:space="preserve"> economy-wide benefits of </w:t>
      </w:r>
      <w:r w:rsidRPr="005B03C8">
        <w:rPr>
          <w:i/>
          <w:iCs/>
        </w:rPr>
        <w:t>Option</w:t>
      </w:r>
      <w:r>
        <w:rPr>
          <w:i/>
          <w:iCs/>
        </w:rPr>
        <w:t xml:space="preserve"> </w:t>
      </w:r>
      <w:r w:rsidRPr="005B03C8">
        <w:rPr>
          <w:i/>
          <w:iCs/>
        </w:rPr>
        <w:t>d</w:t>
      </w:r>
      <w:r>
        <w:rPr>
          <w:i/>
          <w:iCs/>
        </w:rPr>
        <w:t xml:space="preserve"> </w:t>
      </w:r>
      <w:r>
        <w:t xml:space="preserve">are the highest at the reference discount rate (three per cent). Furthermore, it remains the best option across comparison discount rates (see section </w:t>
      </w:r>
      <w:r w:rsidRPr="009E4AB1">
        <w:fldChar w:fldCharType="begin"/>
      </w:r>
      <w:r w:rsidRPr="009E4AB1">
        <w:instrText xml:space="preserve"> REF _Ref80472933 \r \h  \* MERGEFORMAT </w:instrText>
      </w:r>
      <w:r w:rsidRPr="009E4AB1">
        <w:fldChar w:fldCharType="separate"/>
      </w:r>
      <w:r>
        <w:t>5.4.1</w:t>
      </w:r>
      <w:r w:rsidRPr="009E4AB1">
        <w:fldChar w:fldCharType="end"/>
      </w:r>
      <w:r>
        <w:t>).</w:t>
      </w:r>
    </w:p>
    <w:p w14:paraId="1D20CD09" w14:textId="77777777" w:rsidR="00676882" w:rsidRDefault="00676882" w:rsidP="00676882">
      <w:pPr>
        <w:pStyle w:val="ListBullet"/>
      </w:pPr>
      <w:r>
        <w:rPr>
          <w:i/>
          <w:iCs/>
        </w:rPr>
        <w:t>Option d</w:t>
      </w:r>
      <w:r>
        <w:t xml:space="preserve"> remains the preferred option robustly across changes in many of the key drivers of costs and benefits (see section </w:t>
      </w:r>
      <w:r w:rsidRPr="009E4AB1">
        <w:fldChar w:fldCharType="begin"/>
      </w:r>
      <w:r w:rsidRPr="009E4AB1">
        <w:instrText xml:space="preserve"> REF _Ref75814528 \r \h  \* MERGEFORMAT </w:instrText>
      </w:r>
      <w:r w:rsidRPr="009E4AB1">
        <w:fldChar w:fldCharType="separate"/>
      </w:r>
      <w:r>
        <w:t>5.4</w:t>
      </w:r>
      <w:r w:rsidRPr="009E4AB1">
        <w:fldChar w:fldCharType="end"/>
      </w:r>
      <w:r>
        <w:t>).</w:t>
      </w:r>
    </w:p>
    <w:p w14:paraId="0E66A1D9" w14:textId="77777777" w:rsidR="00676882" w:rsidRDefault="00676882" w:rsidP="00676882">
      <w:pPr>
        <w:pStyle w:val="ListBullet"/>
      </w:pPr>
      <w:r>
        <w:t xml:space="preserve">Even if rental providers were to pass the cost of the upgrades in full to renters, the installation of R5 ceiling insulation would provide the highest potential net benefit to tenants over the life of the upgrade ($8,431 or $8,362 for a two- and four-year phase-in, respectively). With no cost pass-through, the net benefits to tenants are relatively high (but not the highest) against the other options and are the highest of the feature-based minimum standards (see </w:t>
      </w:r>
      <w:r w:rsidRPr="009E4AB1">
        <w:fldChar w:fldCharType="begin"/>
      </w:r>
      <w:r w:rsidRPr="009E4AB1">
        <w:instrText xml:space="preserve"> REF _Ref75879333 \h  \* MERGEFORMAT </w:instrText>
      </w:r>
      <w:r w:rsidRPr="009E4AB1">
        <w:fldChar w:fldCharType="separate"/>
      </w:r>
      <w:r w:rsidRPr="00F32FCC">
        <w:t>Table 5.2</w:t>
      </w:r>
      <w:r w:rsidRPr="009E4AB1">
        <w:fldChar w:fldCharType="end"/>
      </w:r>
      <w:r>
        <w:t>).</w:t>
      </w:r>
    </w:p>
    <w:p w14:paraId="125BB191" w14:textId="77777777" w:rsidR="00676882" w:rsidRDefault="00676882" w:rsidP="00676882">
      <w:r>
        <w:lastRenderedPageBreak/>
        <w:t xml:space="preserve">Without cost pass-through, the impacts on after-tax rental returns for the installation of R5 ceiling insulation are relatively small for both houses and units (see </w:t>
      </w:r>
      <w:r w:rsidRPr="009E4AB1">
        <w:fldChar w:fldCharType="begin"/>
      </w:r>
      <w:r w:rsidRPr="009E4AB1">
        <w:instrText xml:space="preserve"> REF _Ref75897024 \h  \* MERGEFORMAT </w:instrText>
      </w:r>
      <w:r w:rsidRPr="009E4AB1">
        <w:fldChar w:fldCharType="separate"/>
      </w:r>
      <w:r w:rsidRPr="00F32FCC">
        <w:t>Table 5.4</w:t>
      </w:r>
      <w:r w:rsidRPr="009E4AB1">
        <w:fldChar w:fldCharType="end"/>
      </w:r>
      <w:r>
        <w:t xml:space="preserve"> and </w:t>
      </w:r>
      <w:r w:rsidRPr="009E4AB1">
        <w:fldChar w:fldCharType="begin"/>
      </w:r>
      <w:r w:rsidRPr="009E4AB1">
        <w:instrText xml:space="preserve"> REF _Ref75897175 \h  \* MERGEFORMAT </w:instrText>
      </w:r>
      <w:r w:rsidRPr="009E4AB1">
        <w:fldChar w:fldCharType="separate"/>
      </w:r>
      <w:r w:rsidRPr="00F32FCC">
        <w:t>Table 5.5</w:t>
      </w:r>
      <w:r w:rsidRPr="009E4AB1">
        <w:fldChar w:fldCharType="end"/>
      </w:r>
      <w:r>
        <w:t>).</w:t>
      </w:r>
    </w:p>
    <w:p w14:paraId="62B7AFD6" w14:textId="77777777" w:rsidR="00676882" w:rsidRDefault="00676882" w:rsidP="00676882">
      <w:pPr>
        <w:pStyle w:val="ListBullet"/>
      </w:pPr>
      <w:r>
        <w:t xml:space="preserve">It is relatively simpler for rental providers to comply with a feature-based minimum standard than a performance-based standard. It will require less time to organise, fewer inspections, and is relatively straightforward to make upgrades. Further, it requires no additional regulatory mechanisms — for example, it does not require the implementation and industry development to support a scorecard type performance measure </w:t>
      </w:r>
      <w:bookmarkStart w:id="342" w:name="_Hlk75984021"/>
      <w:r>
        <w:t xml:space="preserve">(see section </w:t>
      </w:r>
      <w:r w:rsidRPr="009E4AB1">
        <w:fldChar w:fldCharType="begin"/>
      </w:r>
      <w:r w:rsidRPr="009E4AB1">
        <w:instrText xml:space="preserve"> REF _Ref76033594 \r \h  \* MERGEFORMAT </w:instrText>
      </w:r>
      <w:r w:rsidRPr="009E4AB1">
        <w:fldChar w:fldCharType="separate"/>
      </w:r>
      <w:r>
        <w:t>6.3.2</w:t>
      </w:r>
      <w:r w:rsidRPr="009E4AB1">
        <w:fldChar w:fldCharType="end"/>
      </w:r>
      <w:r>
        <w:t xml:space="preserve">). This is not to say that this option is without risks (these are discussed in </w:t>
      </w:r>
      <w:r w:rsidRPr="009E4AB1">
        <w:fldChar w:fldCharType="begin"/>
      </w:r>
      <w:r w:rsidRPr="009E4AB1">
        <w:instrText xml:space="preserve"> REF _Ref70952139 \n \h  \* MERGEFORMAT </w:instrText>
      </w:r>
      <w:r w:rsidRPr="009E4AB1">
        <w:fldChar w:fldCharType="separate"/>
      </w:r>
      <w:r>
        <w:t>6.3.1</w:t>
      </w:r>
      <w:r w:rsidRPr="009E4AB1">
        <w:fldChar w:fldCharType="end"/>
      </w:r>
      <w:r>
        <w:t>).</w:t>
      </w:r>
      <w:bookmarkEnd w:id="342"/>
    </w:p>
    <w:p w14:paraId="3BE18C5E" w14:textId="77777777" w:rsidR="00676882" w:rsidRDefault="00676882" w:rsidP="00676882">
      <w:pPr>
        <w:pStyle w:val="ListBullet"/>
      </w:pPr>
      <w:r>
        <w:t xml:space="preserve">The ceiling insulation option was the second-most preferred option for rental providers, tenants, and owner-occupiers — the option which generated the most consensus. Of rental providers who responded to our survey, 39 per cent agreed or strongly agreed with roof insulation; 90 per cent of tenants agreed or strongly agreed; and 62 per cent of owner-occupiers agreed or strongly agreed (see section </w:t>
      </w:r>
      <w:r w:rsidRPr="009E4AB1">
        <w:fldChar w:fldCharType="begin"/>
      </w:r>
      <w:r w:rsidRPr="009E4AB1">
        <w:instrText xml:space="preserve"> REF _Ref75948592 \r \h  \* MERGEFORMAT </w:instrText>
      </w:r>
      <w:r w:rsidRPr="009E4AB1">
        <w:fldChar w:fldCharType="separate"/>
      </w:r>
      <w:r>
        <w:t>F.2</w:t>
      </w:r>
      <w:r w:rsidRPr="009E4AB1">
        <w:fldChar w:fldCharType="end"/>
      </w:r>
      <w:r>
        <w:t>).</w:t>
      </w:r>
    </w:p>
    <w:p w14:paraId="56D2D401" w14:textId="77777777" w:rsidR="00676882" w:rsidRDefault="00676882" w:rsidP="00676882">
      <w:pPr>
        <w:pStyle w:val="BodyText"/>
      </w:pPr>
      <w:r w:rsidRPr="00995267">
        <w:t>Beyond</w:t>
      </w:r>
      <w:r>
        <w:t xml:space="preserve"> </w:t>
      </w:r>
      <w:r w:rsidRPr="00995267">
        <w:t>the</w:t>
      </w:r>
      <w:r>
        <w:t xml:space="preserve"> i</w:t>
      </w:r>
      <w:r w:rsidRPr="00995267">
        <w:t>mpact</w:t>
      </w:r>
      <w:r>
        <w:t xml:space="preserve"> </w:t>
      </w:r>
      <w:r w:rsidRPr="00995267">
        <w:t>analysis,</w:t>
      </w:r>
      <w:r>
        <w:t xml:space="preserve"> </w:t>
      </w:r>
      <w:r w:rsidRPr="00995267">
        <w:t>there</w:t>
      </w:r>
      <w:r>
        <w:t xml:space="preserve"> </w:t>
      </w:r>
      <w:r w:rsidRPr="00995267">
        <w:t>are</w:t>
      </w:r>
      <w:r>
        <w:t xml:space="preserve"> </w:t>
      </w:r>
      <w:proofErr w:type="gramStart"/>
      <w:r w:rsidRPr="00995267">
        <w:t>a</w:t>
      </w:r>
      <w:r>
        <w:t xml:space="preserve"> </w:t>
      </w:r>
      <w:r w:rsidRPr="00995267">
        <w:t>number</w:t>
      </w:r>
      <w:r>
        <w:t xml:space="preserve"> </w:t>
      </w:r>
      <w:r w:rsidRPr="00995267">
        <w:t>of</w:t>
      </w:r>
      <w:proofErr w:type="gramEnd"/>
      <w:r>
        <w:t xml:space="preserve"> </w:t>
      </w:r>
      <w:r w:rsidRPr="00995267">
        <w:t>implementation</w:t>
      </w:r>
      <w:r>
        <w:t xml:space="preserve"> </w:t>
      </w:r>
      <w:r w:rsidRPr="00995267">
        <w:t>and</w:t>
      </w:r>
      <w:r>
        <w:t xml:space="preserve"> </w:t>
      </w:r>
      <w:r w:rsidRPr="00995267">
        <w:t>other</w:t>
      </w:r>
      <w:r>
        <w:t xml:space="preserve"> </w:t>
      </w:r>
      <w:r w:rsidRPr="00995267">
        <w:t>considerations</w:t>
      </w:r>
      <w:r>
        <w:t xml:space="preserve"> </w:t>
      </w:r>
      <w:r w:rsidRPr="00995267">
        <w:t>that</w:t>
      </w:r>
      <w:r>
        <w:t xml:space="preserve"> </w:t>
      </w:r>
      <w:r w:rsidRPr="00995267">
        <w:t>are</w:t>
      </w:r>
      <w:r>
        <w:t xml:space="preserve"> </w:t>
      </w:r>
      <w:r w:rsidRPr="00995267">
        <w:t>important</w:t>
      </w:r>
      <w:r>
        <w:t xml:space="preserve"> </w:t>
      </w:r>
      <w:r w:rsidRPr="00995267">
        <w:t>when</w:t>
      </w:r>
      <w:r>
        <w:t xml:space="preserve"> </w:t>
      </w:r>
      <w:r w:rsidRPr="00995267">
        <w:t>making</w:t>
      </w:r>
      <w:r>
        <w:t xml:space="preserve"> </w:t>
      </w:r>
      <w:r w:rsidRPr="00995267">
        <w:t>the</w:t>
      </w:r>
      <w:r>
        <w:t xml:space="preserve"> </w:t>
      </w:r>
      <w:r w:rsidRPr="00995267">
        <w:t>decision</w:t>
      </w:r>
      <w:r>
        <w:t>, including whether certain properties should be excluded from the minimum standard based on the costs relative to the benefits for those specific properties</w:t>
      </w:r>
      <w:r w:rsidRPr="00995267">
        <w:t>.</w:t>
      </w:r>
      <w:r>
        <w:t xml:space="preserve"> </w:t>
      </w:r>
    </w:p>
    <w:p w14:paraId="711C0CBE" w14:textId="77777777" w:rsidR="00676882" w:rsidRPr="00995267" w:rsidRDefault="00676882" w:rsidP="00676882">
      <w:pPr>
        <w:pStyle w:val="BodyText"/>
      </w:pPr>
      <w:r w:rsidRPr="00995267">
        <w:t>Stakeholders</w:t>
      </w:r>
      <w:r>
        <w:t xml:space="preserve"> </w:t>
      </w:r>
      <w:r w:rsidRPr="00995267">
        <w:t>(internal</w:t>
      </w:r>
      <w:r>
        <w:t xml:space="preserve"> </w:t>
      </w:r>
      <w:r w:rsidRPr="00995267">
        <w:t>and</w:t>
      </w:r>
      <w:r>
        <w:t xml:space="preserve"> </w:t>
      </w:r>
      <w:r w:rsidRPr="00995267">
        <w:t>external) suggested</w:t>
      </w:r>
      <w:r>
        <w:t xml:space="preserve"> </w:t>
      </w:r>
      <w:r w:rsidRPr="00995267">
        <w:t>a</w:t>
      </w:r>
      <w:r>
        <w:t xml:space="preserve"> </w:t>
      </w:r>
      <w:r w:rsidRPr="00995267">
        <w:t>features-based</w:t>
      </w:r>
      <w:r>
        <w:t xml:space="preserve"> </w:t>
      </w:r>
      <w:r w:rsidRPr="00995267">
        <w:t>minimum</w:t>
      </w:r>
      <w:r>
        <w:t xml:space="preserve"> </w:t>
      </w:r>
      <w:r w:rsidRPr="00995267">
        <w:t>standard</w:t>
      </w:r>
      <w:r>
        <w:t xml:space="preserve"> </w:t>
      </w:r>
      <w:r w:rsidRPr="00995267">
        <w:t>would</w:t>
      </w:r>
      <w:r>
        <w:t xml:space="preserve"> </w:t>
      </w:r>
      <w:r w:rsidRPr="00995267">
        <w:t>be</w:t>
      </w:r>
      <w:r>
        <w:t xml:space="preserve"> </w:t>
      </w:r>
      <w:r w:rsidRPr="00995267">
        <w:t>a</w:t>
      </w:r>
      <w:r>
        <w:t xml:space="preserve"> </w:t>
      </w:r>
      <w:r w:rsidRPr="00995267">
        <w:t>preferable</w:t>
      </w:r>
      <w:r>
        <w:t xml:space="preserve"> </w:t>
      </w:r>
      <w:r w:rsidRPr="00995267">
        <w:t>short-term</w:t>
      </w:r>
      <w:r>
        <w:t xml:space="preserve"> </w:t>
      </w:r>
      <w:r w:rsidRPr="00995267">
        <w:t>option,</w:t>
      </w:r>
      <w:r>
        <w:t xml:space="preserve"> </w:t>
      </w:r>
      <w:r w:rsidRPr="00995267">
        <w:t>with</w:t>
      </w:r>
      <w:r>
        <w:t xml:space="preserve"> </w:t>
      </w:r>
      <w:r w:rsidRPr="00995267">
        <w:t>a</w:t>
      </w:r>
      <w:r>
        <w:t xml:space="preserve"> </w:t>
      </w:r>
      <w:r w:rsidRPr="00995267">
        <w:t>performance-based</w:t>
      </w:r>
      <w:r>
        <w:t xml:space="preserve"> </w:t>
      </w:r>
      <w:r w:rsidRPr="00995267">
        <w:t>option</w:t>
      </w:r>
      <w:r>
        <w:t xml:space="preserve"> preferred </w:t>
      </w:r>
      <w:r w:rsidRPr="00995267">
        <w:t>in</w:t>
      </w:r>
      <w:r>
        <w:t xml:space="preserve"> </w:t>
      </w:r>
      <w:r w:rsidRPr="00995267">
        <w:t>the</w:t>
      </w:r>
      <w:r>
        <w:t xml:space="preserve"> </w:t>
      </w:r>
      <w:r w:rsidRPr="00995267">
        <w:t>longer-term.</w:t>
      </w:r>
      <w:r>
        <w:t xml:space="preserve"> If the implementation of a performance-based standard, and capital costs could be managed (for example, through exemptions and/or maximum expenditure limits) with a sensible trade-off for benefits, it may become a more viable option. </w:t>
      </w:r>
    </w:p>
    <w:bookmarkEnd w:id="341"/>
    <w:p w14:paraId="5C21C1D1" w14:textId="77777777" w:rsidR="00676882" w:rsidRDefault="00676882" w:rsidP="00676882">
      <w:pPr>
        <w:pStyle w:val="BodyText"/>
      </w:pPr>
    </w:p>
    <w:p w14:paraId="1615653E" w14:textId="77777777" w:rsidR="00676882" w:rsidRDefault="00676882" w:rsidP="00676882">
      <w:pPr>
        <w:pStyle w:val="BodyText"/>
      </w:pPr>
    </w:p>
    <w:p w14:paraId="4DD9A7BB" w14:textId="77777777" w:rsidR="00676882" w:rsidRDefault="00676882" w:rsidP="00676882">
      <w:pPr>
        <w:pStyle w:val="BodyText"/>
      </w:pPr>
    </w:p>
    <w:p w14:paraId="32049138" w14:textId="77777777" w:rsidR="00676882" w:rsidRDefault="00676882" w:rsidP="00676882">
      <w:pPr>
        <w:pStyle w:val="BodyText"/>
      </w:pPr>
    </w:p>
    <w:p w14:paraId="7443D47A" w14:textId="77777777" w:rsidR="00676882" w:rsidRDefault="00676882" w:rsidP="00676882">
      <w:pPr>
        <w:pStyle w:val="BodyText"/>
        <w:sectPr w:rsidR="00676882" w:rsidSect="00F32FCC">
          <w:headerReference w:type="even" r:id="rId83"/>
          <w:footerReference w:type="even" r:id="rId84"/>
          <w:headerReference w:type="first" r:id="rId85"/>
          <w:footerReference w:type="first" r:id="rId86"/>
          <w:pgSz w:w="11906" w:h="16838" w:code="9"/>
          <w:pgMar w:top="1134" w:right="851" w:bottom="1134" w:left="3119" w:header="454" w:footer="374"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References"/>
        <w:tblDescription w:val="References"/>
      </w:tblPr>
      <w:tblGrid>
        <w:gridCol w:w="5570"/>
        <w:gridCol w:w="2366"/>
      </w:tblGrid>
      <w:tr w:rsidR="00676882" w14:paraId="4FAA7DF3" w14:textId="77777777" w:rsidTr="00DF45FA">
        <w:trPr>
          <w:trHeight w:hRule="exact" w:val="382"/>
        </w:trPr>
        <w:tc>
          <w:tcPr>
            <w:tcW w:w="5570" w:type="dxa"/>
          </w:tcPr>
          <w:p w14:paraId="693B42EE" w14:textId="77777777" w:rsidR="00676882" w:rsidRDefault="00676882" w:rsidP="00DF45FA">
            <w:pPr>
              <w:pStyle w:val="tagrefsChpt"/>
              <w:pageBreakBefore/>
            </w:pPr>
            <w:r>
              <w:rPr>
                <w:noProof/>
              </w:rPr>
              <w:lastRenderedPageBreak/>
              <w:drawing>
                <wp:anchor distT="0" distB="0" distL="114300" distR="114300" simplePos="0" relativeHeight="251666432" behindDoc="1" locked="1" layoutInCell="1" allowOverlap="1" wp14:anchorId="154610E5" wp14:editId="3C02EAD9">
                  <wp:simplePos x="0" y="0"/>
                  <wp:positionH relativeFrom="page">
                    <wp:posOffset>0</wp:posOffset>
                  </wp:positionH>
                  <wp:positionV relativeFrom="page">
                    <wp:posOffset>0</wp:posOffset>
                  </wp:positionV>
                  <wp:extent cx="5039360" cy="1995170"/>
                  <wp:effectExtent l="0" t="0" r="8890" b="5080"/>
                  <wp:wrapNone/>
                  <wp:docPr id="74"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4"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218392FB" w14:textId="77777777" w:rsidR="00676882" w:rsidRDefault="00676882" w:rsidP="00DF45FA">
            <w:pPr>
              <w:pStyle w:val="spacer"/>
            </w:pPr>
          </w:p>
        </w:tc>
      </w:tr>
      <w:tr w:rsidR="00676882" w14:paraId="32079868" w14:textId="77777777" w:rsidTr="00DF45FA">
        <w:trPr>
          <w:trHeight w:hRule="exact" w:val="2760"/>
        </w:trPr>
        <w:tc>
          <w:tcPr>
            <w:tcW w:w="5570" w:type="dxa"/>
            <w:vAlign w:val="bottom"/>
          </w:tcPr>
          <w:p w14:paraId="5AAEBA27" w14:textId="77777777" w:rsidR="00676882" w:rsidRDefault="00676882" w:rsidP="00DF45FA">
            <w:pPr>
              <w:pStyle w:val="Headingglossary"/>
            </w:pPr>
            <w:bookmarkStart w:id="343" w:name="_Toc80712601"/>
            <w:r>
              <w:t>References</w:t>
            </w:r>
            <w:bookmarkEnd w:id="343"/>
          </w:p>
        </w:tc>
        <w:tc>
          <w:tcPr>
            <w:tcW w:w="2366" w:type="dxa"/>
            <w:tcMar>
              <w:right w:w="224" w:type="dxa"/>
            </w:tcMar>
            <w:vAlign w:val="bottom"/>
          </w:tcPr>
          <w:p w14:paraId="7C285310" w14:textId="77777777" w:rsidR="00676882" w:rsidRDefault="00676882" w:rsidP="00DF45FA">
            <w:pPr>
              <w:pStyle w:val="spacer"/>
            </w:pPr>
          </w:p>
        </w:tc>
      </w:tr>
      <w:tr w:rsidR="00676882" w14:paraId="04602565" w14:textId="77777777" w:rsidTr="00DF45FA">
        <w:trPr>
          <w:trHeight w:hRule="exact" w:val="228"/>
        </w:trPr>
        <w:tc>
          <w:tcPr>
            <w:tcW w:w="5570" w:type="dxa"/>
          </w:tcPr>
          <w:p w14:paraId="686E908A" w14:textId="77777777" w:rsidR="00676882" w:rsidRDefault="00676882" w:rsidP="00DF45FA">
            <w:pPr>
              <w:pStyle w:val="spacer"/>
            </w:pPr>
          </w:p>
        </w:tc>
        <w:tc>
          <w:tcPr>
            <w:tcW w:w="2366" w:type="dxa"/>
          </w:tcPr>
          <w:p w14:paraId="74ABF843" w14:textId="77777777" w:rsidR="00676882" w:rsidRDefault="00676882" w:rsidP="00DF45FA">
            <w:pPr>
              <w:pStyle w:val="spacer"/>
            </w:pPr>
          </w:p>
        </w:tc>
      </w:tr>
    </w:tbl>
    <w:p w14:paraId="77873B53" w14:textId="77777777" w:rsidR="00676882" w:rsidRPr="00235B56" w:rsidRDefault="00676882" w:rsidP="00676882">
      <w:pPr>
        <w:pStyle w:val="Bibliography"/>
        <w:ind w:left="720" w:hanging="720"/>
        <w:rPr>
          <w:noProof/>
        </w:rPr>
      </w:pPr>
      <w:r>
        <w:fldChar w:fldCharType="begin"/>
      </w:r>
      <w:r>
        <w:instrText xml:space="preserve"> BIBLIOGRAPHY  \* MERGEFORMAT </w:instrText>
      </w:r>
      <w:r>
        <w:fldChar w:fldCharType="separate"/>
      </w:r>
      <w:r>
        <w:rPr>
          <w:noProof/>
        </w:rPr>
        <w:t xml:space="preserve">ABCB. (2019). </w:t>
      </w:r>
      <w:r>
        <w:rPr>
          <w:i/>
          <w:iCs/>
          <w:noProof/>
        </w:rPr>
        <w:t>National Construction Code - Roofing.</w:t>
      </w:r>
      <w:r w:rsidRPr="00235B56">
        <w:rPr>
          <w:i/>
          <w:iCs/>
          <w:noProof/>
        </w:rPr>
        <w:t xml:space="preserve"> Canberra: Australian </w:t>
      </w:r>
      <w:r>
        <w:rPr>
          <w:noProof/>
        </w:rPr>
        <w:t>Building Codes Board.</w:t>
      </w:r>
    </w:p>
    <w:p w14:paraId="19FBE2BB" w14:textId="77777777" w:rsidR="00676882" w:rsidRDefault="00676882" w:rsidP="00676882">
      <w:pPr>
        <w:pStyle w:val="Bibliography"/>
        <w:ind w:left="720" w:hanging="720"/>
        <w:rPr>
          <w:noProof/>
        </w:rPr>
      </w:pPr>
      <w:r>
        <w:rPr>
          <w:noProof/>
        </w:rPr>
        <w:t xml:space="preserve">ABS. (2015). </w:t>
      </w:r>
      <w:r w:rsidRPr="00235B56">
        <w:rPr>
          <w:noProof/>
        </w:rPr>
        <w:t>Household and Family Projections, Australia, 2011 to 2036.</w:t>
      </w:r>
      <w:r>
        <w:rPr>
          <w:noProof/>
        </w:rPr>
        <w:t xml:space="preserve"> Canberra: Australian Bureau of Statistics.</w:t>
      </w:r>
    </w:p>
    <w:p w14:paraId="6F35D1E9" w14:textId="77777777" w:rsidR="00676882" w:rsidRDefault="00676882" w:rsidP="00676882">
      <w:pPr>
        <w:pStyle w:val="Bibliography"/>
        <w:ind w:left="720" w:hanging="720"/>
        <w:rPr>
          <w:noProof/>
        </w:rPr>
      </w:pPr>
      <w:r>
        <w:rPr>
          <w:noProof/>
        </w:rPr>
        <w:t xml:space="preserve">ABS. (2018). </w:t>
      </w:r>
      <w:r>
        <w:rPr>
          <w:i/>
          <w:iCs/>
          <w:noProof/>
        </w:rPr>
        <w:t>Census of Population and Houseing, 2016, TableBuilder.</w:t>
      </w:r>
      <w:r w:rsidRPr="00235B56">
        <w:rPr>
          <w:i/>
          <w:iCs/>
          <w:noProof/>
        </w:rPr>
        <w:t xml:space="preserve"> Canberra</w:t>
      </w:r>
      <w:r>
        <w:rPr>
          <w:noProof/>
        </w:rPr>
        <w:t>: Australian Bureau of Statistics.</w:t>
      </w:r>
    </w:p>
    <w:p w14:paraId="7EC2B766" w14:textId="77777777" w:rsidR="00676882" w:rsidRDefault="00676882" w:rsidP="00676882">
      <w:pPr>
        <w:pStyle w:val="Bibliography"/>
        <w:ind w:left="720" w:hanging="720"/>
        <w:rPr>
          <w:noProof/>
        </w:rPr>
      </w:pPr>
      <w:r>
        <w:rPr>
          <w:noProof/>
        </w:rPr>
        <w:t xml:space="preserve">ABS. (2019). </w:t>
      </w:r>
      <w:r w:rsidRPr="00235B56">
        <w:rPr>
          <w:noProof/>
        </w:rPr>
        <w:t>Microdata: Income and Housing, Australia, 2017-18.</w:t>
      </w:r>
      <w:r>
        <w:rPr>
          <w:noProof/>
        </w:rPr>
        <w:t xml:space="preserve"> Canberra: Australian Bureau of Statistics. Retrieved from https://www.abs.gov.au/AUSSTATS/abs@.nsf/Lookup/6541.0.30.001Main+Features32017-18?OpenDocument</w:t>
      </w:r>
    </w:p>
    <w:p w14:paraId="0F02C9A8" w14:textId="77777777" w:rsidR="00676882" w:rsidRDefault="00676882" w:rsidP="00676882">
      <w:pPr>
        <w:pStyle w:val="Bibliography"/>
        <w:ind w:left="720" w:hanging="720"/>
        <w:rPr>
          <w:noProof/>
        </w:rPr>
      </w:pPr>
      <w:r>
        <w:rPr>
          <w:noProof/>
        </w:rPr>
        <w:t xml:space="preserve">ABS. (2021). </w:t>
      </w:r>
      <w:r w:rsidRPr="00235B56">
        <w:rPr>
          <w:noProof/>
        </w:rPr>
        <w:t xml:space="preserve">Household </w:t>
      </w:r>
      <w:r>
        <w:rPr>
          <w:i/>
          <w:iCs/>
          <w:noProof/>
        </w:rPr>
        <w:t>Expenditure Survey, household expenditure 1984 to 2015-16.</w:t>
      </w:r>
      <w:r w:rsidRPr="00235B56">
        <w:rPr>
          <w:i/>
          <w:iCs/>
          <w:noProof/>
        </w:rPr>
        <w:t xml:space="preserve"> Canberra: Australian Bureau of Statistics. Retrieved from https</w:t>
      </w:r>
      <w:r>
        <w:rPr>
          <w:noProof/>
        </w:rPr>
        <w:t>://www.abs.gov.au/statistics/economy/finance/household-expenditure-survey-australia-summary-results/latest-release</w:t>
      </w:r>
    </w:p>
    <w:p w14:paraId="78FEE069" w14:textId="77777777" w:rsidR="00676882" w:rsidRDefault="00676882" w:rsidP="00676882">
      <w:pPr>
        <w:pStyle w:val="Bibliography"/>
        <w:ind w:left="720" w:hanging="720"/>
        <w:rPr>
          <w:noProof/>
        </w:rPr>
      </w:pPr>
      <w:r>
        <w:rPr>
          <w:noProof/>
        </w:rPr>
        <w:t xml:space="preserve">Access Economics. (2008). </w:t>
      </w:r>
      <w:r w:rsidRPr="00235B56">
        <w:rPr>
          <w:noProof/>
        </w:rPr>
        <w:t xml:space="preserve">Economic </w:t>
      </w:r>
      <w:r>
        <w:rPr>
          <w:i/>
          <w:iCs/>
          <w:noProof/>
        </w:rPr>
        <w:t xml:space="preserve">Impact of COPD and Cost Effective Solutions, report prepared for </w:t>
      </w:r>
      <w:r w:rsidRPr="00235B56">
        <w:rPr>
          <w:noProof/>
        </w:rPr>
        <w:t>the Australian Lung Foundation.</w:t>
      </w:r>
      <w:r>
        <w:rPr>
          <w:noProof/>
        </w:rPr>
        <w:t xml:space="preserve"> </w:t>
      </w:r>
    </w:p>
    <w:p w14:paraId="64F406B1" w14:textId="77777777" w:rsidR="00676882" w:rsidRDefault="00676882" w:rsidP="00676882">
      <w:pPr>
        <w:pStyle w:val="Bibliography"/>
        <w:ind w:left="720" w:hanging="720"/>
        <w:rPr>
          <w:noProof/>
        </w:rPr>
      </w:pPr>
      <w:r>
        <w:rPr>
          <w:noProof/>
        </w:rPr>
        <w:t xml:space="preserve">ACIL Allen. (2017). </w:t>
      </w:r>
      <w:r w:rsidRPr="00235B56">
        <w:rPr>
          <w:noProof/>
        </w:rPr>
        <w:t>Multiple Impacts of Household Energy Efficiency: an Assessment Framework.</w:t>
      </w:r>
      <w:r>
        <w:rPr>
          <w:noProof/>
        </w:rPr>
        <w:t xml:space="preserve"> ACIL Allen.</w:t>
      </w:r>
    </w:p>
    <w:p w14:paraId="00B19988" w14:textId="77777777" w:rsidR="00676882" w:rsidRDefault="00676882" w:rsidP="00676882">
      <w:pPr>
        <w:pStyle w:val="Bibliography"/>
        <w:ind w:left="720" w:hanging="720"/>
        <w:rPr>
          <w:noProof/>
        </w:rPr>
      </w:pPr>
      <w:r>
        <w:rPr>
          <w:noProof/>
        </w:rPr>
        <w:t xml:space="preserve">ACIL Allen. (2018). </w:t>
      </w:r>
      <w:r>
        <w:rPr>
          <w:i/>
          <w:iCs/>
          <w:noProof/>
        </w:rPr>
        <w:t>Power Shift: Healthy and comfortable homes for all Australians.</w:t>
      </w:r>
      <w:r w:rsidRPr="00235B56">
        <w:rPr>
          <w:i/>
          <w:iCs/>
          <w:noProof/>
        </w:rPr>
        <w:t xml:space="preserve"> </w:t>
      </w:r>
      <w:r>
        <w:rPr>
          <w:noProof/>
        </w:rPr>
        <w:t>ACIL Allen.</w:t>
      </w:r>
    </w:p>
    <w:p w14:paraId="385BB918" w14:textId="77777777" w:rsidR="00676882" w:rsidRDefault="00676882" w:rsidP="00676882">
      <w:pPr>
        <w:pStyle w:val="Bibliography"/>
        <w:ind w:left="720" w:hanging="720"/>
        <w:rPr>
          <w:noProof/>
        </w:rPr>
      </w:pPr>
      <w:r>
        <w:rPr>
          <w:noProof/>
        </w:rPr>
        <w:t xml:space="preserve">ACIL Allen. (2021). </w:t>
      </w:r>
      <w:r w:rsidRPr="00235B56">
        <w:rPr>
          <w:noProof/>
        </w:rPr>
        <w:t>Economic imapcts of existing home energy rating</w:t>
      </w:r>
      <w:r>
        <w:rPr>
          <w:i/>
          <w:iCs/>
          <w:noProof/>
        </w:rPr>
        <w:t xml:space="preserve"> scheme.</w:t>
      </w:r>
      <w:r w:rsidRPr="00235B56">
        <w:rPr>
          <w:i/>
          <w:iCs/>
          <w:noProof/>
        </w:rPr>
        <w:t xml:space="preserve"> Sydney: </w:t>
      </w:r>
      <w:r>
        <w:rPr>
          <w:noProof/>
        </w:rPr>
        <w:t>ACIL Allen.</w:t>
      </w:r>
    </w:p>
    <w:p w14:paraId="31D89A86" w14:textId="77777777" w:rsidR="00676882" w:rsidRDefault="00676882" w:rsidP="00676882">
      <w:pPr>
        <w:pStyle w:val="Bibliography"/>
        <w:ind w:left="720" w:hanging="720"/>
        <w:rPr>
          <w:noProof/>
        </w:rPr>
      </w:pPr>
      <w:r>
        <w:rPr>
          <w:noProof/>
        </w:rPr>
        <w:t>Alam, M., Sanjayan, J., Zou, P., Stewart, M., &amp; Wilson</w:t>
      </w:r>
      <w:r w:rsidRPr="00235B56">
        <w:rPr>
          <w:i/>
          <w:iCs/>
          <w:noProof/>
        </w:rPr>
        <w:t>, J.</w:t>
      </w:r>
      <w:r>
        <w:rPr>
          <w:noProof/>
        </w:rPr>
        <w:t xml:space="preserve"> (2016). Modelling the correlation between building energy ratings and heat-related mortality and morbidity. </w:t>
      </w:r>
      <w:r>
        <w:rPr>
          <w:i/>
          <w:iCs/>
          <w:noProof/>
        </w:rPr>
        <w:t>Sustainable Cities and Society</w:t>
      </w:r>
      <w:r>
        <w:rPr>
          <w:noProof/>
        </w:rPr>
        <w:t>, 29-39.</w:t>
      </w:r>
    </w:p>
    <w:p w14:paraId="5DACCC96" w14:textId="77777777" w:rsidR="00676882" w:rsidRPr="00235B56" w:rsidRDefault="00676882" w:rsidP="00676882">
      <w:pPr>
        <w:pStyle w:val="Bibliography"/>
        <w:ind w:left="720" w:hanging="720"/>
        <w:rPr>
          <w:i/>
          <w:iCs/>
          <w:noProof/>
        </w:rPr>
      </w:pPr>
      <w:r w:rsidRPr="00235B56">
        <w:rPr>
          <w:i/>
          <w:iCs/>
          <w:noProof/>
        </w:rPr>
        <w:t>Allen Consulting</w:t>
      </w:r>
      <w:r>
        <w:rPr>
          <w:noProof/>
        </w:rPr>
        <w:t xml:space="preserve"> Group. (2011). </w:t>
      </w:r>
      <w:r w:rsidRPr="00235B56">
        <w:rPr>
          <w:noProof/>
        </w:rPr>
        <w:t xml:space="preserve">Mandatory Disclosure of Residential Building Energy, Greenhouse and Water </w:t>
      </w:r>
      <w:r>
        <w:rPr>
          <w:i/>
          <w:iCs/>
          <w:noProof/>
        </w:rPr>
        <w:t xml:space="preserve">Performance: Consultation Regulation </w:t>
      </w:r>
      <w:r w:rsidRPr="00235B56">
        <w:rPr>
          <w:noProof/>
        </w:rPr>
        <w:t>Impact Statement, report to the National Framework for Energy Efficiency Building Implementation Committee.</w:t>
      </w:r>
      <w:r>
        <w:rPr>
          <w:noProof/>
        </w:rPr>
        <w:t xml:space="preserve"> </w:t>
      </w:r>
    </w:p>
    <w:p w14:paraId="49318264" w14:textId="77777777" w:rsidR="00676882" w:rsidRDefault="00676882" w:rsidP="00676882">
      <w:pPr>
        <w:pStyle w:val="Bibliography"/>
        <w:ind w:left="720" w:hanging="720"/>
        <w:rPr>
          <w:noProof/>
        </w:rPr>
      </w:pPr>
      <w:r w:rsidRPr="00235B56">
        <w:rPr>
          <w:i/>
          <w:iCs/>
          <w:noProof/>
        </w:rPr>
        <w:t xml:space="preserve">Allhomes. (2021, </w:t>
      </w:r>
      <w:r>
        <w:rPr>
          <w:noProof/>
        </w:rPr>
        <w:t xml:space="preserve">June 29). </w:t>
      </w:r>
      <w:r>
        <w:rPr>
          <w:i/>
          <w:iCs/>
          <w:noProof/>
        </w:rPr>
        <w:t>ACT Real Estate Market Trends Report</w:t>
      </w:r>
      <w:r>
        <w:rPr>
          <w:noProof/>
        </w:rPr>
        <w:t>. Retrieved from Allhomes: https://www.allhomes.com.au/ah/research/property-report</w:t>
      </w:r>
    </w:p>
    <w:p w14:paraId="0B63FF63" w14:textId="77777777" w:rsidR="00676882" w:rsidRDefault="00676882" w:rsidP="00676882">
      <w:pPr>
        <w:pStyle w:val="Bibliography"/>
        <w:ind w:left="720" w:hanging="720"/>
        <w:rPr>
          <w:noProof/>
        </w:rPr>
      </w:pPr>
      <w:r>
        <w:rPr>
          <w:noProof/>
        </w:rPr>
        <w:t>ATSE. (2021, March 4)</w:t>
      </w:r>
      <w:r w:rsidRPr="00235B56">
        <w:rPr>
          <w:i/>
          <w:iCs/>
          <w:noProof/>
        </w:rPr>
        <w:t xml:space="preserve">. </w:t>
      </w:r>
      <w:r>
        <w:rPr>
          <w:i/>
          <w:iCs/>
          <w:noProof/>
        </w:rPr>
        <w:t>Australian Acedemy of Technological Sciences and Engineering</w:t>
      </w:r>
      <w:r w:rsidRPr="00235B56">
        <w:rPr>
          <w:i/>
          <w:iCs/>
          <w:noProof/>
        </w:rPr>
        <w:t xml:space="preserve">. Retrieved </w:t>
      </w:r>
      <w:r>
        <w:rPr>
          <w:noProof/>
        </w:rPr>
        <w:t>from The Hidden Costs of Electricity: Externalities of Power Generation in</w:t>
      </w:r>
      <w:r w:rsidRPr="00235B56">
        <w:rPr>
          <w:i/>
          <w:iCs/>
          <w:noProof/>
        </w:rPr>
        <w:t xml:space="preserve"> Australia: https://www.atse.org.au</w:t>
      </w:r>
      <w:r>
        <w:rPr>
          <w:noProof/>
        </w:rPr>
        <w:t>/wp-content/uploads/2019/01/the-hidden-costs-of-electricity.pdf</w:t>
      </w:r>
    </w:p>
    <w:p w14:paraId="16493044" w14:textId="77777777" w:rsidR="00676882" w:rsidRPr="00235B56" w:rsidRDefault="00676882" w:rsidP="00676882">
      <w:pPr>
        <w:pStyle w:val="Bibliography"/>
        <w:ind w:left="720" w:hanging="720"/>
        <w:rPr>
          <w:i/>
          <w:iCs/>
          <w:noProof/>
        </w:rPr>
      </w:pPr>
      <w:r>
        <w:rPr>
          <w:noProof/>
        </w:rPr>
        <w:t>Australian Government. (2006)</w:t>
      </w:r>
      <w:r w:rsidRPr="00235B56">
        <w:rPr>
          <w:i/>
          <w:iCs/>
          <w:noProof/>
        </w:rPr>
        <w:t xml:space="preserve">. </w:t>
      </w:r>
      <w:r>
        <w:rPr>
          <w:i/>
          <w:iCs/>
          <w:noProof/>
        </w:rPr>
        <w:t>Handbook of Cost-Benefit Analysis.</w:t>
      </w:r>
      <w:r w:rsidRPr="00235B56">
        <w:rPr>
          <w:i/>
          <w:iCs/>
          <w:noProof/>
        </w:rPr>
        <w:t xml:space="preserve"> Canberra: Australian Government.</w:t>
      </w:r>
    </w:p>
    <w:p w14:paraId="10CD5621" w14:textId="77777777" w:rsidR="00676882" w:rsidRDefault="00676882" w:rsidP="00676882">
      <w:pPr>
        <w:pStyle w:val="Bibliography"/>
        <w:ind w:left="720" w:hanging="720"/>
        <w:rPr>
          <w:noProof/>
        </w:rPr>
      </w:pPr>
      <w:r>
        <w:rPr>
          <w:noProof/>
        </w:rPr>
        <w:lastRenderedPageBreak/>
        <w:t xml:space="preserve">Bannister, P. R. (2018). </w:t>
      </w:r>
      <w:r w:rsidRPr="00235B56">
        <w:rPr>
          <w:noProof/>
        </w:rPr>
        <w:t>Building Code Energy Performance Trajectory</w:t>
      </w:r>
      <w:r>
        <w:rPr>
          <w:i/>
          <w:iCs/>
          <w:noProof/>
        </w:rPr>
        <w:t xml:space="preserve"> – Final Technical Report.</w:t>
      </w:r>
      <w:r>
        <w:rPr>
          <w:noProof/>
        </w:rPr>
        <w:t xml:space="preserve"> </w:t>
      </w:r>
    </w:p>
    <w:p w14:paraId="306DF706" w14:textId="77777777" w:rsidR="00676882" w:rsidRDefault="00676882" w:rsidP="00676882">
      <w:pPr>
        <w:pStyle w:val="Bibliography"/>
        <w:ind w:left="720" w:hanging="720"/>
        <w:rPr>
          <w:noProof/>
        </w:rPr>
      </w:pPr>
      <w:r>
        <w:rPr>
          <w:noProof/>
        </w:rPr>
        <w:t>Better Renting. (2019)</w:t>
      </w:r>
      <w:r w:rsidRPr="00235B56">
        <w:rPr>
          <w:i/>
          <w:iCs/>
          <w:noProof/>
        </w:rPr>
        <w:t xml:space="preserve">. </w:t>
      </w:r>
      <w:r>
        <w:rPr>
          <w:i/>
          <w:iCs/>
          <w:noProof/>
        </w:rPr>
        <w:t xml:space="preserve">Baby it's Cold Inside: Energy Efficienct </w:t>
      </w:r>
      <w:r w:rsidRPr="00235B56">
        <w:rPr>
          <w:noProof/>
        </w:rPr>
        <w:t>Ratings in the ACT.</w:t>
      </w:r>
      <w:r>
        <w:rPr>
          <w:noProof/>
        </w:rPr>
        <w:t xml:space="preserve"> Canberra: Better Renting.</w:t>
      </w:r>
    </w:p>
    <w:p w14:paraId="05AA5C27" w14:textId="77777777" w:rsidR="00676882" w:rsidRDefault="00676882" w:rsidP="00676882">
      <w:pPr>
        <w:pStyle w:val="Bibliography"/>
        <w:ind w:left="720" w:hanging="720"/>
        <w:rPr>
          <w:noProof/>
        </w:rPr>
      </w:pPr>
      <w:r>
        <w:rPr>
          <w:noProof/>
        </w:rPr>
        <w:t xml:space="preserve">Better Renting. (2019). </w:t>
      </w:r>
      <w:r w:rsidRPr="00235B56">
        <w:rPr>
          <w:noProof/>
        </w:rPr>
        <w:t>Unsafe as Houses: Cold-housing deaths in the ACT.</w:t>
      </w:r>
      <w:r>
        <w:rPr>
          <w:noProof/>
        </w:rPr>
        <w:t xml:space="preserve"> Canberra: Better Renting.</w:t>
      </w:r>
    </w:p>
    <w:p w14:paraId="739DF5C5" w14:textId="77777777" w:rsidR="00676882" w:rsidRDefault="00676882" w:rsidP="00676882">
      <w:pPr>
        <w:pStyle w:val="Bibliography"/>
        <w:ind w:left="720" w:hanging="720"/>
        <w:rPr>
          <w:noProof/>
        </w:rPr>
      </w:pPr>
      <w:r>
        <w:rPr>
          <w:noProof/>
        </w:rPr>
        <w:t xml:space="preserve">CHOICE. (2018). </w:t>
      </w:r>
      <w:r>
        <w:rPr>
          <w:i/>
          <w:iCs/>
          <w:noProof/>
        </w:rPr>
        <w:t>Disrupted: The consumer experience of renting in Australia.</w:t>
      </w:r>
      <w:r>
        <w:rPr>
          <w:noProof/>
        </w:rPr>
        <w:t xml:space="preserve"> CHOICE.</w:t>
      </w:r>
    </w:p>
    <w:p w14:paraId="0DEA69DA" w14:textId="77777777" w:rsidR="00676882" w:rsidRDefault="00676882" w:rsidP="00676882">
      <w:pPr>
        <w:pStyle w:val="Bibliography"/>
        <w:ind w:left="720" w:hanging="720"/>
        <w:rPr>
          <w:noProof/>
        </w:rPr>
      </w:pPr>
      <w:r>
        <w:rPr>
          <w:noProof/>
        </w:rPr>
        <w:t xml:space="preserve">CIE. (2018). </w:t>
      </w:r>
      <w:r w:rsidRPr="00235B56">
        <w:rPr>
          <w:noProof/>
        </w:rPr>
        <w:t xml:space="preserve">Decision </w:t>
      </w:r>
      <w:r>
        <w:rPr>
          <w:i/>
          <w:iCs/>
          <w:noProof/>
        </w:rPr>
        <w:t xml:space="preserve">Regulation Impact Statement, Energy Efficiency </w:t>
      </w:r>
      <w:r w:rsidRPr="00235B56">
        <w:rPr>
          <w:noProof/>
        </w:rPr>
        <w:t>of commercial Buildings.</w:t>
      </w:r>
      <w:r>
        <w:rPr>
          <w:noProof/>
        </w:rPr>
        <w:t xml:space="preserve"> Centre for International Economics.</w:t>
      </w:r>
    </w:p>
    <w:p w14:paraId="74EB773B" w14:textId="77777777" w:rsidR="00676882" w:rsidRDefault="00676882" w:rsidP="00676882">
      <w:pPr>
        <w:pStyle w:val="Bibliography"/>
        <w:ind w:left="720" w:hanging="720"/>
        <w:rPr>
          <w:noProof/>
        </w:rPr>
      </w:pPr>
      <w:r>
        <w:rPr>
          <w:noProof/>
        </w:rPr>
        <w:t xml:space="preserve">CIE. (2018). </w:t>
      </w:r>
      <w:r w:rsidRPr="00235B56">
        <w:rPr>
          <w:noProof/>
        </w:rPr>
        <w:t xml:space="preserve">Decision Regulation Impact </w:t>
      </w:r>
      <w:r>
        <w:rPr>
          <w:i/>
          <w:iCs/>
          <w:noProof/>
        </w:rPr>
        <w:t>Statement, Energy Efficiency of Commercial Buildings.</w:t>
      </w:r>
      <w:r w:rsidRPr="00235B56">
        <w:rPr>
          <w:i/>
          <w:iCs/>
          <w:noProof/>
        </w:rPr>
        <w:t xml:space="preserve"> Centre for </w:t>
      </w:r>
      <w:r>
        <w:rPr>
          <w:noProof/>
        </w:rPr>
        <w:t>International Economics.</w:t>
      </w:r>
    </w:p>
    <w:p w14:paraId="084A04A1" w14:textId="77777777" w:rsidR="00676882" w:rsidRPr="00235B56" w:rsidRDefault="00676882" w:rsidP="00676882">
      <w:pPr>
        <w:pStyle w:val="Bibliography"/>
        <w:ind w:left="720" w:hanging="720"/>
        <w:rPr>
          <w:i/>
          <w:iCs/>
          <w:noProof/>
        </w:rPr>
      </w:pPr>
      <w:r>
        <w:rPr>
          <w:noProof/>
        </w:rPr>
        <w:t xml:space="preserve">CMTEDD. (2003). </w:t>
      </w:r>
      <w:r w:rsidRPr="00235B56">
        <w:rPr>
          <w:noProof/>
        </w:rPr>
        <w:t xml:space="preserve">Best </w:t>
      </w:r>
      <w:r>
        <w:rPr>
          <w:i/>
          <w:iCs/>
          <w:noProof/>
        </w:rPr>
        <w:t>Practice Guide for Preparing Regulation Impact Statements.</w:t>
      </w:r>
      <w:r w:rsidRPr="00235B56">
        <w:rPr>
          <w:i/>
          <w:iCs/>
          <w:noProof/>
        </w:rPr>
        <w:t xml:space="preserve"> Canberra:</w:t>
      </w:r>
      <w:r>
        <w:rPr>
          <w:noProof/>
        </w:rPr>
        <w:t xml:space="preserve"> CMTEDD</w:t>
      </w:r>
      <w:r w:rsidRPr="00235B56">
        <w:rPr>
          <w:i/>
          <w:iCs/>
          <w:noProof/>
        </w:rPr>
        <w:t>.</w:t>
      </w:r>
    </w:p>
    <w:p w14:paraId="1AA04113" w14:textId="77777777" w:rsidR="00676882" w:rsidRDefault="00676882" w:rsidP="00676882">
      <w:pPr>
        <w:pStyle w:val="Bibliography"/>
        <w:ind w:left="720" w:hanging="720"/>
        <w:rPr>
          <w:noProof/>
        </w:rPr>
      </w:pPr>
      <w:r>
        <w:rPr>
          <w:noProof/>
        </w:rPr>
        <w:t xml:space="preserve">CMTEDD. (2020). </w:t>
      </w:r>
      <w:r w:rsidRPr="00235B56">
        <w:rPr>
          <w:noProof/>
        </w:rPr>
        <w:t>Residential</w:t>
      </w:r>
      <w:r>
        <w:rPr>
          <w:i/>
          <w:iCs/>
          <w:noProof/>
        </w:rPr>
        <w:t xml:space="preserve"> Property Market – December Quarter 2020.</w:t>
      </w:r>
      <w:r>
        <w:rPr>
          <w:noProof/>
        </w:rPr>
        <w:t xml:space="preserve"> Canberra: Chief Minister, Treasury and Economic Development.</w:t>
      </w:r>
    </w:p>
    <w:p w14:paraId="10ED2C4E" w14:textId="77777777" w:rsidR="00676882" w:rsidRDefault="00676882" w:rsidP="00676882">
      <w:pPr>
        <w:pStyle w:val="Bibliography"/>
        <w:ind w:left="720" w:hanging="720"/>
        <w:rPr>
          <w:noProof/>
        </w:rPr>
      </w:pPr>
      <w:r>
        <w:rPr>
          <w:noProof/>
        </w:rPr>
        <w:t xml:space="preserve">CMTEDD. (2021). </w:t>
      </w:r>
      <w:r>
        <w:rPr>
          <w:i/>
          <w:iCs/>
          <w:noProof/>
        </w:rPr>
        <w:t>Residential Property Market – March Quarter 2021.</w:t>
      </w:r>
      <w:r w:rsidRPr="00235B56">
        <w:rPr>
          <w:i/>
          <w:iCs/>
          <w:noProof/>
        </w:rPr>
        <w:t xml:space="preserve"> Canberra: Chief Minister</w:t>
      </w:r>
      <w:r>
        <w:rPr>
          <w:noProof/>
        </w:rPr>
        <w:t>, Treasury and Economic Development.</w:t>
      </w:r>
    </w:p>
    <w:p w14:paraId="75C95ADD" w14:textId="77777777" w:rsidR="00676882" w:rsidRDefault="00676882" w:rsidP="00676882">
      <w:pPr>
        <w:pStyle w:val="Bibliography"/>
        <w:ind w:left="720" w:hanging="720"/>
        <w:rPr>
          <w:noProof/>
        </w:rPr>
      </w:pPr>
      <w:r>
        <w:rPr>
          <w:noProof/>
        </w:rPr>
        <w:t>COAG Energy Council. (</w:t>
      </w:r>
      <w:r w:rsidRPr="00235B56">
        <w:rPr>
          <w:i/>
          <w:iCs/>
          <w:noProof/>
        </w:rPr>
        <w:t xml:space="preserve">2015). </w:t>
      </w:r>
      <w:r>
        <w:rPr>
          <w:i/>
          <w:iCs/>
          <w:noProof/>
        </w:rPr>
        <w:t>National Energy Productivity Plan 2015-2030.</w:t>
      </w:r>
      <w:r w:rsidRPr="00235B56">
        <w:rPr>
          <w:i/>
          <w:iCs/>
          <w:noProof/>
        </w:rPr>
        <w:t xml:space="preserve"> Canberra: </w:t>
      </w:r>
      <w:r>
        <w:rPr>
          <w:noProof/>
        </w:rPr>
        <w:t>Department of Industry, Innovation and Science.</w:t>
      </w:r>
    </w:p>
    <w:p w14:paraId="48AFC8C5" w14:textId="77777777" w:rsidR="00676882" w:rsidRDefault="00676882" w:rsidP="00676882">
      <w:pPr>
        <w:pStyle w:val="Bibliography"/>
        <w:ind w:left="720" w:hanging="720"/>
        <w:rPr>
          <w:noProof/>
        </w:rPr>
      </w:pPr>
      <w:r>
        <w:rPr>
          <w:noProof/>
        </w:rPr>
        <w:t xml:space="preserve">COAG Energy Council. (2020). </w:t>
      </w:r>
      <w:r>
        <w:rPr>
          <w:i/>
          <w:iCs/>
          <w:noProof/>
        </w:rPr>
        <w:t>Report for Achieving Low Energy Existing Homes.</w:t>
      </w:r>
      <w:r w:rsidRPr="00235B56">
        <w:rPr>
          <w:i/>
          <w:iCs/>
          <w:noProof/>
        </w:rPr>
        <w:t xml:space="preserve"> </w:t>
      </w:r>
      <w:r>
        <w:rPr>
          <w:noProof/>
        </w:rPr>
        <w:t>COAG Energy Council. Retrieved from http://coagenergycouncil.gov.au/sites/prod.energycouncil/files/publications/documents/Trajectory%20Addendum%20-%20Report%20for%20Achieving%20Low%20Energy%20Existing%20Homes_1.pd</w:t>
      </w:r>
    </w:p>
    <w:p w14:paraId="1AB60A68" w14:textId="77777777" w:rsidR="00676882" w:rsidRDefault="00676882" w:rsidP="00676882">
      <w:pPr>
        <w:pStyle w:val="Bibliography"/>
        <w:ind w:left="720" w:hanging="720"/>
        <w:rPr>
          <w:noProof/>
        </w:rPr>
      </w:pPr>
      <w:r>
        <w:rPr>
          <w:noProof/>
        </w:rPr>
        <w:t>COAG Energy Council. (</w:t>
      </w:r>
      <w:r w:rsidRPr="00235B56">
        <w:rPr>
          <w:i/>
          <w:iCs/>
          <w:noProof/>
        </w:rPr>
        <w:t xml:space="preserve">2020, May 25). </w:t>
      </w:r>
      <w:r>
        <w:rPr>
          <w:i/>
          <w:iCs/>
          <w:noProof/>
        </w:rPr>
        <w:t xml:space="preserve">Trajectory for Low </w:t>
      </w:r>
      <w:r w:rsidRPr="00235B56">
        <w:rPr>
          <w:noProof/>
        </w:rPr>
        <w:t>Energy Buildings Home Page</w:t>
      </w:r>
      <w:r>
        <w:rPr>
          <w:noProof/>
        </w:rPr>
        <w:t>. Retrieved from COAG Energy Council: http://coagenergycouncil.gov.au/publications/trajectory-low-energy-buildings</w:t>
      </w:r>
    </w:p>
    <w:p w14:paraId="54B9ED47" w14:textId="77777777" w:rsidR="00676882" w:rsidRDefault="00676882" w:rsidP="00676882">
      <w:pPr>
        <w:pStyle w:val="Bibliography"/>
        <w:ind w:left="720" w:hanging="720"/>
        <w:rPr>
          <w:noProof/>
        </w:rPr>
      </w:pPr>
      <w:r>
        <w:rPr>
          <w:noProof/>
        </w:rPr>
        <w:t>Cuff, M. (2020,</w:t>
      </w:r>
      <w:r w:rsidRPr="00235B56">
        <w:rPr>
          <w:i/>
          <w:iCs/>
          <w:noProof/>
        </w:rPr>
        <w:t xml:space="preserve"> July 15). Retrieved from Little punishment for</w:t>
      </w:r>
      <w:r>
        <w:rPr>
          <w:noProof/>
        </w:rPr>
        <w:t xml:space="preserve"> landlords flouting energy efficiency rules designed to protect renters: https://inews.co.uk/news/environment/little-punishment-landlords-flouting-energy-efficiency-rules-527015</w:t>
      </w:r>
    </w:p>
    <w:p w14:paraId="7BD0B127" w14:textId="77777777" w:rsidR="00676882" w:rsidRDefault="00676882" w:rsidP="00676882">
      <w:pPr>
        <w:pStyle w:val="Bibliography"/>
        <w:ind w:left="720" w:hanging="720"/>
        <w:rPr>
          <w:noProof/>
        </w:rPr>
      </w:pPr>
      <w:r>
        <w:rPr>
          <w:noProof/>
        </w:rPr>
        <w:t xml:space="preserve">D'Arcy P, N. D. (2012). </w:t>
      </w:r>
      <w:r w:rsidRPr="00235B56">
        <w:rPr>
          <w:noProof/>
        </w:rPr>
        <w:t xml:space="preserve">Costs and Margins in the Retail Supply Chain, RBA Bulletin June </w:t>
      </w:r>
      <w:r>
        <w:rPr>
          <w:i/>
          <w:iCs/>
          <w:noProof/>
        </w:rPr>
        <w:t>Quarter.</w:t>
      </w:r>
      <w:r>
        <w:rPr>
          <w:noProof/>
        </w:rPr>
        <w:t xml:space="preserve"> Retrieved from https://www.rba.gov.au/publications/bulletin/2012/jun/2.html</w:t>
      </w:r>
    </w:p>
    <w:p w14:paraId="102928BF" w14:textId="77777777" w:rsidR="00676882" w:rsidRDefault="00676882" w:rsidP="00676882">
      <w:pPr>
        <w:pStyle w:val="Bibliography"/>
        <w:ind w:left="720" w:hanging="720"/>
        <w:rPr>
          <w:noProof/>
        </w:rPr>
      </w:pPr>
      <w:r>
        <w:rPr>
          <w:noProof/>
        </w:rPr>
        <w:t xml:space="preserve">Deloitte Access Economics. (2015). </w:t>
      </w:r>
      <w:r>
        <w:rPr>
          <w:i/>
          <w:iCs/>
          <w:noProof/>
        </w:rPr>
        <w:t xml:space="preserve">The Hidden Cost of Asthma, report prepared </w:t>
      </w:r>
      <w:r w:rsidRPr="00235B56">
        <w:rPr>
          <w:noProof/>
        </w:rPr>
        <w:t xml:space="preserve">fo rthe Asthma Australia and National </w:t>
      </w:r>
      <w:r>
        <w:rPr>
          <w:i/>
          <w:iCs/>
          <w:noProof/>
        </w:rPr>
        <w:t>Asthma Council of Australia, November.</w:t>
      </w:r>
      <w:r>
        <w:rPr>
          <w:noProof/>
        </w:rPr>
        <w:t xml:space="preserve"> </w:t>
      </w:r>
    </w:p>
    <w:p w14:paraId="160CD95E" w14:textId="77777777" w:rsidR="00676882" w:rsidRDefault="00676882" w:rsidP="00676882">
      <w:pPr>
        <w:pStyle w:val="Bibliography"/>
        <w:ind w:left="720" w:hanging="720"/>
        <w:rPr>
          <w:noProof/>
        </w:rPr>
      </w:pPr>
      <w:r>
        <w:rPr>
          <w:noProof/>
        </w:rPr>
        <w:t xml:space="preserve">Department of Industry, Science, Energy and Resources. (2013). </w:t>
      </w:r>
      <w:r w:rsidRPr="00235B56">
        <w:rPr>
          <w:noProof/>
        </w:rPr>
        <w:t>Design for climate</w:t>
      </w:r>
      <w:r>
        <w:rPr>
          <w:noProof/>
        </w:rPr>
        <w:t>. Retrieved from YourHome: https://www.yourhome.gov.au/passive-design/design-climate</w:t>
      </w:r>
    </w:p>
    <w:p w14:paraId="05FBA48C" w14:textId="77777777" w:rsidR="00676882" w:rsidRDefault="00676882" w:rsidP="00676882">
      <w:pPr>
        <w:pStyle w:val="Bibliography"/>
        <w:ind w:left="720" w:hanging="720"/>
        <w:rPr>
          <w:noProof/>
        </w:rPr>
      </w:pPr>
      <w:r>
        <w:rPr>
          <w:noProof/>
        </w:rPr>
        <w:t xml:space="preserve">DEWHA. (2008). </w:t>
      </w:r>
      <w:r w:rsidRPr="00235B56">
        <w:rPr>
          <w:noProof/>
        </w:rPr>
        <w:t>Energy Use in the Australian Residential Sector: 1986 - 2020.</w:t>
      </w:r>
      <w:r>
        <w:rPr>
          <w:noProof/>
        </w:rPr>
        <w:t xml:space="preserve"> Canberra: Department of the Environment, Water, Heritage and the Arts.</w:t>
      </w:r>
    </w:p>
    <w:p w14:paraId="21E44795" w14:textId="77777777" w:rsidR="00676882" w:rsidRDefault="00676882" w:rsidP="00676882">
      <w:pPr>
        <w:pStyle w:val="Bibliography"/>
        <w:ind w:left="720" w:hanging="720"/>
        <w:rPr>
          <w:noProof/>
        </w:rPr>
      </w:pPr>
      <w:r>
        <w:rPr>
          <w:noProof/>
        </w:rPr>
        <w:t xml:space="preserve">DEWLP. (2018). </w:t>
      </w:r>
      <w:r w:rsidRPr="00235B56">
        <w:rPr>
          <w:noProof/>
        </w:rPr>
        <w:t>Victorian Housing Stock Performance Model.</w:t>
      </w:r>
      <w:r>
        <w:rPr>
          <w:noProof/>
        </w:rPr>
        <w:t xml:space="preserve"> Melbourne: Department of Environment, Land, Water and Planning.</w:t>
      </w:r>
    </w:p>
    <w:p w14:paraId="4D9AE5DC" w14:textId="77777777" w:rsidR="00676882" w:rsidRPr="00235B56" w:rsidRDefault="00676882" w:rsidP="00676882">
      <w:pPr>
        <w:pStyle w:val="Bibliography"/>
        <w:ind w:left="720" w:hanging="720"/>
        <w:rPr>
          <w:i/>
          <w:iCs/>
          <w:noProof/>
        </w:rPr>
      </w:pPr>
      <w:r>
        <w:rPr>
          <w:noProof/>
        </w:rPr>
        <w:t xml:space="preserve">DISER. (2020). </w:t>
      </w:r>
      <w:r w:rsidRPr="00235B56">
        <w:rPr>
          <w:noProof/>
        </w:rPr>
        <w:t xml:space="preserve">Australian Energy </w:t>
      </w:r>
      <w:r>
        <w:rPr>
          <w:i/>
          <w:iCs/>
          <w:noProof/>
        </w:rPr>
        <w:t>Update.</w:t>
      </w:r>
      <w:r w:rsidRPr="00235B56">
        <w:rPr>
          <w:i/>
          <w:iCs/>
          <w:noProof/>
        </w:rPr>
        <w:t xml:space="preserve"> Canberra: Department of Industry, Science, Energy and Resources.</w:t>
      </w:r>
    </w:p>
    <w:p w14:paraId="4A7114BE" w14:textId="77777777" w:rsidR="00676882" w:rsidRDefault="00676882" w:rsidP="00676882">
      <w:pPr>
        <w:pStyle w:val="Bibliography"/>
        <w:ind w:left="720" w:hanging="720"/>
        <w:rPr>
          <w:noProof/>
        </w:rPr>
      </w:pPr>
      <w:r w:rsidRPr="00235B56">
        <w:rPr>
          <w:i/>
          <w:iCs/>
          <w:noProof/>
        </w:rPr>
        <w:lastRenderedPageBreak/>
        <w:t xml:space="preserve">Energy Efficienct Strategies. (2011). </w:t>
      </w:r>
      <w:r>
        <w:rPr>
          <w:i/>
          <w:iCs/>
          <w:noProof/>
        </w:rPr>
        <w:t>The Value</w:t>
      </w:r>
      <w:r w:rsidRPr="00235B56">
        <w:rPr>
          <w:noProof/>
        </w:rPr>
        <w:t xml:space="preserve"> of Ceiling Insulation</w:t>
      </w:r>
      <w:r>
        <w:rPr>
          <w:i/>
          <w:iCs/>
          <w:noProof/>
        </w:rPr>
        <w:t>: Impacts of retrofitting ceiling insulation to residential dwellings in Australia.</w:t>
      </w:r>
      <w:r>
        <w:rPr>
          <w:noProof/>
        </w:rPr>
        <w:t xml:space="preserve"> Melbourne: ICANZ.</w:t>
      </w:r>
    </w:p>
    <w:p w14:paraId="6F35A579" w14:textId="77777777" w:rsidR="00676882" w:rsidRDefault="00676882" w:rsidP="00676882">
      <w:pPr>
        <w:pStyle w:val="Bibliography"/>
        <w:ind w:left="720" w:hanging="720"/>
        <w:rPr>
          <w:noProof/>
        </w:rPr>
      </w:pPr>
      <w:r>
        <w:rPr>
          <w:noProof/>
        </w:rPr>
        <w:t xml:space="preserve">Energy Efficiency Council and Australian Sustainable Built Environment Council. (2021). </w:t>
      </w:r>
      <w:r w:rsidRPr="00235B56">
        <w:rPr>
          <w:noProof/>
        </w:rPr>
        <w:t>Ensuring quality control and safety in insulation installation: A research report to support an industry-led roadmap for healthy</w:t>
      </w:r>
      <w:r>
        <w:rPr>
          <w:i/>
          <w:iCs/>
          <w:noProof/>
        </w:rPr>
        <w:t>, comfortable buildings.</w:t>
      </w:r>
      <w:r>
        <w:rPr>
          <w:noProof/>
        </w:rPr>
        <w:t xml:space="preserve"> </w:t>
      </w:r>
    </w:p>
    <w:p w14:paraId="7819F4BC" w14:textId="77777777" w:rsidR="00676882" w:rsidRDefault="00676882" w:rsidP="00676882">
      <w:pPr>
        <w:pStyle w:val="Bibliography"/>
        <w:ind w:left="720" w:hanging="720"/>
        <w:rPr>
          <w:noProof/>
        </w:rPr>
      </w:pPr>
      <w:r>
        <w:rPr>
          <w:noProof/>
        </w:rPr>
        <w:t xml:space="preserve">Energy Efficient Strategies. (2021). </w:t>
      </w:r>
      <w:r w:rsidRPr="00235B56">
        <w:rPr>
          <w:noProof/>
        </w:rPr>
        <w:t>Residential Energy Disclosure (RED) Model</w:t>
      </w:r>
      <w:r>
        <w:rPr>
          <w:i/>
          <w:iCs/>
          <w:noProof/>
        </w:rPr>
        <w:t xml:space="preserve">, prepared </w:t>
      </w:r>
      <w:r w:rsidRPr="00235B56">
        <w:rPr>
          <w:noProof/>
        </w:rPr>
        <w:t>for ACIL Allen. .</w:t>
      </w:r>
      <w:r>
        <w:rPr>
          <w:noProof/>
        </w:rPr>
        <w:t xml:space="preserve"> Energy Efficient Strategies.</w:t>
      </w:r>
    </w:p>
    <w:p w14:paraId="16CED227" w14:textId="77777777" w:rsidR="00676882" w:rsidRDefault="00676882" w:rsidP="00676882">
      <w:pPr>
        <w:pStyle w:val="Bibliography"/>
        <w:ind w:left="720" w:hanging="720"/>
        <w:rPr>
          <w:noProof/>
        </w:rPr>
      </w:pPr>
      <w:r>
        <w:rPr>
          <w:noProof/>
        </w:rPr>
        <w:t xml:space="preserve">Energy Efficient Strategies. (May 2021). </w:t>
      </w:r>
      <w:r w:rsidRPr="00235B56">
        <w:rPr>
          <w:noProof/>
        </w:rPr>
        <w:t>NCC 2022 Update - Whole of</w:t>
      </w:r>
      <w:r>
        <w:rPr>
          <w:i/>
          <w:iCs/>
          <w:noProof/>
        </w:rPr>
        <w:t xml:space="preserve"> House Component, draft report.</w:t>
      </w:r>
      <w:r>
        <w:rPr>
          <w:noProof/>
        </w:rPr>
        <w:t xml:space="preserve"> Energy Efficient Strategies.</w:t>
      </w:r>
    </w:p>
    <w:p w14:paraId="1760CD68" w14:textId="77777777" w:rsidR="00676882" w:rsidRDefault="00676882" w:rsidP="00676882">
      <w:pPr>
        <w:pStyle w:val="Bibliography"/>
        <w:ind w:left="720" w:hanging="720"/>
        <w:rPr>
          <w:noProof/>
        </w:rPr>
      </w:pPr>
      <w:r>
        <w:rPr>
          <w:noProof/>
        </w:rPr>
        <w:t>EY Sweeney. (2016)</w:t>
      </w:r>
      <w:r w:rsidRPr="00235B56">
        <w:rPr>
          <w:i/>
          <w:iCs/>
          <w:noProof/>
        </w:rPr>
        <w:t xml:space="preserve">. </w:t>
      </w:r>
      <w:r>
        <w:rPr>
          <w:i/>
          <w:iCs/>
          <w:noProof/>
        </w:rPr>
        <w:t xml:space="preserve">Rental experiences </w:t>
      </w:r>
      <w:r w:rsidRPr="00235B56">
        <w:rPr>
          <w:noProof/>
        </w:rPr>
        <w:t>of tenants, landlords, property managers, and park residents in Victoria.</w:t>
      </w:r>
      <w:r>
        <w:rPr>
          <w:noProof/>
        </w:rPr>
        <w:t xml:space="preserve"> EY Sweeney.</w:t>
      </w:r>
    </w:p>
    <w:p w14:paraId="77B4BAD6" w14:textId="77777777" w:rsidR="00676882" w:rsidRDefault="00676882" w:rsidP="00676882">
      <w:pPr>
        <w:pStyle w:val="Bibliography"/>
        <w:ind w:left="720" w:hanging="720"/>
        <w:rPr>
          <w:noProof/>
        </w:rPr>
      </w:pPr>
      <w:r>
        <w:rPr>
          <w:noProof/>
        </w:rPr>
        <w:t xml:space="preserve">Forcey, D., FitzGerald, M., Burggraf, M., Nagalingam, V., &amp; Ananda-Rajah, M. (2019). Cold and lonely: emergency presentations or patients with hypothermia to a large Australian health network. </w:t>
      </w:r>
      <w:r>
        <w:rPr>
          <w:i/>
          <w:iCs/>
          <w:noProof/>
        </w:rPr>
        <w:t>Internal Medicine Journal</w:t>
      </w:r>
      <w:r>
        <w:rPr>
          <w:noProof/>
        </w:rPr>
        <w:t>, 54-60.</w:t>
      </w:r>
    </w:p>
    <w:p w14:paraId="6B709C73" w14:textId="77777777" w:rsidR="00676882" w:rsidRDefault="00676882" w:rsidP="00676882">
      <w:pPr>
        <w:pStyle w:val="Bibliography"/>
        <w:ind w:left="720" w:hanging="720"/>
        <w:rPr>
          <w:noProof/>
        </w:rPr>
      </w:pPr>
      <w:r>
        <w:rPr>
          <w:noProof/>
        </w:rPr>
        <w:t xml:space="preserve">French, N. (2019). The impact of Minimum Energy Effieincy Standards </w:t>
      </w:r>
      <w:r w:rsidRPr="00235B56">
        <w:rPr>
          <w:i/>
          <w:iCs/>
          <w:noProof/>
        </w:rPr>
        <w:t>on the UK investment market:</w:t>
      </w:r>
      <w:r>
        <w:rPr>
          <w:noProof/>
        </w:rPr>
        <w:t xml:space="preserve"> one year on. </w:t>
      </w:r>
      <w:r w:rsidRPr="00235B56">
        <w:rPr>
          <w:noProof/>
        </w:rPr>
        <w:t>Journal of Property Investment &amp;</w:t>
      </w:r>
      <w:r>
        <w:rPr>
          <w:i/>
          <w:iCs/>
          <w:noProof/>
        </w:rPr>
        <w:t xml:space="preserve"> Finance, 37</w:t>
      </w:r>
      <w:r>
        <w:rPr>
          <w:noProof/>
        </w:rPr>
        <w:t>(4), 416-423.</w:t>
      </w:r>
    </w:p>
    <w:p w14:paraId="5A2ED998" w14:textId="77777777" w:rsidR="00676882" w:rsidRDefault="00676882" w:rsidP="00676882">
      <w:pPr>
        <w:pStyle w:val="Bibliography"/>
        <w:ind w:left="720" w:hanging="720"/>
        <w:rPr>
          <w:noProof/>
        </w:rPr>
      </w:pPr>
      <w:r w:rsidRPr="00235B56">
        <w:rPr>
          <w:i/>
          <w:iCs/>
          <w:noProof/>
        </w:rPr>
        <w:t xml:space="preserve">French, N. (2020). Property valuation in the UK: material uncertainty and COVID-19. </w:t>
      </w:r>
      <w:r>
        <w:rPr>
          <w:i/>
          <w:iCs/>
          <w:noProof/>
        </w:rPr>
        <w:t xml:space="preserve">Journal </w:t>
      </w:r>
      <w:r w:rsidRPr="00235B56">
        <w:rPr>
          <w:noProof/>
        </w:rPr>
        <w:t xml:space="preserve">of </w:t>
      </w:r>
      <w:r>
        <w:rPr>
          <w:i/>
          <w:iCs/>
          <w:noProof/>
        </w:rPr>
        <w:t>Property</w:t>
      </w:r>
      <w:r w:rsidRPr="00235B56">
        <w:rPr>
          <w:noProof/>
        </w:rPr>
        <w:t xml:space="preserve"> Investment &amp; Finance, 38</w:t>
      </w:r>
      <w:r>
        <w:rPr>
          <w:noProof/>
        </w:rPr>
        <w:t>(5), 463-470.</w:t>
      </w:r>
    </w:p>
    <w:p w14:paraId="525E72C3" w14:textId="77777777" w:rsidR="00676882" w:rsidRDefault="00676882" w:rsidP="00676882">
      <w:pPr>
        <w:pStyle w:val="Bibliography"/>
        <w:ind w:left="720" w:hanging="720"/>
        <w:rPr>
          <w:noProof/>
        </w:rPr>
      </w:pPr>
      <w:r>
        <w:rPr>
          <w:noProof/>
        </w:rPr>
        <w:t xml:space="preserve">Gasparrini, A., Guo, Y., Hashizume, M., Lavigne, E., Zanobetti, A., &amp; Schwartz, J. (2015). Mortalitiy risk attributable to high and low ambient temperature: a multicountry observational study. </w:t>
      </w:r>
      <w:r>
        <w:rPr>
          <w:i/>
          <w:iCs/>
          <w:noProof/>
        </w:rPr>
        <w:t>The Lancet</w:t>
      </w:r>
      <w:r>
        <w:rPr>
          <w:noProof/>
        </w:rPr>
        <w:t>, 369-375.</w:t>
      </w:r>
    </w:p>
    <w:p w14:paraId="0C6574D1" w14:textId="77777777" w:rsidR="00676882" w:rsidRDefault="00676882" w:rsidP="00676882">
      <w:pPr>
        <w:pStyle w:val="Bibliography"/>
        <w:ind w:left="720" w:hanging="720"/>
        <w:rPr>
          <w:noProof/>
        </w:rPr>
      </w:pPr>
      <w:r w:rsidRPr="00235B56">
        <w:rPr>
          <w:i/>
          <w:iCs/>
          <w:noProof/>
        </w:rPr>
        <w:t xml:space="preserve">Gee, S. (2017, March 20). </w:t>
      </w:r>
      <w:r>
        <w:rPr>
          <w:i/>
          <w:iCs/>
          <w:noProof/>
        </w:rPr>
        <w:t>Why does this ex-govie house appear throughout Canberra?</w:t>
      </w:r>
      <w:r w:rsidRPr="00235B56">
        <w:rPr>
          <w:i/>
          <w:iCs/>
          <w:noProof/>
        </w:rPr>
        <w:t xml:space="preserve"> </w:t>
      </w:r>
      <w:r>
        <w:rPr>
          <w:noProof/>
        </w:rPr>
        <w:t>Retrieved</w:t>
      </w:r>
      <w:r w:rsidRPr="00235B56">
        <w:rPr>
          <w:i/>
          <w:iCs/>
          <w:noProof/>
        </w:rPr>
        <w:t xml:space="preserve"> from ABC Canberra</w:t>
      </w:r>
      <w:r>
        <w:rPr>
          <w:noProof/>
        </w:rPr>
        <w:t>: https://www.abc.net.au/news/specials/curious-canberra/2017-03-20/whats-the-story-behind-canberras-ex-govie-houses/8251618?nw=0</w:t>
      </w:r>
    </w:p>
    <w:p w14:paraId="2B3F1E77" w14:textId="77777777" w:rsidR="00676882" w:rsidRDefault="00676882" w:rsidP="00676882">
      <w:pPr>
        <w:pStyle w:val="Bibliography"/>
        <w:ind w:left="720" w:hanging="720"/>
        <w:rPr>
          <w:noProof/>
        </w:rPr>
      </w:pPr>
      <w:r w:rsidRPr="00235B56">
        <w:rPr>
          <w:i/>
          <w:iCs/>
          <w:noProof/>
        </w:rPr>
        <w:t xml:space="preserve">GEER Australia. (2017). </w:t>
      </w:r>
      <w:r>
        <w:rPr>
          <w:i/>
          <w:iCs/>
          <w:noProof/>
        </w:rPr>
        <w:t xml:space="preserve">Power Shift Project Two Deliverable 1: Overview of </w:t>
      </w:r>
      <w:r w:rsidRPr="00235B56">
        <w:rPr>
          <w:noProof/>
        </w:rPr>
        <w:t>energy efficiency co-benefit.</w:t>
      </w:r>
      <w:r>
        <w:rPr>
          <w:noProof/>
        </w:rPr>
        <w:t xml:space="preserve"> Group of Energy Efficiency Researchers Australia.</w:t>
      </w:r>
    </w:p>
    <w:p w14:paraId="2F8078F9" w14:textId="77777777" w:rsidR="00676882" w:rsidRDefault="00676882" w:rsidP="00676882">
      <w:pPr>
        <w:pStyle w:val="Bibliography"/>
        <w:ind w:left="720" w:hanging="720"/>
        <w:rPr>
          <w:noProof/>
        </w:rPr>
      </w:pPr>
      <w:r>
        <w:rPr>
          <w:noProof/>
        </w:rPr>
        <w:t xml:space="preserve">Grimes, A., Denne, </w:t>
      </w:r>
      <w:r w:rsidRPr="00235B56">
        <w:rPr>
          <w:i/>
          <w:iCs/>
          <w:noProof/>
        </w:rPr>
        <w:t xml:space="preserve">T., &amp; Howden-Chapman, P. e. (2012). </w:t>
      </w:r>
      <w:r>
        <w:rPr>
          <w:i/>
          <w:iCs/>
          <w:noProof/>
        </w:rPr>
        <w:t xml:space="preserve">Cost Benefit Analysis of the </w:t>
      </w:r>
      <w:r w:rsidRPr="00235B56">
        <w:rPr>
          <w:noProof/>
        </w:rPr>
        <w:t>Warm Up</w:t>
      </w:r>
      <w:r>
        <w:rPr>
          <w:i/>
          <w:iCs/>
          <w:noProof/>
        </w:rPr>
        <w:t xml:space="preserve"> New Zealand: Heat Smart Programme.</w:t>
      </w:r>
      <w:r>
        <w:rPr>
          <w:noProof/>
        </w:rPr>
        <w:t xml:space="preserve"> </w:t>
      </w:r>
    </w:p>
    <w:p w14:paraId="6EADB5B5" w14:textId="77777777" w:rsidR="00676882" w:rsidRPr="00235B56" w:rsidRDefault="00676882" w:rsidP="00676882">
      <w:pPr>
        <w:pStyle w:val="Bibliography"/>
        <w:ind w:left="720" w:hanging="720"/>
        <w:rPr>
          <w:i/>
          <w:iCs/>
          <w:noProof/>
        </w:rPr>
      </w:pPr>
      <w:r w:rsidRPr="00235B56">
        <w:rPr>
          <w:i/>
          <w:iCs/>
          <w:noProof/>
        </w:rPr>
        <w:t xml:space="preserve">Houston Kemp. (2017). </w:t>
      </w:r>
      <w:r>
        <w:rPr>
          <w:i/>
          <w:iCs/>
          <w:noProof/>
        </w:rPr>
        <w:t>Residential Buildings Regulatory Impact</w:t>
      </w:r>
      <w:r w:rsidRPr="00235B56">
        <w:rPr>
          <w:noProof/>
        </w:rPr>
        <w:t xml:space="preserve"> Statement Methodology.</w:t>
      </w:r>
      <w:r>
        <w:rPr>
          <w:noProof/>
        </w:rPr>
        <w:t xml:space="preserve"> Houston</w:t>
      </w:r>
      <w:r w:rsidRPr="00235B56">
        <w:rPr>
          <w:i/>
          <w:iCs/>
          <w:noProof/>
        </w:rPr>
        <w:t xml:space="preserve"> Kemp.</w:t>
      </w:r>
    </w:p>
    <w:p w14:paraId="1920C503" w14:textId="77777777" w:rsidR="00676882" w:rsidRDefault="00676882" w:rsidP="00676882">
      <w:pPr>
        <w:pStyle w:val="Bibliography"/>
        <w:ind w:left="720" w:hanging="720"/>
        <w:rPr>
          <w:noProof/>
        </w:rPr>
      </w:pPr>
      <w:r w:rsidRPr="00235B56">
        <w:rPr>
          <w:i/>
          <w:iCs/>
          <w:noProof/>
        </w:rPr>
        <w:t xml:space="preserve">Howden-Chapman, P., Matheson, A., Crane, J., Viggers, H., Cunningham, M., Blakely, </w:t>
      </w:r>
      <w:r>
        <w:rPr>
          <w:noProof/>
        </w:rPr>
        <w:t xml:space="preserve">T., . . . Davie, G. (2007). Effect of insulating existing houses on health inequality: cluster randomised study in the community. </w:t>
      </w:r>
      <w:r>
        <w:rPr>
          <w:i/>
          <w:iCs/>
          <w:noProof/>
        </w:rPr>
        <w:t>British Medical Journal</w:t>
      </w:r>
      <w:r>
        <w:rPr>
          <w:noProof/>
        </w:rPr>
        <w:t>.</w:t>
      </w:r>
    </w:p>
    <w:p w14:paraId="1932B911" w14:textId="77777777" w:rsidR="00676882" w:rsidRDefault="00676882" w:rsidP="00676882">
      <w:pPr>
        <w:pStyle w:val="Bibliography"/>
        <w:ind w:left="720" w:hanging="720"/>
        <w:rPr>
          <w:noProof/>
        </w:rPr>
      </w:pPr>
      <w:r>
        <w:rPr>
          <w:noProof/>
        </w:rPr>
        <w:t xml:space="preserve">IEA. (2015). </w:t>
      </w:r>
      <w:r w:rsidRPr="00235B56">
        <w:rPr>
          <w:noProof/>
        </w:rPr>
        <w:t>Capturing the Multiple Benefits of Energy Efficiency.</w:t>
      </w:r>
      <w:r>
        <w:rPr>
          <w:noProof/>
        </w:rPr>
        <w:t xml:space="preserve"> Paris: International Energy Agency.</w:t>
      </w:r>
    </w:p>
    <w:p w14:paraId="49F284C3" w14:textId="77777777" w:rsidR="00676882" w:rsidRPr="00235B56" w:rsidRDefault="00676882" w:rsidP="00676882">
      <w:pPr>
        <w:pStyle w:val="Bibliography"/>
        <w:ind w:left="720" w:hanging="720"/>
        <w:rPr>
          <w:i/>
          <w:iCs/>
          <w:noProof/>
        </w:rPr>
      </w:pPr>
      <w:r>
        <w:rPr>
          <w:noProof/>
        </w:rPr>
        <w:t xml:space="preserve">Insulation Australasia. (2019). </w:t>
      </w:r>
      <w:r w:rsidRPr="00235B56">
        <w:rPr>
          <w:i/>
          <w:iCs/>
          <w:noProof/>
        </w:rPr>
        <w:t>Submission on the regulations for Rental Housing Victoria. Melbourne.</w:t>
      </w:r>
    </w:p>
    <w:p w14:paraId="77DC0088" w14:textId="77777777" w:rsidR="00676882" w:rsidRDefault="00676882" w:rsidP="00676882">
      <w:pPr>
        <w:pStyle w:val="Bibliography"/>
        <w:ind w:left="720" w:hanging="720"/>
        <w:rPr>
          <w:noProof/>
        </w:rPr>
      </w:pPr>
      <w:r w:rsidRPr="00235B56">
        <w:rPr>
          <w:i/>
          <w:iCs/>
          <w:noProof/>
        </w:rPr>
        <w:t xml:space="preserve">IPCC. </w:t>
      </w:r>
      <w:r>
        <w:rPr>
          <w:noProof/>
        </w:rPr>
        <w:t xml:space="preserve">(2021). </w:t>
      </w:r>
      <w:r>
        <w:rPr>
          <w:i/>
          <w:iCs/>
          <w:noProof/>
        </w:rPr>
        <w:t>Climate Change 2021: The Physical Science Basis. Contribution of Working Group I to the Sixth Assessment Report of the Intergovernmental Panel on Climate Change.</w:t>
      </w:r>
      <w:r>
        <w:rPr>
          <w:noProof/>
        </w:rPr>
        <w:t xml:space="preserve"> Cambridge: Cambridge University Press.</w:t>
      </w:r>
    </w:p>
    <w:p w14:paraId="4E0D5D7D" w14:textId="77777777" w:rsidR="00676882" w:rsidRDefault="00676882" w:rsidP="00676882">
      <w:pPr>
        <w:pStyle w:val="Bibliography"/>
        <w:ind w:left="720" w:hanging="720"/>
        <w:rPr>
          <w:noProof/>
        </w:rPr>
      </w:pPr>
      <w:r>
        <w:rPr>
          <w:noProof/>
        </w:rPr>
        <w:t xml:space="preserve">Jacobs. (2019). </w:t>
      </w:r>
      <w:r w:rsidRPr="00235B56">
        <w:rPr>
          <w:noProof/>
        </w:rPr>
        <w:t>Victorian Energy Upgrades Program, Energy Market Modelling.</w:t>
      </w:r>
      <w:r>
        <w:rPr>
          <w:noProof/>
        </w:rPr>
        <w:t xml:space="preserve"> Jacobs.</w:t>
      </w:r>
    </w:p>
    <w:p w14:paraId="71C85674" w14:textId="77777777" w:rsidR="00676882" w:rsidRDefault="00676882" w:rsidP="00676882">
      <w:pPr>
        <w:pStyle w:val="Bibliography"/>
        <w:ind w:left="720" w:hanging="720"/>
        <w:rPr>
          <w:noProof/>
        </w:rPr>
      </w:pPr>
      <w:r>
        <w:rPr>
          <w:noProof/>
        </w:rPr>
        <w:lastRenderedPageBreak/>
        <w:t>Juel Holst</w:t>
      </w:r>
      <w:r w:rsidRPr="00235B56">
        <w:rPr>
          <w:i/>
          <w:iCs/>
          <w:noProof/>
        </w:rPr>
        <w:t xml:space="preserve">, G., </w:t>
      </w:r>
      <w:r>
        <w:rPr>
          <w:noProof/>
        </w:rPr>
        <w:t xml:space="preserve">Porneki, A., Lindgreen, J., Thuesen, B., Bonlokke, J., Hyvarinen, A., . . . Sigsgaard, T. (2020). Household dampness and microbial exposuer related to allergy and respiratory health in Danish adults. </w:t>
      </w:r>
      <w:r>
        <w:rPr>
          <w:i/>
          <w:iCs/>
          <w:noProof/>
        </w:rPr>
        <w:t>Eur Clin Respir J.</w:t>
      </w:r>
      <w:r>
        <w:rPr>
          <w:noProof/>
        </w:rPr>
        <w:t xml:space="preserve"> </w:t>
      </w:r>
    </w:p>
    <w:p w14:paraId="2DA99C60" w14:textId="77777777" w:rsidR="00676882" w:rsidRDefault="00676882" w:rsidP="00676882">
      <w:pPr>
        <w:pStyle w:val="Bibliography"/>
        <w:ind w:left="720" w:hanging="720"/>
        <w:rPr>
          <w:noProof/>
        </w:rPr>
      </w:pPr>
      <w:r>
        <w:rPr>
          <w:noProof/>
        </w:rPr>
        <w:t>Kenington, D., Wood, J., Reid, M., &amp; Klein, L. (</w:t>
      </w:r>
      <w:r w:rsidRPr="00235B56">
        <w:rPr>
          <w:i/>
          <w:iCs/>
          <w:noProof/>
        </w:rPr>
        <w:t xml:space="preserve">2016). </w:t>
      </w:r>
      <w:r>
        <w:rPr>
          <w:i/>
          <w:iCs/>
          <w:noProof/>
        </w:rPr>
        <w:t>Developing</w:t>
      </w:r>
      <w:r w:rsidRPr="00235B56">
        <w:rPr>
          <w:noProof/>
        </w:rPr>
        <w:t xml:space="preserve"> a non-energy benefits indication</w:t>
      </w:r>
      <w:r>
        <w:rPr>
          <w:i/>
          <w:iCs/>
          <w:noProof/>
        </w:rPr>
        <w:t xml:space="preserve"> framework for residential and community energy efficiency programs in New South Wales, Australia.</w:t>
      </w:r>
      <w:r>
        <w:rPr>
          <w:noProof/>
        </w:rPr>
        <w:t xml:space="preserve"> Amsterdam: International Energy Policies &amp; Programmes Evaluation Conference.</w:t>
      </w:r>
    </w:p>
    <w:p w14:paraId="5EE0C8A5" w14:textId="77777777" w:rsidR="00676882" w:rsidRDefault="00676882" w:rsidP="00676882">
      <w:pPr>
        <w:pStyle w:val="Bibliography"/>
        <w:ind w:left="720" w:hanging="720"/>
        <w:rPr>
          <w:noProof/>
        </w:rPr>
      </w:pPr>
      <w:r>
        <w:rPr>
          <w:noProof/>
        </w:rPr>
        <w:t xml:space="preserve">Knibbs, L., Woldeyohannes, S., Marks, G., &amp; Cowie, C. (2018). Damp hosing, gas stoves and the burden of childhood asthma in Australia. </w:t>
      </w:r>
      <w:r>
        <w:rPr>
          <w:i/>
          <w:iCs/>
          <w:noProof/>
        </w:rPr>
        <w:t>Medical Journal of Australia, 208</w:t>
      </w:r>
      <w:r>
        <w:rPr>
          <w:noProof/>
        </w:rPr>
        <w:t>(7), 299-302.</w:t>
      </w:r>
    </w:p>
    <w:p w14:paraId="707E3D80" w14:textId="77777777" w:rsidR="00676882" w:rsidRDefault="00676882" w:rsidP="00676882">
      <w:pPr>
        <w:pStyle w:val="Bibliography"/>
        <w:ind w:left="720" w:hanging="720"/>
        <w:rPr>
          <w:noProof/>
        </w:rPr>
      </w:pPr>
      <w:r>
        <w:rPr>
          <w:noProof/>
        </w:rPr>
        <w:t>Lander, J., Breth-Petersen, M., Moait, R., Forbes, C., Stephens,</w:t>
      </w:r>
      <w:r w:rsidRPr="00235B56">
        <w:rPr>
          <w:i/>
          <w:iCs/>
          <w:noProof/>
        </w:rPr>
        <w:t xml:space="preserve"> L., </w:t>
      </w:r>
      <w:r>
        <w:rPr>
          <w:noProof/>
        </w:rPr>
        <w:t xml:space="preserve">&amp; Dickson, M. (2019). </w:t>
      </w:r>
      <w:r w:rsidRPr="00235B56">
        <w:rPr>
          <w:noProof/>
        </w:rPr>
        <w:t xml:space="preserve">Extreme heat driven by the climate emergency: impacts on the health and </w:t>
      </w:r>
      <w:r>
        <w:rPr>
          <w:i/>
          <w:iCs/>
          <w:noProof/>
        </w:rPr>
        <w:t>wellbeing impacts of</w:t>
      </w:r>
      <w:r w:rsidRPr="00235B56">
        <w:rPr>
          <w:noProof/>
        </w:rPr>
        <w:t xml:space="preserve"> public housing</w:t>
      </w:r>
      <w:r>
        <w:rPr>
          <w:i/>
          <w:iCs/>
          <w:noProof/>
        </w:rPr>
        <w:t xml:space="preserve"> tenants in Mildura, Victoria.</w:t>
      </w:r>
      <w:r>
        <w:rPr>
          <w:noProof/>
        </w:rPr>
        <w:t xml:space="preserve"> Sydney: Mallee Family Care.</w:t>
      </w:r>
    </w:p>
    <w:p w14:paraId="360A565B" w14:textId="77777777" w:rsidR="00676882" w:rsidRPr="00235B56" w:rsidRDefault="00676882" w:rsidP="00676882">
      <w:pPr>
        <w:pStyle w:val="Bibliography"/>
        <w:ind w:left="720" w:hanging="720"/>
        <w:rPr>
          <w:i/>
          <w:iCs/>
          <w:noProof/>
        </w:rPr>
      </w:pPr>
      <w:r>
        <w:rPr>
          <w:noProof/>
        </w:rPr>
        <w:t xml:space="preserve">Lazar, J., &amp; </w:t>
      </w:r>
      <w:r w:rsidRPr="00235B56">
        <w:rPr>
          <w:i/>
          <w:iCs/>
          <w:noProof/>
        </w:rPr>
        <w:t xml:space="preserve">Coburn, K. </w:t>
      </w:r>
      <w:r>
        <w:rPr>
          <w:noProof/>
        </w:rPr>
        <w:t xml:space="preserve">(2013). </w:t>
      </w:r>
      <w:r w:rsidRPr="00235B56">
        <w:rPr>
          <w:noProof/>
        </w:rPr>
        <w:t xml:space="preserve">Recognizing the full value of </w:t>
      </w:r>
      <w:r>
        <w:rPr>
          <w:i/>
          <w:iCs/>
          <w:noProof/>
        </w:rPr>
        <w:t>energy efficiency.</w:t>
      </w:r>
      <w:r w:rsidRPr="00235B56">
        <w:rPr>
          <w:i/>
          <w:iCs/>
          <w:noProof/>
        </w:rPr>
        <w:t xml:space="preserve"> The Regulatory Assistance Project.</w:t>
      </w:r>
    </w:p>
    <w:p w14:paraId="459FA877" w14:textId="77777777" w:rsidR="00676882" w:rsidRDefault="00676882" w:rsidP="00676882">
      <w:pPr>
        <w:pStyle w:val="Bibliography"/>
        <w:ind w:left="720" w:hanging="720"/>
        <w:rPr>
          <w:noProof/>
        </w:rPr>
      </w:pPr>
      <w:r>
        <w:rPr>
          <w:noProof/>
        </w:rPr>
        <w:t xml:space="preserve">McKinsey &amp; Company. </w:t>
      </w:r>
      <w:r w:rsidRPr="00235B56">
        <w:rPr>
          <w:i/>
          <w:iCs/>
          <w:noProof/>
        </w:rPr>
        <w:t xml:space="preserve">(2009). </w:t>
      </w:r>
      <w:r>
        <w:rPr>
          <w:i/>
          <w:iCs/>
          <w:noProof/>
        </w:rPr>
        <w:t>Unlocking</w:t>
      </w:r>
      <w:r w:rsidRPr="00235B56">
        <w:rPr>
          <w:noProof/>
        </w:rPr>
        <w:t xml:space="preserve"> Energy Efficiency in </w:t>
      </w:r>
      <w:r>
        <w:rPr>
          <w:i/>
          <w:iCs/>
          <w:noProof/>
        </w:rPr>
        <w:t>the U.S. Economy.</w:t>
      </w:r>
      <w:r>
        <w:rPr>
          <w:noProof/>
        </w:rPr>
        <w:t xml:space="preserve"> </w:t>
      </w:r>
    </w:p>
    <w:p w14:paraId="190EBB0B" w14:textId="77777777" w:rsidR="00676882" w:rsidRDefault="00676882" w:rsidP="00676882">
      <w:pPr>
        <w:pStyle w:val="Bibliography"/>
        <w:ind w:left="720" w:hanging="720"/>
        <w:rPr>
          <w:noProof/>
        </w:rPr>
      </w:pPr>
      <w:r>
        <w:rPr>
          <w:noProof/>
        </w:rPr>
        <w:t xml:space="preserve">Moreland Energy Foundation. (2017). </w:t>
      </w:r>
      <w:r w:rsidRPr="00235B56">
        <w:rPr>
          <w:noProof/>
        </w:rPr>
        <w:t>Changes Associated with Efficient Dwellings Project.</w:t>
      </w:r>
      <w:r>
        <w:rPr>
          <w:noProof/>
        </w:rPr>
        <w:t xml:space="preserve"> Moreland Energy Foundation.</w:t>
      </w:r>
    </w:p>
    <w:p w14:paraId="652A585B" w14:textId="77777777" w:rsidR="00676882" w:rsidRDefault="00676882" w:rsidP="00676882">
      <w:pPr>
        <w:pStyle w:val="Bibliography"/>
        <w:ind w:left="720" w:hanging="720"/>
        <w:rPr>
          <w:noProof/>
        </w:rPr>
      </w:pPr>
      <w:r>
        <w:rPr>
          <w:noProof/>
        </w:rPr>
        <w:t xml:space="preserve">Mudarri, D., &amp; Fisk, W. (2007). Public health and economic impact of dampness and mold. </w:t>
      </w:r>
      <w:r>
        <w:rPr>
          <w:i/>
          <w:iCs/>
          <w:noProof/>
        </w:rPr>
        <w:t>Indoor Air, 17</w:t>
      </w:r>
      <w:r>
        <w:rPr>
          <w:noProof/>
        </w:rPr>
        <w:t>, 226-235.</w:t>
      </w:r>
    </w:p>
    <w:p w14:paraId="248C8037" w14:textId="77777777" w:rsidR="00676882" w:rsidRDefault="00676882" w:rsidP="00676882">
      <w:pPr>
        <w:pStyle w:val="Bibliography"/>
        <w:ind w:left="720" w:hanging="720"/>
        <w:rPr>
          <w:noProof/>
        </w:rPr>
      </w:pPr>
      <w:r>
        <w:rPr>
          <w:noProof/>
        </w:rPr>
        <w:t xml:space="preserve">Murray-Leach, R. (2019). </w:t>
      </w:r>
      <w:r w:rsidRPr="00235B56">
        <w:rPr>
          <w:noProof/>
        </w:rPr>
        <w:t>The World's First Fuel: How energy efficiency</w:t>
      </w:r>
      <w:r>
        <w:rPr>
          <w:i/>
          <w:iCs/>
          <w:noProof/>
        </w:rPr>
        <w:t xml:space="preserve"> is </w:t>
      </w:r>
      <w:r w:rsidRPr="00235B56">
        <w:rPr>
          <w:noProof/>
        </w:rPr>
        <w:t>reshaping global energy systems.</w:t>
      </w:r>
      <w:r>
        <w:rPr>
          <w:noProof/>
        </w:rPr>
        <w:t xml:space="preserve"> Melbourne: Energy Efficiency Council.</w:t>
      </w:r>
    </w:p>
    <w:p w14:paraId="3D1F79B3" w14:textId="77777777" w:rsidR="00676882" w:rsidRDefault="00676882" w:rsidP="00676882">
      <w:pPr>
        <w:pStyle w:val="Bibliography"/>
        <w:ind w:left="720" w:hanging="720"/>
        <w:rPr>
          <w:noProof/>
        </w:rPr>
      </w:pPr>
      <w:r>
        <w:rPr>
          <w:noProof/>
        </w:rPr>
        <w:t xml:space="preserve">Newgate Research. (2018). </w:t>
      </w:r>
      <w:r w:rsidRPr="00235B56">
        <w:rPr>
          <w:noProof/>
        </w:rPr>
        <w:t>Research Report on Energy Efficiency in Rental Properties.</w:t>
      </w:r>
      <w:r>
        <w:rPr>
          <w:noProof/>
        </w:rPr>
        <w:t xml:space="preserve"> Melbourne:</w:t>
      </w:r>
      <w:r w:rsidRPr="00235B56">
        <w:rPr>
          <w:i/>
          <w:iCs/>
          <w:noProof/>
        </w:rPr>
        <w:t xml:space="preserve"> Department </w:t>
      </w:r>
      <w:r>
        <w:rPr>
          <w:noProof/>
        </w:rPr>
        <w:t>of Environment, Land, Water and Planning.</w:t>
      </w:r>
    </w:p>
    <w:p w14:paraId="7B8C98F2" w14:textId="77777777" w:rsidR="00676882" w:rsidRDefault="00676882" w:rsidP="00676882">
      <w:pPr>
        <w:pStyle w:val="Bibliography"/>
        <w:ind w:left="720" w:hanging="720"/>
        <w:rPr>
          <w:noProof/>
        </w:rPr>
      </w:pPr>
      <w:r>
        <w:rPr>
          <w:noProof/>
        </w:rPr>
        <w:t xml:space="preserve">NSW Government. (2015). </w:t>
      </w:r>
      <w:r w:rsidRPr="00235B56">
        <w:rPr>
          <w:noProof/>
        </w:rPr>
        <w:t>Review of the NSW Energy Savings Scheme, Final Statutory Review Report.</w:t>
      </w:r>
      <w:r>
        <w:rPr>
          <w:noProof/>
        </w:rPr>
        <w:t xml:space="preserve"> </w:t>
      </w:r>
    </w:p>
    <w:p w14:paraId="5BD482B5" w14:textId="77777777" w:rsidR="00676882" w:rsidRDefault="00676882" w:rsidP="00676882">
      <w:pPr>
        <w:pStyle w:val="Bibliography"/>
        <w:ind w:left="720" w:hanging="720"/>
        <w:rPr>
          <w:noProof/>
        </w:rPr>
      </w:pPr>
      <w:r>
        <w:rPr>
          <w:noProof/>
        </w:rPr>
        <w:t xml:space="preserve">OBPR. (2020). </w:t>
      </w:r>
      <w:r w:rsidRPr="00235B56">
        <w:rPr>
          <w:noProof/>
        </w:rPr>
        <w:t>Cost-benefit analysis guidance note.</w:t>
      </w:r>
      <w:r>
        <w:rPr>
          <w:noProof/>
        </w:rPr>
        <w:t xml:space="preserve"> Canberra: Office of Best Practice Regulation.</w:t>
      </w:r>
    </w:p>
    <w:p w14:paraId="02A75145" w14:textId="77777777" w:rsidR="00676882" w:rsidRDefault="00676882" w:rsidP="00676882">
      <w:pPr>
        <w:pStyle w:val="Bibliography"/>
        <w:ind w:left="720" w:hanging="720"/>
        <w:rPr>
          <w:noProof/>
        </w:rPr>
      </w:pPr>
      <w:r>
        <w:rPr>
          <w:noProof/>
        </w:rPr>
        <w:t xml:space="preserve">O'Leary, T. (2016). </w:t>
      </w:r>
      <w:r>
        <w:rPr>
          <w:i/>
          <w:iCs/>
          <w:noProof/>
        </w:rPr>
        <w:t>Industry adaptation to NatHERS 6 star energy regulations and energy performance disclosuer models for housing.</w:t>
      </w:r>
      <w:r>
        <w:rPr>
          <w:noProof/>
        </w:rPr>
        <w:t xml:space="preserve"> </w:t>
      </w:r>
    </w:p>
    <w:p w14:paraId="67E56CAD" w14:textId="77777777" w:rsidR="00676882" w:rsidRDefault="00676882" w:rsidP="00676882">
      <w:pPr>
        <w:pStyle w:val="Bibliography"/>
        <w:ind w:left="720" w:hanging="720"/>
        <w:rPr>
          <w:noProof/>
        </w:rPr>
      </w:pPr>
      <w:r>
        <w:rPr>
          <w:noProof/>
        </w:rPr>
        <w:t xml:space="preserve">Phillips, B. (2018). </w:t>
      </w:r>
      <w:r w:rsidRPr="00235B56">
        <w:rPr>
          <w:noProof/>
        </w:rPr>
        <w:t>Trends in household energy expenditure.</w:t>
      </w:r>
      <w:r>
        <w:rPr>
          <w:noProof/>
        </w:rPr>
        <w:t xml:space="preserve"> Canberra: ANU Centre for Social Research Methods. Retrieved from </w:t>
      </w:r>
      <w:r w:rsidRPr="00235B56">
        <w:rPr>
          <w:i/>
          <w:iCs/>
          <w:noProof/>
        </w:rPr>
        <w:t>https://www</w:t>
      </w:r>
      <w:r>
        <w:rPr>
          <w:noProof/>
        </w:rPr>
        <w:t>.acoss.org.au/wp-content/uploads/2018/10/energy-stressed-in-australia.pdf</w:t>
      </w:r>
    </w:p>
    <w:p w14:paraId="678713EC" w14:textId="77777777" w:rsidR="00676882" w:rsidRDefault="00676882" w:rsidP="00676882">
      <w:pPr>
        <w:pStyle w:val="Bibliography"/>
        <w:ind w:left="720" w:hanging="720"/>
        <w:rPr>
          <w:noProof/>
        </w:rPr>
      </w:pPr>
      <w:r>
        <w:rPr>
          <w:noProof/>
        </w:rPr>
        <w:t xml:space="preserve">Productivity Commission. (2019). </w:t>
      </w:r>
      <w:r w:rsidRPr="00235B56">
        <w:rPr>
          <w:noProof/>
        </w:rPr>
        <w:t>Vulnerable Private Renters: Evidence and Options.</w:t>
      </w:r>
      <w:r>
        <w:rPr>
          <w:noProof/>
        </w:rPr>
        <w:t xml:space="preserve"> Canberra: Productivity Commission.</w:t>
      </w:r>
    </w:p>
    <w:p w14:paraId="441424DE" w14:textId="77777777" w:rsidR="00676882" w:rsidRDefault="00676882" w:rsidP="00676882">
      <w:pPr>
        <w:pStyle w:val="Bibliography"/>
        <w:ind w:left="720" w:hanging="720"/>
        <w:rPr>
          <w:noProof/>
        </w:rPr>
      </w:pPr>
      <w:r>
        <w:rPr>
          <w:noProof/>
        </w:rPr>
        <w:t>Residential Tenancies Act (Australian Capital</w:t>
      </w:r>
      <w:r w:rsidRPr="00235B56">
        <w:rPr>
          <w:i/>
          <w:iCs/>
          <w:noProof/>
        </w:rPr>
        <w:t xml:space="preserve"> Territory 1997)</w:t>
      </w:r>
      <w:r>
        <w:rPr>
          <w:noProof/>
        </w:rPr>
        <w:t>.</w:t>
      </w:r>
    </w:p>
    <w:p w14:paraId="53D73436" w14:textId="77777777" w:rsidR="00676882" w:rsidRDefault="00676882" w:rsidP="00676882">
      <w:pPr>
        <w:pStyle w:val="Bibliography"/>
        <w:ind w:left="720" w:hanging="720"/>
        <w:rPr>
          <w:noProof/>
        </w:rPr>
      </w:pPr>
      <w:r>
        <w:rPr>
          <w:noProof/>
        </w:rPr>
        <w:t>Residential Tenancies Amendment Act (Australian Capital Territory 2019).</w:t>
      </w:r>
    </w:p>
    <w:p w14:paraId="01FAD41D" w14:textId="77777777" w:rsidR="00676882" w:rsidRDefault="00676882" w:rsidP="00676882">
      <w:pPr>
        <w:pStyle w:val="Bibliography"/>
        <w:ind w:left="720" w:hanging="720"/>
        <w:rPr>
          <w:noProof/>
        </w:rPr>
      </w:pPr>
      <w:r>
        <w:rPr>
          <w:noProof/>
        </w:rPr>
        <w:t xml:space="preserve">Ricke, K., Drouet, L., &amp; Calderia, K. (2018). Country-level social cost of carbon. </w:t>
      </w:r>
      <w:r>
        <w:rPr>
          <w:i/>
          <w:iCs/>
          <w:noProof/>
        </w:rPr>
        <w:t>Nature Climate Change</w:t>
      </w:r>
      <w:r>
        <w:rPr>
          <w:noProof/>
        </w:rPr>
        <w:t>.</w:t>
      </w:r>
    </w:p>
    <w:p w14:paraId="0EA7FD82" w14:textId="77777777" w:rsidR="00676882" w:rsidRDefault="00676882" w:rsidP="00676882">
      <w:pPr>
        <w:pStyle w:val="Bibliography"/>
        <w:ind w:left="720" w:hanging="720"/>
        <w:rPr>
          <w:noProof/>
        </w:rPr>
      </w:pPr>
      <w:r>
        <w:rPr>
          <w:noProof/>
        </w:rPr>
        <w:t xml:space="preserve">Rovingstone Advisory </w:t>
      </w:r>
      <w:r w:rsidRPr="00235B56">
        <w:rPr>
          <w:i/>
          <w:iCs/>
          <w:noProof/>
        </w:rPr>
        <w:t>Pty Ltd. (</w:t>
      </w:r>
      <w:r>
        <w:rPr>
          <w:noProof/>
        </w:rPr>
        <w:t xml:space="preserve">2021). </w:t>
      </w:r>
      <w:r w:rsidRPr="00235B56">
        <w:rPr>
          <w:noProof/>
        </w:rPr>
        <w:t>A Social Cost of Carbon for the ACT, draft report.</w:t>
      </w:r>
      <w:r>
        <w:rPr>
          <w:noProof/>
        </w:rPr>
        <w:t xml:space="preserve"> Canberra: Rovingstone Advisory.</w:t>
      </w:r>
    </w:p>
    <w:p w14:paraId="5DB514B5" w14:textId="77777777" w:rsidR="00676882" w:rsidRDefault="00676882" w:rsidP="00676882">
      <w:pPr>
        <w:pStyle w:val="Bibliography"/>
        <w:ind w:left="720" w:hanging="720"/>
        <w:rPr>
          <w:noProof/>
        </w:rPr>
      </w:pPr>
      <w:r>
        <w:rPr>
          <w:noProof/>
        </w:rPr>
        <w:t>Sayce, S. L., &amp; Hossain, S.</w:t>
      </w:r>
      <w:r w:rsidRPr="00235B56">
        <w:rPr>
          <w:i/>
          <w:iCs/>
          <w:noProof/>
        </w:rPr>
        <w:t xml:space="preserve"> M. (</w:t>
      </w:r>
      <w:r>
        <w:rPr>
          <w:noProof/>
        </w:rPr>
        <w:t>2020, April). The initial impacts of Minimum Energy Efficiency Standards (</w:t>
      </w:r>
      <w:r w:rsidRPr="00235B56">
        <w:rPr>
          <w:i/>
          <w:iCs/>
          <w:noProof/>
        </w:rPr>
        <w:t xml:space="preserve">MEES) in </w:t>
      </w:r>
      <w:r>
        <w:rPr>
          <w:noProof/>
        </w:rPr>
        <w:t xml:space="preserve">England. </w:t>
      </w:r>
      <w:r>
        <w:rPr>
          <w:i/>
          <w:iCs/>
          <w:noProof/>
        </w:rPr>
        <w:t>Journal of Property Investment &amp; Finance, 36</w:t>
      </w:r>
      <w:r>
        <w:rPr>
          <w:noProof/>
        </w:rPr>
        <w:t>(5), 435-447.</w:t>
      </w:r>
    </w:p>
    <w:p w14:paraId="06E8423E" w14:textId="77777777" w:rsidR="00676882" w:rsidRDefault="00676882" w:rsidP="00676882">
      <w:pPr>
        <w:pStyle w:val="Bibliography"/>
        <w:ind w:left="720" w:hanging="720"/>
        <w:rPr>
          <w:noProof/>
        </w:rPr>
      </w:pPr>
      <w:r>
        <w:rPr>
          <w:noProof/>
        </w:rPr>
        <w:lastRenderedPageBreak/>
        <w:t>Scorgie, M. M.</w:t>
      </w:r>
      <w:r w:rsidRPr="00235B56">
        <w:rPr>
          <w:i/>
          <w:iCs/>
          <w:noProof/>
        </w:rPr>
        <w:t xml:space="preserve"> (2019). </w:t>
      </w:r>
      <w:r>
        <w:rPr>
          <w:i/>
          <w:iCs/>
          <w:noProof/>
        </w:rPr>
        <w:t>Air Quality and Public Health</w:t>
      </w:r>
      <w:r w:rsidRPr="00235B56">
        <w:rPr>
          <w:noProof/>
        </w:rPr>
        <w:t xml:space="preserve"> Co-benefits of Implementing Energy Efficiency</w:t>
      </w:r>
      <w:r>
        <w:rPr>
          <w:i/>
          <w:iCs/>
          <w:noProof/>
        </w:rPr>
        <w:t xml:space="preserve"> and Clean Energy Measures in New South Wales.</w:t>
      </w:r>
      <w:r>
        <w:rPr>
          <w:noProof/>
        </w:rPr>
        <w:t xml:space="preserve"> Sydney: NSW Office of Environment and Heritage.</w:t>
      </w:r>
    </w:p>
    <w:p w14:paraId="1741F9E0" w14:textId="77777777" w:rsidR="00676882" w:rsidRDefault="00676882" w:rsidP="00676882">
      <w:pPr>
        <w:pStyle w:val="Bibliography"/>
        <w:ind w:left="720" w:hanging="720"/>
        <w:rPr>
          <w:noProof/>
        </w:rPr>
      </w:pPr>
      <w:r>
        <w:rPr>
          <w:noProof/>
        </w:rPr>
        <w:t xml:space="preserve">SPR. (2017). </w:t>
      </w:r>
      <w:r w:rsidRPr="00235B56">
        <w:rPr>
          <w:noProof/>
        </w:rPr>
        <w:t>Quantifying Commercial Building Learning Rates in Australia: Final Report.</w:t>
      </w:r>
      <w:r>
        <w:rPr>
          <w:noProof/>
        </w:rPr>
        <w:t xml:space="preserve"> Strategy. Policy. Research.</w:t>
      </w:r>
    </w:p>
    <w:p w14:paraId="591BC670" w14:textId="77777777" w:rsidR="00676882" w:rsidRDefault="00676882" w:rsidP="00676882">
      <w:pPr>
        <w:pStyle w:val="Bibliography"/>
        <w:ind w:left="720" w:hanging="720"/>
        <w:rPr>
          <w:noProof/>
        </w:rPr>
      </w:pPr>
      <w:r>
        <w:rPr>
          <w:noProof/>
        </w:rPr>
        <w:t xml:space="preserve">SPR. (2018). </w:t>
      </w:r>
      <w:r w:rsidRPr="00235B56">
        <w:rPr>
          <w:noProof/>
        </w:rPr>
        <w:t>Inclusion of heating and cooling energy load limits in NatHERS assessments, Regulation Impact Statement for decision.</w:t>
      </w:r>
      <w:r>
        <w:rPr>
          <w:noProof/>
        </w:rPr>
        <w:t xml:space="preserve"> Strategy. Policy. Research.</w:t>
      </w:r>
    </w:p>
    <w:p w14:paraId="19989C25" w14:textId="77777777" w:rsidR="00676882" w:rsidRDefault="00676882" w:rsidP="00676882">
      <w:pPr>
        <w:pStyle w:val="Bibliography"/>
        <w:ind w:left="720" w:hanging="720"/>
        <w:rPr>
          <w:noProof/>
        </w:rPr>
      </w:pPr>
      <w:r>
        <w:rPr>
          <w:noProof/>
        </w:rPr>
        <w:t xml:space="preserve">SPR. (2019). </w:t>
      </w:r>
      <w:r w:rsidRPr="00235B56">
        <w:rPr>
          <w:noProof/>
        </w:rPr>
        <w:t xml:space="preserve">Evaluation of the Victorian 6-star </w:t>
      </w:r>
      <w:r>
        <w:rPr>
          <w:i/>
          <w:iCs/>
          <w:noProof/>
        </w:rPr>
        <w:t>Housing Standard.</w:t>
      </w:r>
      <w:r>
        <w:rPr>
          <w:noProof/>
        </w:rPr>
        <w:t xml:space="preserve"> Strategy. Policy. Research.</w:t>
      </w:r>
    </w:p>
    <w:p w14:paraId="0EAAE8AC" w14:textId="77777777" w:rsidR="00676882" w:rsidRPr="00235B56" w:rsidRDefault="00676882" w:rsidP="00676882">
      <w:pPr>
        <w:pStyle w:val="Bibliography"/>
        <w:ind w:left="720" w:hanging="720"/>
        <w:rPr>
          <w:i/>
          <w:iCs/>
          <w:noProof/>
        </w:rPr>
      </w:pPr>
      <w:r>
        <w:rPr>
          <w:noProof/>
        </w:rPr>
        <w:t xml:space="preserve">Sustainability Victoria. (2016). </w:t>
      </w:r>
      <w:r w:rsidRPr="00235B56">
        <w:rPr>
          <w:noProof/>
        </w:rPr>
        <w:t>Draught Sealing Retrofit Trial.</w:t>
      </w:r>
      <w:r>
        <w:rPr>
          <w:noProof/>
        </w:rPr>
        <w:t xml:space="preserve"> Melbourne:</w:t>
      </w:r>
      <w:r w:rsidRPr="00235B56">
        <w:rPr>
          <w:i/>
          <w:iCs/>
          <w:noProof/>
        </w:rPr>
        <w:t xml:space="preserve"> Sustainability Victoria.</w:t>
      </w:r>
    </w:p>
    <w:p w14:paraId="4DACCEEC" w14:textId="77777777" w:rsidR="00676882" w:rsidRDefault="00676882" w:rsidP="00676882">
      <w:pPr>
        <w:pStyle w:val="Bibliography"/>
        <w:ind w:left="720" w:hanging="720"/>
        <w:rPr>
          <w:noProof/>
        </w:rPr>
      </w:pPr>
      <w:r w:rsidRPr="00235B56">
        <w:rPr>
          <w:i/>
          <w:iCs/>
          <w:noProof/>
        </w:rPr>
        <w:t>Sustainability Victoria</w:t>
      </w:r>
      <w:r>
        <w:rPr>
          <w:noProof/>
        </w:rPr>
        <w:t xml:space="preserve">. (2021). </w:t>
      </w:r>
      <w:r w:rsidRPr="00235B56">
        <w:rPr>
          <w:noProof/>
        </w:rPr>
        <w:t>Zero Net Carbon Homes - Pilot Program: Summary report.</w:t>
      </w:r>
      <w:r>
        <w:rPr>
          <w:noProof/>
        </w:rPr>
        <w:t xml:space="preserve"> Melbourne: Sustainability Victoria.</w:t>
      </w:r>
    </w:p>
    <w:p w14:paraId="798B15AA" w14:textId="77777777" w:rsidR="00676882" w:rsidRDefault="00676882" w:rsidP="00676882">
      <w:pPr>
        <w:pStyle w:val="Bibliography"/>
        <w:ind w:left="720" w:hanging="720"/>
        <w:rPr>
          <w:noProof/>
        </w:rPr>
      </w:pPr>
      <w:r>
        <w:rPr>
          <w:noProof/>
        </w:rPr>
        <w:t xml:space="preserve">Tischer, C., Chen, C., &amp; Heinrich, J. (2011). Association between domestic mould and mould components, and asthma and allergy in </w:t>
      </w:r>
      <w:r w:rsidRPr="00235B56">
        <w:rPr>
          <w:i/>
          <w:iCs/>
          <w:noProof/>
        </w:rPr>
        <w:t>children; a systematic review</w:t>
      </w:r>
      <w:r>
        <w:rPr>
          <w:noProof/>
        </w:rPr>
        <w:t xml:space="preserve">. </w:t>
      </w:r>
      <w:r>
        <w:rPr>
          <w:i/>
          <w:iCs/>
          <w:noProof/>
        </w:rPr>
        <w:t>Eur Respir J.</w:t>
      </w:r>
      <w:r>
        <w:rPr>
          <w:noProof/>
        </w:rPr>
        <w:t>, 812-824.</w:t>
      </w:r>
    </w:p>
    <w:p w14:paraId="67CB041B" w14:textId="77777777" w:rsidR="00676882" w:rsidRDefault="00676882" w:rsidP="00676882">
      <w:pPr>
        <w:pStyle w:val="Bibliography"/>
        <w:ind w:left="720" w:hanging="720"/>
        <w:rPr>
          <w:noProof/>
        </w:rPr>
      </w:pPr>
      <w:r>
        <w:rPr>
          <w:noProof/>
        </w:rPr>
        <w:t xml:space="preserve">Velux. (2021, March 15). </w:t>
      </w:r>
      <w:r w:rsidRPr="00235B56">
        <w:rPr>
          <w:noProof/>
        </w:rPr>
        <w:t>Healthy homes barometer 2020.</w:t>
      </w:r>
      <w:r>
        <w:rPr>
          <w:noProof/>
        </w:rPr>
        <w:t xml:space="preserve"> Retrieved from https://velcdn.azureedge.net/-/media/com/healthy-homes-barometer/hhb-2020/hhb_main_report_2020.pdf</w:t>
      </w:r>
    </w:p>
    <w:p w14:paraId="726968A1" w14:textId="77777777" w:rsidR="00676882" w:rsidRDefault="00676882" w:rsidP="00676882">
      <w:pPr>
        <w:pStyle w:val="Bibliography"/>
        <w:ind w:left="720" w:hanging="720"/>
        <w:rPr>
          <w:noProof/>
        </w:rPr>
      </w:pPr>
      <w:r>
        <w:rPr>
          <w:noProof/>
        </w:rPr>
        <w:t xml:space="preserve">Victorian Residential Efficiency Scorecard </w:t>
      </w:r>
      <w:r w:rsidRPr="00235B56">
        <w:rPr>
          <w:i/>
          <w:iCs/>
          <w:noProof/>
        </w:rPr>
        <w:t xml:space="preserve">Team. (2019). </w:t>
      </w:r>
      <w:r>
        <w:rPr>
          <w:i/>
          <w:iCs/>
          <w:noProof/>
        </w:rPr>
        <w:t xml:space="preserve">Victorian </w:t>
      </w:r>
      <w:r w:rsidRPr="00235B56">
        <w:rPr>
          <w:noProof/>
        </w:rPr>
        <w:t>Residentail Efficiency Scorecard.</w:t>
      </w:r>
      <w:r>
        <w:rPr>
          <w:noProof/>
        </w:rPr>
        <w:t xml:space="preserve"> Melbourne: Department of Environment, Land, Water and Planning.</w:t>
      </w:r>
    </w:p>
    <w:p w14:paraId="50DFED1C" w14:textId="77777777" w:rsidR="00676882" w:rsidRDefault="00676882" w:rsidP="00676882">
      <w:pPr>
        <w:pStyle w:val="Bibliography"/>
        <w:ind w:left="720" w:hanging="720"/>
        <w:rPr>
          <w:noProof/>
        </w:rPr>
      </w:pPr>
      <w:r>
        <w:rPr>
          <w:noProof/>
        </w:rPr>
        <w:t xml:space="preserve">WHO. (2018). </w:t>
      </w:r>
      <w:r w:rsidRPr="00235B56">
        <w:rPr>
          <w:noProof/>
        </w:rPr>
        <w:t>Housing and health guidelines.</w:t>
      </w:r>
      <w:r>
        <w:rPr>
          <w:noProof/>
        </w:rPr>
        <w:t xml:space="preserve"> Geneva: World Health Organisation.</w:t>
      </w:r>
    </w:p>
    <w:p w14:paraId="3998387E" w14:textId="77777777" w:rsidR="00676882" w:rsidRDefault="00676882" w:rsidP="00676882">
      <w:pPr>
        <w:pStyle w:val="BodyText"/>
      </w:pPr>
      <w:r>
        <w:fldChar w:fldCharType="end"/>
      </w:r>
    </w:p>
    <w:p w14:paraId="1FBC1424" w14:textId="77777777" w:rsidR="00676882" w:rsidRDefault="00676882" w:rsidP="00676882">
      <w:pPr>
        <w:pStyle w:val="BodyText"/>
      </w:pPr>
    </w:p>
    <w:p w14:paraId="0D5D5ECE" w14:textId="77777777" w:rsidR="00676882" w:rsidRDefault="00676882" w:rsidP="00676882">
      <w:pPr>
        <w:pStyle w:val="BodyText"/>
      </w:pPr>
    </w:p>
    <w:p w14:paraId="520AC161" w14:textId="77777777" w:rsidR="00676882" w:rsidRDefault="00676882" w:rsidP="00676882">
      <w:pPr>
        <w:pStyle w:val="BodyText"/>
      </w:pPr>
    </w:p>
    <w:p w14:paraId="01A97717" w14:textId="77777777" w:rsidR="00676882" w:rsidRDefault="00676882" w:rsidP="00676882">
      <w:pPr>
        <w:pStyle w:val="BodyText"/>
        <w:sectPr w:rsidR="00676882" w:rsidSect="00F32FCC">
          <w:headerReference w:type="even" r:id="rId87"/>
          <w:footerReference w:type="even" r:id="rId88"/>
          <w:headerReference w:type="first" r:id="rId89"/>
          <w:footerReference w:type="first" r:id="rId90"/>
          <w:pgSz w:w="11906" w:h="16838" w:code="9"/>
          <w:pgMar w:top="1134" w:right="851" w:bottom="1134" w:left="3119" w:header="454" w:footer="374" w:gutter="0"/>
          <w:cols w:space="708"/>
          <w:docGrid w:linePitch="360"/>
        </w:sectPr>
      </w:pPr>
    </w:p>
    <w:tbl>
      <w:tblPr>
        <w:tblW w:w="9939" w:type="dxa"/>
        <w:tblLayout w:type="fixed"/>
        <w:tblCellMar>
          <w:left w:w="0" w:type="dxa"/>
          <w:right w:w="0" w:type="dxa"/>
        </w:tblCellMar>
        <w:tblLook w:val="0000" w:firstRow="0" w:lastRow="0" w:firstColumn="0" w:lastColumn="0" w:noHBand="0" w:noVBand="0"/>
        <w:tblCaption w:val="Appendices"/>
        <w:tblDescription w:val="Appendices"/>
      </w:tblPr>
      <w:tblGrid>
        <w:gridCol w:w="7713"/>
        <w:gridCol w:w="2226"/>
      </w:tblGrid>
      <w:tr w:rsidR="00676882" w14:paraId="3F42CF20" w14:textId="77777777" w:rsidTr="00DF45FA">
        <w:trPr>
          <w:trHeight w:hRule="exact" w:val="382"/>
        </w:trPr>
        <w:tc>
          <w:tcPr>
            <w:tcW w:w="7713" w:type="dxa"/>
            <w:shd w:val="clear" w:color="auto" w:fill="auto"/>
          </w:tcPr>
          <w:p w14:paraId="5D4A6075" w14:textId="77777777" w:rsidR="00676882" w:rsidRDefault="00676882" w:rsidP="00DF45FA">
            <w:pPr>
              <w:pStyle w:val="tagappendixPart"/>
            </w:pPr>
          </w:p>
        </w:tc>
        <w:tc>
          <w:tcPr>
            <w:tcW w:w="2226" w:type="dxa"/>
            <w:shd w:val="clear" w:color="auto" w:fill="auto"/>
          </w:tcPr>
          <w:p w14:paraId="09633DB4" w14:textId="77777777" w:rsidR="00676882" w:rsidRDefault="00676882" w:rsidP="00DF45FA">
            <w:pPr>
              <w:pStyle w:val="spacer"/>
            </w:pPr>
          </w:p>
        </w:tc>
      </w:tr>
      <w:tr w:rsidR="00676882" w14:paraId="50258F45" w14:textId="77777777" w:rsidTr="00DF45FA">
        <w:trPr>
          <w:trHeight w:val="3665"/>
        </w:trPr>
        <w:tc>
          <w:tcPr>
            <w:tcW w:w="7713" w:type="dxa"/>
            <w:shd w:val="clear" w:color="auto" w:fill="auto"/>
            <w:vAlign w:val="bottom"/>
          </w:tcPr>
          <w:p w14:paraId="0110C2F7" w14:textId="77777777" w:rsidR="00676882" w:rsidRDefault="00676882" w:rsidP="00DF45FA">
            <w:pPr>
              <w:pStyle w:val="App-DividerHeading"/>
            </w:pPr>
            <w:bookmarkStart w:id="344" w:name="_Toc80712602"/>
            <w:r>
              <w:t>Appendices</w:t>
            </w:r>
            <w:bookmarkEnd w:id="344"/>
          </w:p>
          <w:p w14:paraId="7B142404" w14:textId="77777777" w:rsidR="00676882" w:rsidRPr="008D7430" w:rsidRDefault="00676882" w:rsidP="00DF45FA">
            <w:pPr>
              <w:pStyle w:val="App-DividerSubHeading"/>
            </w:pPr>
          </w:p>
        </w:tc>
        <w:tc>
          <w:tcPr>
            <w:tcW w:w="2226" w:type="dxa"/>
            <w:shd w:val="clear" w:color="auto" w:fill="auto"/>
            <w:vAlign w:val="bottom"/>
          </w:tcPr>
          <w:p w14:paraId="4EB6A6B0" w14:textId="77777777" w:rsidR="00676882" w:rsidRDefault="00676882" w:rsidP="00DF45FA">
            <w:pPr>
              <w:pStyle w:val="spacer"/>
            </w:pPr>
          </w:p>
        </w:tc>
      </w:tr>
      <w:tr w:rsidR="00676882" w14:paraId="3FD0AEC4" w14:textId="77777777" w:rsidTr="00DF45FA">
        <w:trPr>
          <w:trHeight w:hRule="exact" w:val="232"/>
        </w:trPr>
        <w:tc>
          <w:tcPr>
            <w:tcW w:w="7713" w:type="dxa"/>
            <w:shd w:val="clear" w:color="auto" w:fill="auto"/>
          </w:tcPr>
          <w:p w14:paraId="4BF62208" w14:textId="77777777" w:rsidR="00676882" w:rsidRDefault="00676882" w:rsidP="00DF45FA">
            <w:pPr>
              <w:pStyle w:val="spacer"/>
            </w:pPr>
          </w:p>
        </w:tc>
        <w:tc>
          <w:tcPr>
            <w:tcW w:w="2226" w:type="dxa"/>
            <w:shd w:val="clear" w:color="auto" w:fill="auto"/>
          </w:tcPr>
          <w:p w14:paraId="3C847030" w14:textId="77777777" w:rsidR="00676882" w:rsidRDefault="00676882" w:rsidP="00DF45FA">
            <w:pPr>
              <w:pStyle w:val="spacer"/>
            </w:pPr>
          </w:p>
        </w:tc>
      </w:tr>
    </w:tbl>
    <w:p w14:paraId="43CD5A10" w14:textId="77777777" w:rsidR="00676882" w:rsidRDefault="00676882" w:rsidP="00676882">
      <w:pPr>
        <w:pStyle w:val="BodyText"/>
      </w:pPr>
      <w:r>
        <w:rPr>
          <w:noProof/>
        </w:rPr>
        <w:drawing>
          <wp:anchor distT="0" distB="0" distL="114300" distR="114300" simplePos="0" relativeHeight="251676672" behindDoc="1" locked="0" layoutInCell="1" allowOverlap="1" wp14:anchorId="56F84F83" wp14:editId="0F0F35C6">
            <wp:simplePos x="0" y="0"/>
            <wp:positionH relativeFrom="column">
              <wp:posOffset>-740739</wp:posOffset>
            </wp:positionH>
            <wp:positionV relativeFrom="paragraph">
              <wp:posOffset>-4446461</wp:posOffset>
            </wp:positionV>
            <wp:extent cx="7559675" cy="10693400"/>
            <wp:effectExtent l="0" t="0" r="3175" b="0"/>
            <wp:wrapNone/>
            <wp:docPr id="105" name="Picture 10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a:extLst>
                        <a:ext uri="{C183D7F6-B498-43B3-948B-1728B52AA6E4}">
                          <adec:decorative xmlns:adec="http://schemas.microsoft.com/office/drawing/2017/decorative" val="1"/>
                        </a:ext>
                      </a:extLst>
                    </pic:cNvPr>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7559675" cy="10693400"/>
                    </a:xfrm>
                    <a:prstGeom prst="rect">
                      <a:avLst/>
                    </a:prstGeom>
                    <a:noFill/>
                  </pic:spPr>
                </pic:pic>
              </a:graphicData>
            </a:graphic>
            <wp14:sizeRelH relativeFrom="page">
              <wp14:pctWidth>0</wp14:pctWidth>
            </wp14:sizeRelH>
            <wp14:sizeRelV relativeFrom="page">
              <wp14:pctHeight>0</wp14:pctHeight>
            </wp14:sizeRelV>
          </wp:anchor>
        </w:drawing>
      </w:r>
    </w:p>
    <w:p w14:paraId="3804EEE1" w14:textId="77777777" w:rsidR="00676882" w:rsidRDefault="00676882" w:rsidP="00676882">
      <w:pPr>
        <w:pStyle w:val="BodyText"/>
      </w:pPr>
    </w:p>
    <w:p w14:paraId="304D0A20" w14:textId="77777777" w:rsidR="00676882" w:rsidRDefault="00676882" w:rsidP="00676882">
      <w:pPr>
        <w:pStyle w:val="BodyText"/>
      </w:pPr>
    </w:p>
    <w:p w14:paraId="168A460B" w14:textId="77777777" w:rsidR="00676882" w:rsidRDefault="00676882" w:rsidP="00676882">
      <w:pPr>
        <w:pStyle w:val="BodyText"/>
      </w:pPr>
    </w:p>
    <w:p w14:paraId="51ADD45C" w14:textId="77777777" w:rsidR="00676882" w:rsidRDefault="00676882" w:rsidP="00676882">
      <w:pPr>
        <w:pStyle w:val="BodyText"/>
      </w:pPr>
    </w:p>
    <w:p w14:paraId="14B8A863" w14:textId="77777777" w:rsidR="00676882" w:rsidRDefault="00676882" w:rsidP="00676882">
      <w:pPr>
        <w:pStyle w:val="BodyText"/>
      </w:pPr>
    </w:p>
    <w:p w14:paraId="0B20A513" w14:textId="77777777" w:rsidR="00676882" w:rsidRDefault="00676882" w:rsidP="00676882">
      <w:pPr>
        <w:pStyle w:val="BodyText"/>
      </w:pPr>
    </w:p>
    <w:p w14:paraId="7E698BD6" w14:textId="77777777" w:rsidR="00676882" w:rsidRDefault="00676882" w:rsidP="00676882">
      <w:pPr>
        <w:pStyle w:val="BodyText"/>
        <w:sectPr w:rsidR="00676882" w:rsidSect="008D7430">
          <w:headerReference w:type="even" r:id="rId92"/>
          <w:headerReference w:type="default" r:id="rId93"/>
          <w:footerReference w:type="even" r:id="rId94"/>
          <w:footerReference w:type="default" r:id="rId95"/>
          <w:headerReference w:type="first" r:id="rId96"/>
          <w:footerReference w:type="first" r:id="rId97"/>
          <w:pgSz w:w="11906" w:h="16838" w:code="9"/>
          <w:pgMar w:top="2760" w:right="720" w:bottom="1134" w:left="1134" w:header="454" w:footer="159" w:gutter="0"/>
          <w:cols w:space="708"/>
          <w:docGrid w:linePitch="360"/>
        </w:sectPr>
      </w:pPr>
    </w:p>
    <w:tbl>
      <w:tblPr>
        <w:tblW w:w="0" w:type="auto"/>
        <w:tblLayout w:type="fixed"/>
        <w:tblCellMar>
          <w:left w:w="0" w:type="dxa"/>
          <w:right w:w="0" w:type="dxa"/>
        </w:tblCellMar>
        <w:tblLook w:val="0000" w:firstRow="0" w:lastRow="0" w:firstColumn="0" w:lastColumn="0" w:noHBand="0" w:noVBand="0"/>
        <w:tblCaption w:val="Appendix A"/>
        <w:tblDescription w:val="Minimum standard examples in other jurisdictions"/>
      </w:tblPr>
      <w:tblGrid>
        <w:gridCol w:w="5570"/>
        <w:gridCol w:w="2366"/>
      </w:tblGrid>
      <w:tr w:rsidR="00676882" w14:paraId="17AECD81" w14:textId="77777777" w:rsidTr="00DF45FA">
        <w:trPr>
          <w:trHeight w:hRule="exact" w:val="382"/>
        </w:trPr>
        <w:tc>
          <w:tcPr>
            <w:tcW w:w="5570" w:type="dxa"/>
          </w:tcPr>
          <w:p w14:paraId="32268AF4" w14:textId="77777777" w:rsidR="00676882" w:rsidRDefault="00676882" w:rsidP="00DF45FA">
            <w:pPr>
              <w:pStyle w:val="tagappendixChapter"/>
            </w:pPr>
            <w:r>
              <w:rPr>
                <w:noProof/>
              </w:rPr>
              <w:lastRenderedPageBreak/>
              <w:drawing>
                <wp:anchor distT="0" distB="0" distL="114300" distR="114300" simplePos="0" relativeHeight="251665408" behindDoc="1" locked="1" layoutInCell="1" allowOverlap="1" wp14:anchorId="558EB6F5" wp14:editId="5F0DC086">
                  <wp:simplePos x="0" y="0"/>
                  <wp:positionH relativeFrom="page">
                    <wp:posOffset>0</wp:posOffset>
                  </wp:positionH>
                  <wp:positionV relativeFrom="page">
                    <wp:posOffset>0</wp:posOffset>
                  </wp:positionV>
                  <wp:extent cx="5039360" cy="1995170"/>
                  <wp:effectExtent l="0" t="0" r="8890" b="5080"/>
                  <wp:wrapNone/>
                  <wp:docPr id="27"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0BAD7003" w14:textId="77777777" w:rsidR="00676882" w:rsidRDefault="00676882" w:rsidP="00DF45FA">
            <w:pPr>
              <w:pStyle w:val="Heading9"/>
            </w:pPr>
          </w:p>
        </w:tc>
      </w:tr>
      <w:tr w:rsidR="00676882" w14:paraId="7AA9CBE5" w14:textId="77777777" w:rsidTr="00DF45FA">
        <w:trPr>
          <w:trHeight w:hRule="exact" w:val="2760"/>
        </w:trPr>
        <w:tc>
          <w:tcPr>
            <w:tcW w:w="5570" w:type="dxa"/>
            <w:vAlign w:val="bottom"/>
          </w:tcPr>
          <w:p w14:paraId="280E79FF" w14:textId="77777777" w:rsidR="00676882" w:rsidRDefault="00676882" w:rsidP="00DF45FA">
            <w:pPr>
              <w:pStyle w:val="Heading1AP"/>
            </w:pPr>
            <w:bookmarkStart w:id="345" w:name="_Ref75435033"/>
            <w:bookmarkStart w:id="346" w:name="_Toc80712603"/>
            <w:r>
              <w:t>Minimum standard examples in other jurisdictions</w:t>
            </w:r>
            <w:bookmarkEnd w:id="345"/>
            <w:bookmarkEnd w:id="346"/>
          </w:p>
        </w:tc>
        <w:tc>
          <w:tcPr>
            <w:tcW w:w="2366" w:type="dxa"/>
            <w:tcMar>
              <w:right w:w="224" w:type="dxa"/>
            </w:tcMar>
            <w:vAlign w:val="bottom"/>
          </w:tcPr>
          <w:p w14:paraId="4E6B04F3" w14:textId="77777777" w:rsidR="00676882" w:rsidRDefault="00676882" w:rsidP="00DF45FA">
            <w:pPr>
              <w:pStyle w:val="HeadingAppendix"/>
            </w:pPr>
            <w:r>
              <w:fldChar w:fldCharType="begin"/>
            </w:r>
            <w:r>
              <w:instrText xml:space="preserve"> SEQ AppNum \* ALPHABETIC </w:instrText>
            </w:r>
            <w:r>
              <w:fldChar w:fldCharType="separate"/>
            </w:r>
            <w:r>
              <w:rPr>
                <w:noProof/>
              </w:rPr>
              <w:t>A</w:t>
            </w:r>
            <w:r>
              <w:rPr>
                <w:noProof/>
              </w:rPr>
              <w:fldChar w:fldCharType="end"/>
            </w:r>
          </w:p>
        </w:tc>
      </w:tr>
      <w:tr w:rsidR="00676882" w14:paraId="62C7B975" w14:textId="77777777" w:rsidTr="00DF45FA">
        <w:trPr>
          <w:trHeight w:hRule="exact" w:val="228"/>
        </w:trPr>
        <w:tc>
          <w:tcPr>
            <w:tcW w:w="5570" w:type="dxa"/>
          </w:tcPr>
          <w:p w14:paraId="5F00066D" w14:textId="77777777" w:rsidR="00676882" w:rsidRDefault="00676882" w:rsidP="00DF45FA">
            <w:pPr>
              <w:pStyle w:val="spacer"/>
            </w:pPr>
          </w:p>
        </w:tc>
        <w:tc>
          <w:tcPr>
            <w:tcW w:w="2366" w:type="dxa"/>
          </w:tcPr>
          <w:p w14:paraId="1F0375B7" w14:textId="77777777" w:rsidR="00676882" w:rsidRDefault="00676882" w:rsidP="00DF45FA">
            <w:pPr>
              <w:pStyle w:val="spacer"/>
            </w:pPr>
          </w:p>
        </w:tc>
      </w:tr>
    </w:tbl>
    <w:p w14:paraId="23229E63" w14:textId="77777777" w:rsidR="00676882" w:rsidRDefault="00676882" w:rsidP="00676882">
      <w:pPr>
        <w:pStyle w:val="BodyText"/>
      </w:pPr>
      <w:r w:rsidRPr="00271C78">
        <w:t>This</w:t>
      </w:r>
      <w:r>
        <w:t xml:space="preserve"> appendix </w:t>
      </w:r>
      <w:r w:rsidRPr="00271C78">
        <w:t>provides</w:t>
      </w:r>
      <w:r>
        <w:t xml:space="preserve"> </w:t>
      </w:r>
      <w:r w:rsidRPr="00271C78">
        <w:t>a</w:t>
      </w:r>
      <w:r>
        <w:t xml:space="preserve"> </w:t>
      </w:r>
      <w:r w:rsidRPr="00271C78">
        <w:t>brief</w:t>
      </w:r>
      <w:r>
        <w:t xml:space="preserve"> </w:t>
      </w:r>
      <w:r w:rsidRPr="00271C78">
        <w:t>review</w:t>
      </w:r>
      <w:r>
        <w:t xml:space="preserve"> </w:t>
      </w:r>
      <w:r w:rsidRPr="00271C78">
        <w:t>of</w:t>
      </w:r>
      <w:r>
        <w:t xml:space="preserve"> </w:t>
      </w:r>
      <w:r w:rsidRPr="00271C78">
        <w:t>regulations</w:t>
      </w:r>
      <w:r>
        <w:t xml:space="preserve"> </w:t>
      </w:r>
      <w:r w:rsidRPr="00271C78">
        <w:t>that</w:t>
      </w:r>
      <w:r>
        <w:t xml:space="preserve"> </w:t>
      </w:r>
      <w:r w:rsidRPr="00271C78">
        <w:t>have</w:t>
      </w:r>
      <w:r>
        <w:t xml:space="preserve"> </w:t>
      </w:r>
      <w:r w:rsidRPr="00271C78">
        <w:t>been</w:t>
      </w:r>
      <w:r>
        <w:t xml:space="preserve"> </w:t>
      </w:r>
      <w:r w:rsidRPr="00271C78">
        <w:t>introduced</w:t>
      </w:r>
      <w:r>
        <w:t xml:space="preserve"> </w:t>
      </w:r>
      <w:r w:rsidRPr="00271C78">
        <w:t>in</w:t>
      </w:r>
      <w:r>
        <w:t xml:space="preserve"> </w:t>
      </w:r>
      <w:r w:rsidRPr="00271C78">
        <w:t>other</w:t>
      </w:r>
      <w:r>
        <w:t xml:space="preserve"> </w:t>
      </w:r>
      <w:r w:rsidRPr="00271C78">
        <w:t>developed</w:t>
      </w:r>
      <w:r>
        <w:t xml:space="preserve"> </w:t>
      </w:r>
      <w:r w:rsidRPr="00271C78">
        <w:t>countries</w:t>
      </w:r>
      <w:r>
        <w:t xml:space="preserve"> </w:t>
      </w:r>
      <w:r w:rsidRPr="00271C78">
        <w:t>to</w:t>
      </w:r>
      <w:r>
        <w:t xml:space="preserve"> </w:t>
      </w:r>
      <w:r w:rsidRPr="00271C78">
        <w:t>improve</w:t>
      </w:r>
      <w:r>
        <w:t xml:space="preserve"> </w:t>
      </w:r>
      <w:r w:rsidRPr="00271C78">
        <w:t>the</w:t>
      </w:r>
      <w:r>
        <w:t xml:space="preserve"> </w:t>
      </w:r>
      <w:r w:rsidRPr="00271C78">
        <w:t>energy</w:t>
      </w:r>
      <w:r>
        <w:t xml:space="preserve"> </w:t>
      </w:r>
      <w:r w:rsidRPr="00271C78">
        <w:t>efficiency</w:t>
      </w:r>
      <w:r>
        <w:t xml:space="preserve"> </w:t>
      </w:r>
      <w:r w:rsidRPr="00271C78">
        <w:t>performance</w:t>
      </w:r>
      <w:r>
        <w:t xml:space="preserve"> </w:t>
      </w:r>
      <w:r w:rsidRPr="00271C78">
        <w:t>of</w:t>
      </w:r>
      <w:r>
        <w:t xml:space="preserve"> </w:t>
      </w:r>
      <w:r w:rsidRPr="00271C78">
        <w:t>rental</w:t>
      </w:r>
      <w:r>
        <w:t xml:space="preserve"> </w:t>
      </w:r>
      <w:r w:rsidRPr="00271C78">
        <w:t>properties</w:t>
      </w:r>
      <w:r>
        <w:t>.</w:t>
      </w:r>
    </w:p>
    <w:p w14:paraId="0223107D" w14:textId="77777777" w:rsidR="00676882" w:rsidRPr="00271C78" w:rsidRDefault="00676882" w:rsidP="00676882">
      <w:pPr>
        <w:pStyle w:val="BodyText"/>
      </w:pPr>
      <w:r>
        <w:t xml:space="preserve">The United Kingdom and New Zealand regulations discussed below provide quality examples of performance-based standards and feature-based standards, respectively. </w:t>
      </w:r>
      <w:proofErr w:type="gramStart"/>
      <w:r>
        <w:t>A number of</w:t>
      </w:r>
      <w:proofErr w:type="gramEnd"/>
      <w:r>
        <w:t xml:space="preserve"> other jurisdictions have similar or related policies, including Flanders, Scotland, and several cities in the United States. Many programs are relatively recent or are still in the process of meeting compliance, and as a result, impacts are not yet known or well evidenced.</w:t>
      </w:r>
    </w:p>
    <w:p w14:paraId="163C3AB1" w14:textId="77777777" w:rsidR="00676882" w:rsidRDefault="00676882" w:rsidP="00676882">
      <w:pPr>
        <w:pStyle w:val="Heading2AP"/>
      </w:pPr>
      <w:bookmarkStart w:id="347" w:name="_Toc80712604"/>
      <w:r>
        <w:t>England and Wales</w:t>
      </w:r>
      <w:bookmarkEnd w:id="347"/>
    </w:p>
    <w:p w14:paraId="1FA46362" w14:textId="77777777" w:rsidR="00676882" w:rsidRDefault="00676882" w:rsidP="00676882">
      <w:pPr>
        <w:pStyle w:val="Heading3AP"/>
      </w:pPr>
      <w:r>
        <w:t>Policy summary</w:t>
      </w:r>
    </w:p>
    <w:p w14:paraId="0085713C" w14:textId="77777777" w:rsidR="00676882" w:rsidRPr="00271C78" w:rsidRDefault="00676882" w:rsidP="00676882">
      <w:pPr>
        <w:pStyle w:val="BodyText"/>
      </w:pPr>
      <w:r>
        <w:t xml:space="preserve">In England and Wales, properties </w:t>
      </w:r>
      <w:r w:rsidRPr="00271C78">
        <w:t>newly</w:t>
      </w:r>
      <w:r>
        <w:t xml:space="preserve"> </w:t>
      </w:r>
      <w:r w:rsidRPr="00271C78">
        <w:t>rented</w:t>
      </w:r>
      <w:r>
        <w:t xml:space="preserve"> </w:t>
      </w:r>
      <w:r w:rsidRPr="00271C78">
        <w:t>out</w:t>
      </w:r>
      <w:r>
        <w:t xml:space="preserve"> </w:t>
      </w:r>
      <w:r w:rsidRPr="00271C78">
        <w:t>or</w:t>
      </w:r>
      <w:r>
        <w:t xml:space="preserve"> </w:t>
      </w:r>
      <w:r w:rsidRPr="00271C78">
        <w:t>renewed</w:t>
      </w:r>
      <w:r>
        <w:t xml:space="preserve"> </w:t>
      </w:r>
      <w:r w:rsidRPr="00271C78">
        <w:t>in</w:t>
      </w:r>
      <w:r>
        <w:t xml:space="preserve"> </w:t>
      </w:r>
      <w:r w:rsidRPr="00271C78">
        <w:t>the</w:t>
      </w:r>
      <w:r>
        <w:t xml:space="preserve"> </w:t>
      </w:r>
      <w:r w:rsidRPr="00271C78">
        <w:t>private</w:t>
      </w:r>
      <w:r>
        <w:t xml:space="preserve"> </w:t>
      </w:r>
      <w:r w:rsidRPr="00271C78">
        <w:t>rent</w:t>
      </w:r>
      <w:r>
        <w:t xml:space="preserve">al </w:t>
      </w:r>
      <w:r w:rsidRPr="00271C78">
        <w:t>sector</w:t>
      </w:r>
      <w:r>
        <w:t xml:space="preserve"> </w:t>
      </w:r>
      <w:r w:rsidRPr="00271C78">
        <w:t>must</w:t>
      </w:r>
      <w:r>
        <w:t xml:space="preserve"> </w:t>
      </w:r>
      <w:r w:rsidRPr="00271C78">
        <w:t>have</w:t>
      </w:r>
      <w:r>
        <w:t xml:space="preserve"> </w:t>
      </w:r>
      <w:r w:rsidRPr="00271C78">
        <w:t>a</w:t>
      </w:r>
      <w:r>
        <w:t xml:space="preserve"> </w:t>
      </w:r>
      <w:r w:rsidRPr="00271C78">
        <w:t>minimum</w:t>
      </w:r>
      <w:r>
        <w:t xml:space="preserve"> </w:t>
      </w:r>
      <w:r w:rsidRPr="00271C78">
        <w:t>energy</w:t>
      </w:r>
      <w:r>
        <w:t xml:space="preserve"> </w:t>
      </w:r>
      <w:r w:rsidRPr="00271C78">
        <w:t>performance</w:t>
      </w:r>
      <w:r>
        <w:t xml:space="preserve"> </w:t>
      </w:r>
      <w:r w:rsidRPr="00271C78">
        <w:t>rating</w:t>
      </w:r>
      <w:r>
        <w:t xml:space="preserve"> </w:t>
      </w:r>
      <w:r w:rsidRPr="00271C78">
        <w:t>of</w:t>
      </w:r>
      <w:r>
        <w:t xml:space="preserve"> </w:t>
      </w:r>
      <w:r w:rsidRPr="00271C78">
        <w:t>E</w:t>
      </w:r>
      <w:r>
        <w:t xml:space="preserve"> </w:t>
      </w:r>
      <w:r w:rsidRPr="00271C78">
        <w:t>on</w:t>
      </w:r>
      <w:r>
        <w:t xml:space="preserve"> </w:t>
      </w:r>
      <w:r w:rsidRPr="00271C78">
        <w:t>an</w:t>
      </w:r>
      <w:r>
        <w:t xml:space="preserve"> </w:t>
      </w:r>
      <w:r w:rsidRPr="00271C78">
        <w:t>Energy</w:t>
      </w:r>
      <w:r>
        <w:t xml:space="preserve"> </w:t>
      </w:r>
      <w:r w:rsidRPr="00271C78">
        <w:t>Performance</w:t>
      </w:r>
      <w:r>
        <w:t xml:space="preserve"> </w:t>
      </w:r>
      <w:r w:rsidRPr="00271C78">
        <w:t>Certificate</w:t>
      </w:r>
      <w:r>
        <w:t xml:space="preserve"> </w:t>
      </w:r>
      <w:r w:rsidRPr="00271C78">
        <w:t>(EPC)</w:t>
      </w:r>
      <w:r>
        <w:t xml:space="preserve"> as part of their Minimum Energy Efficiency Standard (MEES)</w:t>
      </w:r>
      <w:r w:rsidRPr="00271C78">
        <w:t>.</w:t>
      </w:r>
    </w:p>
    <w:p w14:paraId="1A55BAFA" w14:textId="77777777" w:rsidR="00676882" w:rsidRDefault="00676882" w:rsidP="00676882">
      <w:pPr>
        <w:pStyle w:val="BodyText"/>
      </w:pPr>
      <w:r w:rsidRPr="00271C78">
        <w:t>An</w:t>
      </w:r>
      <w:r>
        <w:t xml:space="preserve"> </w:t>
      </w:r>
      <w:r w:rsidRPr="00271C78">
        <w:t>EPC</w:t>
      </w:r>
      <w:r>
        <w:t xml:space="preserve"> </w:t>
      </w:r>
      <w:r w:rsidRPr="00271C78">
        <w:t>provides</w:t>
      </w:r>
      <w:r>
        <w:t xml:space="preserve"> </w:t>
      </w:r>
      <w:r w:rsidRPr="00271C78">
        <w:t>information</w:t>
      </w:r>
      <w:r>
        <w:t xml:space="preserve"> </w:t>
      </w:r>
      <w:r w:rsidRPr="00271C78">
        <w:t>on</w:t>
      </w:r>
      <w:r>
        <w:t xml:space="preserve"> the energy efficiency of </w:t>
      </w:r>
      <w:r w:rsidRPr="00271C78">
        <w:t>a</w:t>
      </w:r>
      <w:r>
        <w:t xml:space="preserve"> </w:t>
      </w:r>
      <w:r w:rsidRPr="00271C78">
        <w:t>property</w:t>
      </w:r>
      <w:r>
        <w:t xml:space="preserve"> </w:t>
      </w:r>
      <w:r w:rsidRPr="00271C78">
        <w:t>and</w:t>
      </w:r>
      <w:r>
        <w:t xml:space="preserve"> </w:t>
      </w:r>
      <w:r w:rsidRPr="00271C78">
        <w:t>gives</w:t>
      </w:r>
      <w:r>
        <w:t xml:space="preserve"> </w:t>
      </w:r>
      <w:r w:rsidRPr="00271C78">
        <w:t>it</w:t>
      </w:r>
      <w:r>
        <w:t xml:space="preserve"> </w:t>
      </w:r>
      <w:r w:rsidRPr="00271C78">
        <w:t>a</w:t>
      </w:r>
      <w:r>
        <w:t xml:space="preserve"> </w:t>
      </w:r>
      <w:r w:rsidRPr="00271C78">
        <w:t>rating</w:t>
      </w:r>
      <w:r>
        <w:t xml:space="preserve"> </w:t>
      </w:r>
      <w:r w:rsidRPr="00271C78">
        <w:t>from</w:t>
      </w:r>
      <w:r>
        <w:t xml:space="preserve"> </w:t>
      </w:r>
      <w:r w:rsidRPr="00271C78">
        <w:t>A</w:t>
      </w:r>
      <w:r>
        <w:t xml:space="preserve"> </w:t>
      </w:r>
      <w:r w:rsidRPr="00271C78">
        <w:t>(very</w:t>
      </w:r>
      <w:r>
        <w:t xml:space="preserve"> </w:t>
      </w:r>
      <w:r w:rsidRPr="00271C78">
        <w:t>efficient) to</w:t>
      </w:r>
      <w:r>
        <w:t xml:space="preserve"> </w:t>
      </w:r>
      <w:r w:rsidRPr="00271C78">
        <w:t>G</w:t>
      </w:r>
      <w:r>
        <w:t xml:space="preserve"> </w:t>
      </w:r>
      <w:r w:rsidRPr="00271C78">
        <w:t>(inefficient).</w:t>
      </w:r>
      <w:r>
        <w:t xml:space="preserve"> </w:t>
      </w:r>
      <w:r w:rsidRPr="00271C78">
        <w:t>EPCs</w:t>
      </w:r>
      <w:r>
        <w:t xml:space="preserve"> </w:t>
      </w:r>
      <w:r w:rsidRPr="00271C78">
        <w:t>were</w:t>
      </w:r>
      <w:r>
        <w:t xml:space="preserve"> </w:t>
      </w:r>
      <w:r w:rsidRPr="00271C78">
        <w:t>introduced</w:t>
      </w:r>
      <w:r>
        <w:t xml:space="preserve"> </w:t>
      </w:r>
      <w:r w:rsidRPr="00271C78">
        <w:t>in</w:t>
      </w:r>
      <w:r>
        <w:t xml:space="preserve"> </w:t>
      </w:r>
      <w:r w:rsidRPr="00271C78">
        <w:t>England</w:t>
      </w:r>
      <w:r>
        <w:t xml:space="preserve"> </w:t>
      </w:r>
      <w:r w:rsidRPr="00271C78">
        <w:t>and</w:t>
      </w:r>
      <w:r>
        <w:t xml:space="preserve"> </w:t>
      </w:r>
      <w:r w:rsidRPr="00271C78">
        <w:t>Wales</w:t>
      </w:r>
      <w:r>
        <w:t xml:space="preserve"> </w:t>
      </w:r>
      <w:r w:rsidRPr="00271C78">
        <w:t>on</w:t>
      </w:r>
      <w:r>
        <w:t xml:space="preserve"> </w:t>
      </w:r>
      <w:r w:rsidRPr="00271C78">
        <w:t>1</w:t>
      </w:r>
      <w:r>
        <w:t xml:space="preserve"> </w:t>
      </w:r>
      <w:r w:rsidRPr="00271C78">
        <w:t>August</w:t>
      </w:r>
      <w:r>
        <w:t xml:space="preserve"> </w:t>
      </w:r>
      <w:r w:rsidRPr="00271C78">
        <w:t>2007</w:t>
      </w:r>
      <w:r>
        <w:t xml:space="preserve"> </w:t>
      </w:r>
      <w:r w:rsidRPr="00271C78">
        <w:t>as</w:t>
      </w:r>
      <w:r>
        <w:t xml:space="preserve"> </w:t>
      </w:r>
      <w:r w:rsidRPr="00271C78">
        <w:t>part</w:t>
      </w:r>
      <w:r>
        <w:t xml:space="preserve"> </w:t>
      </w:r>
      <w:r w:rsidRPr="00271C78">
        <w:t>of</w:t>
      </w:r>
      <w:r>
        <w:t xml:space="preserve"> </w:t>
      </w:r>
      <w:r w:rsidRPr="00271C78">
        <w:t>Home</w:t>
      </w:r>
      <w:r>
        <w:t xml:space="preserve"> </w:t>
      </w:r>
      <w:r w:rsidRPr="00271C78">
        <w:t>Information</w:t>
      </w:r>
      <w:r>
        <w:t xml:space="preserve"> </w:t>
      </w:r>
      <w:r w:rsidRPr="00271C78">
        <w:t>Packs</w:t>
      </w:r>
      <w:r>
        <w:t xml:space="preserve"> </w:t>
      </w:r>
      <w:r w:rsidRPr="00271C78">
        <w:t>(HIPs) for</w:t>
      </w:r>
      <w:r>
        <w:t xml:space="preserve"> </w:t>
      </w:r>
      <w:r w:rsidRPr="00271C78">
        <w:t>domestic</w:t>
      </w:r>
      <w:r>
        <w:t xml:space="preserve"> </w:t>
      </w:r>
      <w:r w:rsidRPr="00271C78">
        <w:t>properties</w:t>
      </w:r>
      <w:r>
        <w:t xml:space="preserve"> </w:t>
      </w:r>
      <w:r w:rsidRPr="00271C78">
        <w:t>with</w:t>
      </w:r>
      <w:r>
        <w:t xml:space="preserve"> </w:t>
      </w:r>
      <w:r w:rsidRPr="00271C78">
        <w:t>four</w:t>
      </w:r>
      <w:r>
        <w:t xml:space="preserve"> </w:t>
      </w:r>
      <w:r w:rsidRPr="00271C78">
        <w:t>or</w:t>
      </w:r>
      <w:r>
        <w:t xml:space="preserve"> </w:t>
      </w:r>
      <w:r w:rsidRPr="00271C78">
        <w:t>more</w:t>
      </w:r>
      <w:r>
        <w:t xml:space="preserve"> </w:t>
      </w:r>
      <w:r w:rsidRPr="00271C78">
        <w:t>bedrooms.</w:t>
      </w:r>
      <w:r>
        <w:t xml:space="preserve"> </w:t>
      </w:r>
      <w:r w:rsidRPr="00271C78">
        <w:t>Over</w:t>
      </w:r>
      <w:r>
        <w:t xml:space="preserve"> </w:t>
      </w:r>
      <w:r w:rsidRPr="00271C78">
        <w:t>time</w:t>
      </w:r>
      <w:r>
        <w:t xml:space="preserve"> </w:t>
      </w:r>
      <w:r w:rsidRPr="00271C78">
        <w:t>this</w:t>
      </w:r>
      <w:r>
        <w:t xml:space="preserve"> </w:t>
      </w:r>
      <w:r w:rsidRPr="00271C78">
        <w:t>requirement</w:t>
      </w:r>
      <w:r>
        <w:t xml:space="preserve"> </w:t>
      </w:r>
      <w:r w:rsidRPr="00271C78">
        <w:t>was</w:t>
      </w:r>
      <w:r>
        <w:t xml:space="preserve"> </w:t>
      </w:r>
      <w:r w:rsidRPr="00271C78">
        <w:t>extended</w:t>
      </w:r>
      <w:r>
        <w:t xml:space="preserve"> </w:t>
      </w:r>
      <w:r w:rsidRPr="00271C78">
        <w:t>to</w:t>
      </w:r>
      <w:r>
        <w:t xml:space="preserve"> </w:t>
      </w:r>
      <w:r w:rsidRPr="00271C78">
        <w:t>smaller</w:t>
      </w:r>
      <w:r>
        <w:t xml:space="preserve"> </w:t>
      </w:r>
      <w:r w:rsidRPr="00271C78">
        <w:t>properties.</w:t>
      </w:r>
      <w:r>
        <w:t xml:space="preserve"> </w:t>
      </w:r>
      <w:r w:rsidRPr="00271C78">
        <w:t>When</w:t>
      </w:r>
      <w:r>
        <w:t xml:space="preserve"> </w:t>
      </w:r>
      <w:r w:rsidRPr="00271C78">
        <w:t>the</w:t>
      </w:r>
      <w:r>
        <w:t xml:space="preserve"> </w:t>
      </w:r>
      <w:r w:rsidRPr="00271C78">
        <w:t>requirement</w:t>
      </w:r>
      <w:r>
        <w:t xml:space="preserve"> </w:t>
      </w:r>
      <w:r w:rsidRPr="00271C78">
        <w:t>for</w:t>
      </w:r>
      <w:r>
        <w:t xml:space="preserve"> </w:t>
      </w:r>
      <w:r w:rsidRPr="00271C78">
        <w:t>HIPs</w:t>
      </w:r>
      <w:r>
        <w:t xml:space="preserve"> </w:t>
      </w:r>
      <w:r w:rsidRPr="00271C78">
        <w:t>was</w:t>
      </w:r>
      <w:r>
        <w:t xml:space="preserve"> </w:t>
      </w:r>
      <w:r w:rsidRPr="00271C78">
        <w:t>removed</w:t>
      </w:r>
      <w:r>
        <w:t xml:space="preserve"> </w:t>
      </w:r>
      <w:r w:rsidRPr="00271C78">
        <w:t>in</w:t>
      </w:r>
      <w:r>
        <w:t xml:space="preserve"> </w:t>
      </w:r>
      <w:r w:rsidRPr="00271C78">
        <w:t>May</w:t>
      </w:r>
      <w:r>
        <w:t xml:space="preserve"> </w:t>
      </w:r>
      <w:r w:rsidRPr="00271C78">
        <w:t>2010,</w:t>
      </w:r>
      <w:r>
        <w:t xml:space="preserve"> </w:t>
      </w:r>
      <w:r w:rsidRPr="00271C78">
        <w:t>the</w:t>
      </w:r>
      <w:r>
        <w:t xml:space="preserve"> </w:t>
      </w:r>
      <w:r w:rsidRPr="00271C78">
        <w:t>requirement</w:t>
      </w:r>
      <w:r>
        <w:t xml:space="preserve"> </w:t>
      </w:r>
      <w:r w:rsidRPr="00271C78">
        <w:t>for</w:t>
      </w:r>
      <w:r>
        <w:t xml:space="preserve"> </w:t>
      </w:r>
      <w:r w:rsidRPr="00271C78">
        <w:t>EPCs</w:t>
      </w:r>
      <w:r>
        <w:t xml:space="preserve"> </w:t>
      </w:r>
      <w:r w:rsidRPr="00271C78">
        <w:t>continued.</w:t>
      </w:r>
    </w:p>
    <w:p w14:paraId="65F2DACB" w14:textId="77777777" w:rsidR="00676882" w:rsidRPr="00271C78" w:rsidRDefault="00676882" w:rsidP="00676882">
      <w:pPr>
        <w:pStyle w:val="BodyText"/>
      </w:pPr>
      <w:r>
        <w:t>Existing regulations state that EPCs much be provided to potential buyers and tenants before a property is rented or sold.</w:t>
      </w:r>
    </w:p>
    <w:p w14:paraId="30C07826" w14:textId="77777777" w:rsidR="00676882" w:rsidRPr="00271C78" w:rsidRDefault="00676882" w:rsidP="00676882">
      <w:pPr>
        <w:pStyle w:val="BodyText"/>
      </w:pPr>
      <w:r w:rsidRPr="00271C78">
        <w:t>The</w:t>
      </w:r>
      <w:r>
        <w:t xml:space="preserve"> </w:t>
      </w:r>
      <w:r w:rsidRPr="00271C78">
        <w:t>energy</w:t>
      </w:r>
      <w:r>
        <w:t xml:space="preserve"> </w:t>
      </w:r>
      <w:r w:rsidRPr="00271C78">
        <w:t>survey</w:t>
      </w:r>
      <w:r>
        <w:t xml:space="preserve"> </w:t>
      </w:r>
      <w:r w:rsidRPr="00271C78">
        <w:t>needed</w:t>
      </w:r>
      <w:r>
        <w:t xml:space="preserve"> </w:t>
      </w:r>
      <w:r w:rsidRPr="00271C78">
        <w:t>to</w:t>
      </w:r>
      <w:r>
        <w:t xml:space="preserve"> </w:t>
      </w:r>
      <w:r w:rsidRPr="00271C78">
        <w:t>produce</w:t>
      </w:r>
      <w:r>
        <w:t xml:space="preserve"> </w:t>
      </w:r>
      <w:r w:rsidRPr="00271C78">
        <w:t>an</w:t>
      </w:r>
      <w:r>
        <w:t xml:space="preserve"> </w:t>
      </w:r>
      <w:r w:rsidRPr="00271C78">
        <w:t>EPC</w:t>
      </w:r>
      <w:r>
        <w:t xml:space="preserve"> </w:t>
      </w:r>
      <w:r w:rsidRPr="00271C78">
        <w:t>(which</w:t>
      </w:r>
      <w:r>
        <w:t xml:space="preserve"> </w:t>
      </w:r>
      <w:r w:rsidRPr="00271C78">
        <w:t>has</w:t>
      </w:r>
      <w:r>
        <w:t xml:space="preserve"> </w:t>
      </w:r>
      <w:r w:rsidRPr="00271C78">
        <w:t>a</w:t>
      </w:r>
      <w:r>
        <w:t xml:space="preserve"> </w:t>
      </w:r>
      <w:r w:rsidRPr="00271C78">
        <w:t>10-year</w:t>
      </w:r>
      <w:r>
        <w:t xml:space="preserve"> </w:t>
      </w:r>
      <w:r w:rsidRPr="00271C78">
        <w:t>validity</w:t>
      </w:r>
      <w:r>
        <w:t xml:space="preserve"> </w:t>
      </w:r>
      <w:r w:rsidRPr="00271C78">
        <w:t>period) is</w:t>
      </w:r>
      <w:r>
        <w:t xml:space="preserve"> </w:t>
      </w:r>
      <w:r w:rsidRPr="00271C78">
        <w:t>performed</w:t>
      </w:r>
      <w:r>
        <w:t xml:space="preserve"> </w:t>
      </w:r>
      <w:r w:rsidRPr="00271C78">
        <w:t>by</w:t>
      </w:r>
      <w:r>
        <w:t xml:space="preserve"> </w:t>
      </w:r>
      <w:r w:rsidRPr="00271C78">
        <w:t>an</w:t>
      </w:r>
      <w:r>
        <w:t xml:space="preserve"> </w:t>
      </w:r>
      <w:r w:rsidRPr="00271C78">
        <w:t>assessor</w:t>
      </w:r>
      <w:r>
        <w:t xml:space="preserve"> </w:t>
      </w:r>
      <w:r w:rsidRPr="00271C78">
        <w:t>who</w:t>
      </w:r>
      <w:r>
        <w:t xml:space="preserve"> </w:t>
      </w:r>
      <w:r w:rsidRPr="00271C78">
        <w:t>visits</w:t>
      </w:r>
      <w:r>
        <w:t xml:space="preserve"> </w:t>
      </w:r>
      <w:r w:rsidRPr="00271C78">
        <w:t>the</w:t>
      </w:r>
      <w:r>
        <w:t xml:space="preserve"> </w:t>
      </w:r>
      <w:r w:rsidRPr="00271C78">
        <w:t>property,</w:t>
      </w:r>
      <w:r>
        <w:t xml:space="preserve"> </w:t>
      </w:r>
      <w:r w:rsidRPr="00271C78">
        <w:t>examines</w:t>
      </w:r>
      <w:r>
        <w:t xml:space="preserve"> essential </w:t>
      </w:r>
      <w:r w:rsidRPr="00271C78">
        <w:t>items</w:t>
      </w:r>
      <w:r>
        <w:t xml:space="preserve"> </w:t>
      </w:r>
      <w:r w:rsidRPr="00271C78">
        <w:t>such</w:t>
      </w:r>
      <w:r>
        <w:t xml:space="preserve"> </w:t>
      </w:r>
      <w:r w:rsidRPr="00271C78">
        <w:t>as</w:t>
      </w:r>
      <w:r>
        <w:t xml:space="preserve"> </w:t>
      </w:r>
      <w:r w:rsidRPr="00271C78">
        <w:t>loft</w:t>
      </w:r>
      <w:r>
        <w:t xml:space="preserve"> </w:t>
      </w:r>
      <w:r w:rsidRPr="00271C78">
        <w:t>insulation,</w:t>
      </w:r>
      <w:r>
        <w:t xml:space="preserve"> </w:t>
      </w:r>
      <w:r w:rsidRPr="00271C78">
        <w:t>domestic</w:t>
      </w:r>
      <w:r>
        <w:t xml:space="preserve"> </w:t>
      </w:r>
      <w:r w:rsidRPr="00271C78">
        <w:t>boiler,</w:t>
      </w:r>
      <w:r>
        <w:t xml:space="preserve"> </w:t>
      </w:r>
      <w:r w:rsidRPr="00271C78">
        <w:t>hot</w:t>
      </w:r>
      <w:r>
        <w:t xml:space="preserve"> </w:t>
      </w:r>
      <w:r w:rsidRPr="00271C78">
        <w:t>water</w:t>
      </w:r>
      <w:r>
        <w:t xml:space="preserve"> </w:t>
      </w:r>
      <w:r w:rsidRPr="00271C78">
        <w:t>tank,</w:t>
      </w:r>
      <w:r>
        <w:t xml:space="preserve"> </w:t>
      </w:r>
      <w:r w:rsidRPr="00271C78">
        <w:t>radiators,</w:t>
      </w:r>
      <w:r>
        <w:t xml:space="preserve"> </w:t>
      </w:r>
      <w:r w:rsidRPr="00271C78">
        <w:t>windows</w:t>
      </w:r>
      <w:r>
        <w:t xml:space="preserve"> </w:t>
      </w:r>
      <w:r w:rsidRPr="00271C78">
        <w:t>for</w:t>
      </w:r>
      <w:r>
        <w:t xml:space="preserve"> </w:t>
      </w:r>
      <w:r w:rsidRPr="00271C78">
        <w:t>double</w:t>
      </w:r>
      <w:r>
        <w:t xml:space="preserve"> </w:t>
      </w:r>
      <w:r w:rsidRPr="00271C78">
        <w:t>glazing,</w:t>
      </w:r>
      <w:r>
        <w:t xml:space="preserve"> </w:t>
      </w:r>
      <w:r w:rsidRPr="00271C78">
        <w:t>and</w:t>
      </w:r>
      <w:r>
        <w:t xml:space="preserve"> </w:t>
      </w:r>
      <w:r w:rsidRPr="00271C78">
        <w:t>so</w:t>
      </w:r>
      <w:r>
        <w:t xml:space="preserve"> </w:t>
      </w:r>
      <w:r w:rsidRPr="00271C78">
        <w:t>on.</w:t>
      </w:r>
      <w:r>
        <w:t xml:space="preserve"> </w:t>
      </w:r>
      <w:r w:rsidRPr="00271C78">
        <w:t>The</w:t>
      </w:r>
      <w:r>
        <w:t xml:space="preserve"> </w:t>
      </w:r>
      <w:r w:rsidRPr="00271C78">
        <w:t>assessor</w:t>
      </w:r>
      <w:r>
        <w:t xml:space="preserve"> </w:t>
      </w:r>
      <w:r w:rsidRPr="00271C78">
        <w:t>then</w:t>
      </w:r>
      <w:r>
        <w:t xml:space="preserve"> </w:t>
      </w:r>
      <w:r w:rsidRPr="00271C78">
        <w:t>inputs</w:t>
      </w:r>
      <w:r>
        <w:t xml:space="preserve"> </w:t>
      </w:r>
      <w:r w:rsidRPr="00271C78">
        <w:t>the</w:t>
      </w:r>
      <w:r>
        <w:t xml:space="preserve"> </w:t>
      </w:r>
      <w:r w:rsidRPr="00271C78">
        <w:t>observations</w:t>
      </w:r>
      <w:r>
        <w:t xml:space="preserve"> </w:t>
      </w:r>
      <w:r w:rsidRPr="00271C78">
        <w:t>into</w:t>
      </w:r>
      <w:r>
        <w:t xml:space="preserve"> </w:t>
      </w:r>
      <w:r w:rsidRPr="00271C78">
        <w:t>a</w:t>
      </w:r>
      <w:r>
        <w:t xml:space="preserve"> </w:t>
      </w:r>
      <w:r w:rsidRPr="00271C78">
        <w:t>software</w:t>
      </w:r>
      <w:r>
        <w:t xml:space="preserve"> </w:t>
      </w:r>
      <w:r w:rsidRPr="00271C78">
        <w:t>program</w:t>
      </w:r>
      <w:r>
        <w:t xml:space="preserve"> that </w:t>
      </w:r>
      <w:r w:rsidRPr="00271C78">
        <w:t>performs</w:t>
      </w:r>
      <w:r>
        <w:t xml:space="preserve"> </w:t>
      </w:r>
      <w:r w:rsidRPr="00271C78">
        <w:t>the</w:t>
      </w:r>
      <w:r>
        <w:t xml:space="preserve"> </w:t>
      </w:r>
      <w:r w:rsidRPr="00271C78">
        <w:t>calculation</w:t>
      </w:r>
      <w:r>
        <w:t xml:space="preserve"> </w:t>
      </w:r>
      <w:r w:rsidRPr="00271C78">
        <w:t>of</w:t>
      </w:r>
      <w:r>
        <w:t xml:space="preserve"> </w:t>
      </w:r>
      <w:r w:rsidRPr="00271C78">
        <w:t>energy</w:t>
      </w:r>
      <w:r>
        <w:t xml:space="preserve"> </w:t>
      </w:r>
      <w:r w:rsidRPr="00271C78">
        <w:t>efficiency.</w:t>
      </w:r>
      <w:r>
        <w:t xml:space="preserve"> </w:t>
      </w:r>
      <w:r w:rsidRPr="00271C78">
        <w:t>The</w:t>
      </w:r>
      <w:r>
        <w:t xml:space="preserve"> </w:t>
      </w:r>
      <w:r w:rsidRPr="00271C78">
        <w:t>program</w:t>
      </w:r>
      <w:r>
        <w:t xml:space="preserve"> </w:t>
      </w:r>
      <w:r w:rsidRPr="00271C78">
        <w:t>generates</w:t>
      </w:r>
      <w:r>
        <w:t xml:space="preserve"> </w:t>
      </w:r>
      <w:r w:rsidRPr="00271C78">
        <w:t>a</w:t>
      </w:r>
      <w:r>
        <w:t xml:space="preserve"> </w:t>
      </w:r>
      <w:r w:rsidRPr="00271C78">
        <w:t>single</w:t>
      </w:r>
      <w:r>
        <w:t xml:space="preserve"> </w:t>
      </w:r>
      <w:r w:rsidRPr="00271C78">
        <w:t>number</w:t>
      </w:r>
      <w:r>
        <w:t xml:space="preserve"> </w:t>
      </w:r>
      <w:r w:rsidRPr="00271C78">
        <w:t>for</w:t>
      </w:r>
      <w:r>
        <w:t xml:space="preserve"> </w:t>
      </w:r>
      <w:r w:rsidRPr="00271C78">
        <w:t>the</w:t>
      </w:r>
      <w:r>
        <w:t xml:space="preserve"> </w:t>
      </w:r>
      <w:r w:rsidRPr="00271C78">
        <w:t>rating</w:t>
      </w:r>
      <w:r>
        <w:t xml:space="preserve"> </w:t>
      </w:r>
      <w:r w:rsidRPr="00271C78">
        <w:t>of</w:t>
      </w:r>
      <w:r>
        <w:t xml:space="preserve"> </w:t>
      </w:r>
      <w:r w:rsidRPr="00271C78">
        <w:t>energy</w:t>
      </w:r>
      <w:r>
        <w:t xml:space="preserve"> </w:t>
      </w:r>
      <w:r w:rsidRPr="00271C78">
        <w:t>efficiency</w:t>
      </w:r>
      <w:r>
        <w:t xml:space="preserve"> </w:t>
      </w:r>
      <w:r w:rsidRPr="00271C78">
        <w:t>as</w:t>
      </w:r>
      <w:r>
        <w:t xml:space="preserve"> </w:t>
      </w:r>
      <w:r w:rsidRPr="00271C78">
        <w:t>well</w:t>
      </w:r>
      <w:r>
        <w:t xml:space="preserve"> </w:t>
      </w:r>
      <w:r w:rsidRPr="00271C78">
        <w:t>as</w:t>
      </w:r>
      <w:r>
        <w:t xml:space="preserve"> </w:t>
      </w:r>
      <w:r w:rsidRPr="00271C78">
        <w:t>a</w:t>
      </w:r>
      <w:r>
        <w:t xml:space="preserve"> </w:t>
      </w:r>
      <w:r w:rsidRPr="00271C78">
        <w:t>recommended</w:t>
      </w:r>
      <w:r>
        <w:t xml:space="preserve"> </w:t>
      </w:r>
      <w:r w:rsidRPr="00271C78">
        <w:t>value</w:t>
      </w:r>
      <w:r>
        <w:t xml:space="preserve"> </w:t>
      </w:r>
      <w:r w:rsidRPr="00271C78">
        <w:t>of</w:t>
      </w:r>
      <w:r>
        <w:t xml:space="preserve"> </w:t>
      </w:r>
      <w:r w:rsidRPr="00271C78">
        <w:t>the</w:t>
      </w:r>
      <w:r>
        <w:t xml:space="preserve"> </w:t>
      </w:r>
      <w:r w:rsidRPr="00271C78">
        <w:t>potential</w:t>
      </w:r>
      <w:r>
        <w:t xml:space="preserve"> </w:t>
      </w:r>
      <w:r w:rsidRPr="00271C78">
        <w:t>for</w:t>
      </w:r>
      <w:r>
        <w:t xml:space="preserve"> </w:t>
      </w:r>
      <w:r w:rsidRPr="00271C78">
        <w:t>improvement.</w:t>
      </w:r>
    </w:p>
    <w:p w14:paraId="62CE163B" w14:textId="77777777" w:rsidR="00676882" w:rsidRDefault="00676882" w:rsidP="00676882">
      <w:pPr>
        <w:pStyle w:val="Heading3AP"/>
      </w:pPr>
      <w:r>
        <w:t>Implementation and enforcement</w:t>
      </w:r>
    </w:p>
    <w:p w14:paraId="1737B9C4" w14:textId="77777777" w:rsidR="00676882" w:rsidRDefault="00676882" w:rsidP="00676882">
      <w:pPr>
        <w:pStyle w:val="BodyText"/>
      </w:pPr>
      <w:r w:rsidRPr="00271C78">
        <w:t>From</w:t>
      </w:r>
      <w:r>
        <w:t xml:space="preserve"> </w:t>
      </w:r>
      <w:r w:rsidRPr="00271C78">
        <w:t>1</w:t>
      </w:r>
      <w:r>
        <w:t xml:space="preserve"> </w:t>
      </w:r>
      <w:r w:rsidRPr="00271C78">
        <w:t>April</w:t>
      </w:r>
      <w:r>
        <w:t xml:space="preserve"> </w:t>
      </w:r>
      <w:r w:rsidRPr="00271C78">
        <w:t>2018,</w:t>
      </w:r>
      <w:r>
        <w:t xml:space="preserve"> </w:t>
      </w:r>
      <w:r w:rsidRPr="00271C78">
        <w:t>unless</w:t>
      </w:r>
      <w:r>
        <w:t xml:space="preserve"> </w:t>
      </w:r>
      <w:r w:rsidRPr="00271C78">
        <w:t>exempted,</w:t>
      </w:r>
      <w:r>
        <w:t xml:space="preserve"> </w:t>
      </w:r>
      <w:r w:rsidRPr="00271C78">
        <w:t>properties</w:t>
      </w:r>
      <w:r>
        <w:t xml:space="preserve"> </w:t>
      </w:r>
      <w:r w:rsidRPr="00271C78">
        <w:t>in</w:t>
      </w:r>
      <w:r>
        <w:t xml:space="preserve"> </w:t>
      </w:r>
      <w:r w:rsidRPr="00271C78">
        <w:t>England</w:t>
      </w:r>
      <w:r>
        <w:t xml:space="preserve"> </w:t>
      </w:r>
      <w:r w:rsidRPr="00271C78">
        <w:t>and</w:t>
      </w:r>
      <w:r>
        <w:t xml:space="preserve"> </w:t>
      </w:r>
      <w:r w:rsidRPr="00271C78">
        <w:t>Wales</w:t>
      </w:r>
      <w:r>
        <w:t xml:space="preserve"> must meet the rating at the renewal of a lease. </w:t>
      </w:r>
      <w:r w:rsidRPr="00271C78">
        <w:t>The</w:t>
      </w:r>
      <w:r>
        <w:t xml:space="preserve"> </w:t>
      </w:r>
      <w:r w:rsidRPr="00271C78">
        <w:t>regulations</w:t>
      </w:r>
      <w:r>
        <w:t xml:space="preserve"> </w:t>
      </w:r>
      <w:r w:rsidRPr="00271C78">
        <w:t>will</w:t>
      </w:r>
      <w:r>
        <w:t xml:space="preserve"> </w:t>
      </w:r>
      <w:r w:rsidRPr="00271C78">
        <w:t>apply</w:t>
      </w:r>
      <w:r>
        <w:t xml:space="preserve"> </w:t>
      </w:r>
      <w:r w:rsidRPr="00271C78">
        <w:t>to</w:t>
      </w:r>
      <w:r>
        <w:t xml:space="preserve"> </w:t>
      </w:r>
      <w:r w:rsidRPr="00271C78">
        <w:t>all</w:t>
      </w:r>
      <w:r>
        <w:t xml:space="preserve"> </w:t>
      </w:r>
      <w:r w:rsidRPr="00271C78">
        <w:t>existing</w:t>
      </w:r>
      <w:r>
        <w:t xml:space="preserve"> </w:t>
      </w:r>
      <w:r w:rsidRPr="00271C78">
        <w:t>tenancies</w:t>
      </w:r>
      <w:r>
        <w:t xml:space="preserve"> </w:t>
      </w:r>
      <w:r w:rsidRPr="00271C78">
        <w:t>on</w:t>
      </w:r>
      <w:r>
        <w:t xml:space="preserve"> </w:t>
      </w:r>
      <w:r w:rsidRPr="00271C78">
        <w:t>1</w:t>
      </w:r>
      <w:r>
        <w:t xml:space="preserve"> </w:t>
      </w:r>
      <w:r w:rsidRPr="00271C78">
        <w:t>April</w:t>
      </w:r>
      <w:r>
        <w:t xml:space="preserve"> </w:t>
      </w:r>
      <w:r w:rsidRPr="00271C78">
        <w:t>2020</w:t>
      </w:r>
      <w:r>
        <w:t>, and this will extend to all rented commercial buildings from April 2023. After this time, all leased properties must have the rating, and the EPC should be available to potential tenants at the time the lease is signed.</w:t>
      </w:r>
    </w:p>
    <w:p w14:paraId="4FDE4FFF" w14:textId="77777777" w:rsidR="00676882" w:rsidRDefault="00676882" w:rsidP="00676882">
      <w:pPr>
        <w:pStyle w:val="BodyText"/>
      </w:pPr>
      <w:r>
        <w:t>District councils have the responsibility to enforce EPCs and can request a copy anytime up to six months after one would be required. Accordingly, l</w:t>
      </w:r>
      <w:r w:rsidRPr="00271C78">
        <w:t>ocal</w:t>
      </w:r>
      <w:r>
        <w:t xml:space="preserve"> </w:t>
      </w:r>
      <w:r w:rsidRPr="00271C78">
        <w:t>authorities</w:t>
      </w:r>
      <w:r>
        <w:t xml:space="preserve"> </w:t>
      </w:r>
      <w:r w:rsidRPr="00271C78">
        <w:t>will</w:t>
      </w:r>
      <w:r>
        <w:t xml:space="preserve"> </w:t>
      </w:r>
      <w:r w:rsidRPr="00271C78">
        <w:t>be</w:t>
      </w:r>
      <w:r>
        <w:t xml:space="preserve"> </w:t>
      </w:r>
      <w:r w:rsidRPr="00271C78">
        <w:t>empowered</w:t>
      </w:r>
      <w:r>
        <w:t xml:space="preserve"> </w:t>
      </w:r>
      <w:r w:rsidRPr="00271C78">
        <w:t>to</w:t>
      </w:r>
      <w:r>
        <w:t xml:space="preserve"> </w:t>
      </w:r>
      <w:r w:rsidRPr="00271C78">
        <w:t>serve</w:t>
      </w:r>
      <w:r>
        <w:t xml:space="preserve"> </w:t>
      </w:r>
      <w:r w:rsidRPr="00271C78">
        <w:lastRenderedPageBreak/>
        <w:t>compliance</w:t>
      </w:r>
      <w:r>
        <w:t xml:space="preserve"> </w:t>
      </w:r>
      <w:r w:rsidRPr="00271C78">
        <w:t>notices</w:t>
      </w:r>
      <w:r>
        <w:t xml:space="preserve"> </w:t>
      </w:r>
      <w:r w:rsidRPr="00271C78">
        <w:t>where</w:t>
      </w:r>
      <w:r>
        <w:t xml:space="preserve"> </w:t>
      </w:r>
      <w:r w:rsidRPr="00271C78">
        <w:t>they</w:t>
      </w:r>
      <w:r>
        <w:t xml:space="preserve"> </w:t>
      </w:r>
      <w:r w:rsidRPr="00271C78">
        <w:t>believe</w:t>
      </w:r>
      <w:r>
        <w:t xml:space="preserve"> </w:t>
      </w:r>
      <w:r w:rsidRPr="00271C78">
        <w:t>a</w:t>
      </w:r>
      <w:r>
        <w:t xml:space="preserve"> </w:t>
      </w:r>
      <w:r w:rsidRPr="00271C78">
        <w:t>property</w:t>
      </w:r>
      <w:r>
        <w:t xml:space="preserve"> </w:t>
      </w:r>
      <w:r w:rsidRPr="00271C78">
        <w:t>within</w:t>
      </w:r>
      <w:r>
        <w:t xml:space="preserve"> </w:t>
      </w:r>
      <w:r w:rsidRPr="00271C78">
        <w:t>the</w:t>
      </w:r>
      <w:r>
        <w:t xml:space="preserve"> </w:t>
      </w:r>
      <w:r w:rsidRPr="00271C78">
        <w:t>scope</w:t>
      </w:r>
      <w:r>
        <w:t xml:space="preserve"> </w:t>
      </w:r>
      <w:r w:rsidRPr="00271C78">
        <w:t>of</w:t>
      </w:r>
      <w:r>
        <w:t xml:space="preserve"> </w:t>
      </w:r>
      <w:r w:rsidRPr="00271C78">
        <w:t>the</w:t>
      </w:r>
      <w:r>
        <w:t xml:space="preserve"> </w:t>
      </w:r>
      <w:r w:rsidRPr="00271C78">
        <w:t>regulation</w:t>
      </w:r>
      <w:r>
        <w:t xml:space="preserve"> </w:t>
      </w:r>
      <w:r w:rsidRPr="00271C78">
        <w:t>does</w:t>
      </w:r>
      <w:r>
        <w:t xml:space="preserve"> </w:t>
      </w:r>
      <w:r w:rsidRPr="00271C78">
        <w:t>not</w:t>
      </w:r>
      <w:r>
        <w:t xml:space="preserve"> </w:t>
      </w:r>
      <w:r w:rsidRPr="00271C78">
        <w:t>meet</w:t>
      </w:r>
      <w:r>
        <w:t xml:space="preserve"> </w:t>
      </w:r>
      <w:r w:rsidRPr="00271C78">
        <w:t>the</w:t>
      </w:r>
      <w:r>
        <w:t xml:space="preserve"> </w:t>
      </w:r>
      <w:r w:rsidRPr="00271C78">
        <w:t>standard.</w:t>
      </w:r>
      <w:r>
        <w:t xml:space="preserve"> </w:t>
      </w:r>
      <w:r w:rsidRPr="00271C78">
        <w:t>They</w:t>
      </w:r>
      <w:r>
        <w:t xml:space="preserve"> </w:t>
      </w:r>
      <w:r w:rsidRPr="00271C78">
        <w:t>also</w:t>
      </w:r>
      <w:r>
        <w:t xml:space="preserve"> </w:t>
      </w:r>
      <w:r w:rsidRPr="00271C78">
        <w:t>enforce</w:t>
      </w:r>
      <w:r>
        <w:t xml:space="preserve"> </w:t>
      </w:r>
      <w:r w:rsidRPr="00271C78">
        <w:t>compliance</w:t>
      </w:r>
      <w:r>
        <w:t xml:space="preserve"> </w:t>
      </w:r>
      <w:r w:rsidRPr="00271C78">
        <w:t>with</w:t>
      </w:r>
      <w:r>
        <w:t xml:space="preserve"> </w:t>
      </w:r>
      <w:r w:rsidRPr="00271C78">
        <w:t>the</w:t>
      </w:r>
      <w:r>
        <w:t xml:space="preserve"> </w:t>
      </w:r>
      <w:r w:rsidRPr="00271C78">
        <w:t>regulations,</w:t>
      </w:r>
      <w:r>
        <w:t xml:space="preserve"> </w:t>
      </w:r>
      <w:r w:rsidRPr="00271C78">
        <w:t>with</w:t>
      </w:r>
      <w:r>
        <w:t xml:space="preserve"> </w:t>
      </w:r>
      <w:r w:rsidRPr="00271C78">
        <w:t>sanctions</w:t>
      </w:r>
      <w:r>
        <w:t xml:space="preserve"> </w:t>
      </w:r>
      <w:r w:rsidRPr="00271C78">
        <w:t>up</w:t>
      </w:r>
      <w:r>
        <w:t xml:space="preserve"> </w:t>
      </w:r>
      <w:r w:rsidRPr="00271C78">
        <w:t>to</w:t>
      </w:r>
      <w:r>
        <w:t xml:space="preserve"> </w:t>
      </w:r>
      <w:r w:rsidRPr="00271C78">
        <w:t>£5</w:t>
      </w:r>
      <w:r>
        <w:t>,</w:t>
      </w:r>
      <w:r w:rsidRPr="00271C78">
        <w:t>000.</w:t>
      </w:r>
    </w:p>
    <w:p w14:paraId="1EAFC188" w14:textId="77777777" w:rsidR="00676882" w:rsidRPr="00271C78" w:rsidRDefault="00676882" w:rsidP="00676882">
      <w:pPr>
        <w:pStyle w:val="ListBullet"/>
        <w:numPr>
          <w:ilvl w:val="0"/>
          <w:numId w:val="0"/>
        </w:numPr>
      </w:pPr>
      <w:r>
        <w:t>Residential rental providers are required to make improvements up to £3,500 to achieve an E rating. Rental providers who cannot reach the E standard within this cost limit can apply for an “all improvements made” exemption which lasts for up to five years.</w:t>
      </w:r>
      <w:r w:rsidDel="00547E59">
        <w:rPr>
          <w:rStyle w:val="FootnoteReference"/>
        </w:rPr>
        <w:t xml:space="preserve"> </w:t>
      </w:r>
    </w:p>
    <w:p w14:paraId="57A0345A" w14:textId="77777777" w:rsidR="00676882" w:rsidRPr="00271C78" w:rsidRDefault="00676882" w:rsidP="00676882">
      <w:pPr>
        <w:pStyle w:val="ListBullet"/>
        <w:numPr>
          <w:ilvl w:val="0"/>
          <w:numId w:val="0"/>
        </w:numPr>
      </w:pPr>
      <w:r>
        <w:t xml:space="preserve">Further exemptions </w:t>
      </w:r>
      <w:r w:rsidRPr="00271C78">
        <w:t>can</w:t>
      </w:r>
      <w:r>
        <w:t xml:space="preserve"> </w:t>
      </w:r>
      <w:r w:rsidRPr="00271C78">
        <w:t>be</w:t>
      </w:r>
      <w:r>
        <w:t xml:space="preserve"> </w:t>
      </w:r>
      <w:r w:rsidRPr="00271C78">
        <w:t>granted</w:t>
      </w:r>
      <w:r>
        <w:t xml:space="preserve"> </w:t>
      </w:r>
      <w:r w:rsidRPr="00271C78">
        <w:t>to</w:t>
      </w:r>
      <w:r>
        <w:t xml:space="preserve"> rental provider</w:t>
      </w:r>
      <w:r w:rsidRPr="00271C78">
        <w:t>s</w:t>
      </w:r>
      <w:r>
        <w:t xml:space="preserve"> </w:t>
      </w:r>
      <w:r w:rsidRPr="00271C78">
        <w:t>in</w:t>
      </w:r>
      <w:r>
        <w:t xml:space="preserve"> </w:t>
      </w:r>
      <w:r w:rsidRPr="00271C78">
        <w:t>the</w:t>
      </w:r>
      <w:r>
        <w:t xml:space="preserve"> </w:t>
      </w:r>
      <w:r w:rsidRPr="00271C78">
        <w:t>following</w:t>
      </w:r>
      <w:r>
        <w:t xml:space="preserve"> </w:t>
      </w:r>
      <w:r w:rsidRPr="00271C78">
        <w:t>prescribed</w:t>
      </w:r>
      <w:r>
        <w:t xml:space="preserve"> </w:t>
      </w:r>
      <w:r w:rsidRPr="00271C78">
        <w:t>circumstances:</w:t>
      </w:r>
    </w:p>
    <w:p w14:paraId="38055882" w14:textId="77777777" w:rsidR="00676882" w:rsidRPr="00271C78" w:rsidRDefault="00676882" w:rsidP="00676882">
      <w:pPr>
        <w:pStyle w:val="ListBullet"/>
      </w:pPr>
      <w:r>
        <w:t xml:space="preserve">the rental provider </w:t>
      </w:r>
      <w:r w:rsidRPr="00271C78">
        <w:t>is</w:t>
      </w:r>
      <w:r>
        <w:t xml:space="preserve"> </w:t>
      </w:r>
      <w:r w:rsidRPr="00271C78">
        <w:t>unable</w:t>
      </w:r>
      <w:r>
        <w:t xml:space="preserve"> </w:t>
      </w:r>
      <w:r w:rsidRPr="00271C78">
        <w:t>to</w:t>
      </w:r>
      <w:r>
        <w:t xml:space="preserve"> </w:t>
      </w:r>
      <w:r w:rsidRPr="00271C78">
        <w:t>obtain</w:t>
      </w:r>
      <w:r>
        <w:t xml:space="preserve"> </w:t>
      </w:r>
      <w:r w:rsidRPr="00271C78">
        <w:t>tenant</w:t>
      </w:r>
      <w:r>
        <w:t xml:space="preserve"> </w:t>
      </w:r>
      <w:r w:rsidRPr="00271C78">
        <w:t>or</w:t>
      </w:r>
      <w:r>
        <w:t xml:space="preserve"> </w:t>
      </w:r>
      <w:r w:rsidRPr="00271C78">
        <w:t>other</w:t>
      </w:r>
      <w:r>
        <w:t xml:space="preserve"> </w:t>
      </w:r>
      <w:r w:rsidRPr="00271C78">
        <w:t>third-party</w:t>
      </w:r>
      <w:r>
        <w:t xml:space="preserve"> </w:t>
      </w:r>
      <w:r w:rsidRPr="00271C78">
        <w:t>consent</w:t>
      </w:r>
      <w:r>
        <w:t xml:space="preserve"> </w:t>
      </w:r>
      <w:r w:rsidRPr="00271C78">
        <w:t>to</w:t>
      </w:r>
      <w:r>
        <w:t xml:space="preserve"> </w:t>
      </w:r>
      <w:r w:rsidRPr="00271C78">
        <w:t>undertake</w:t>
      </w:r>
      <w:r>
        <w:t xml:space="preserve"> </w:t>
      </w:r>
      <w:r w:rsidRPr="00271C78">
        <w:t>improvements</w:t>
      </w:r>
    </w:p>
    <w:p w14:paraId="402137B6" w14:textId="77777777" w:rsidR="00676882" w:rsidRPr="00271C78" w:rsidRDefault="00676882" w:rsidP="00676882">
      <w:pPr>
        <w:pStyle w:val="ListBullet"/>
      </w:pPr>
      <w:r w:rsidRPr="00271C78">
        <w:t>the</w:t>
      </w:r>
      <w:r>
        <w:t xml:space="preserve"> </w:t>
      </w:r>
      <w:r w:rsidRPr="00271C78">
        <w:t>required</w:t>
      </w:r>
      <w:r>
        <w:t xml:space="preserve"> </w:t>
      </w:r>
      <w:r w:rsidRPr="00271C78">
        <w:t>improvements</w:t>
      </w:r>
      <w:r>
        <w:t xml:space="preserve"> </w:t>
      </w:r>
      <w:r w:rsidRPr="00271C78">
        <w:t>are</w:t>
      </w:r>
      <w:r>
        <w:t xml:space="preserve"> </w:t>
      </w:r>
      <w:r w:rsidRPr="00271C78">
        <w:t>assessed</w:t>
      </w:r>
      <w:r>
        <w:t xml:space="preserve"> </w:t>
      </w:r>
      <w:r w:rsidRPr="00271C78">
        <w:t>by</w:t>
      </w:r>
      <w:r>
        <w:t xml:space="preserve"> </w:t>
      </w:r>
      <w:r w:rsidRPr="00271C78">
        <w:t>an</w:t>
      </w:r>
      <w:r>
        <w:t xml:space="preserve"> </w:t>
      </w:r>
      <w:r w:rsidRPr="00271C78">
        <w:t>independent</w:t>
      </w:r>
      <w:r>
        <w:t xml:space="preserve"> </w:t>
      </w:r>
      <w:r w:rsidRPr="00271C78">
        <w:t>surveyor</w:t>
      </w:r>
      <w:r>
        <w:t xml:space="preserve"> </w:t>
      </w:r>
      <w:r w:rsidRPr="00271C78">
        <w:t>to:</w:t>
      </w:r>
    </w:p>
    <w:p w14:paraId="55631BB4" w14:textId="77777777" w:rsidR="00676882" w:rsidRPr="00271C78" w:rsidRDefault="00676882" w:rsidP="00676882">
      <w:pPr>
        <w:pStyle w:val="ListBullet2"/>
      </w:pPr>
      <w:r w:rsidRPr="00271C78">
        <w:t>devalue</w:t>
      </w:r>
      <w:r>
        <w:t xml:space="preserve"> </w:t>
      </w:r>
      <w:r w:rsidRPr="00271C78">
        <w:t>the</w:t>
      </w:r>
      <w:r>
        <w:t xml:space="preserve"> </w:t>
      </w:r>
      <w:r w:rsidRPr="00271C78">
        <w:t>property</w:t>
      </w:r>
      <w:r>
        <w:t xml:space="preserve"> </w:t>
      </w:r>
      <w:r w:rsidRPr="00271C78">
        <w:t>by</w:t>
      </w:r>
      <w:r>
        <w:t xml:space="preserve"> </w:t>
      </w:r>
      <w:r w:rsidRPr="00271C78">
        <w:t>more</w:t>
      </w:r>
      <w:r>
        <w:t xml:space="preserve"> </w:t>
      </w:r>
      <w:r w:rsidRPr="00271C78">
        <w:t>than</w:t>
      </w:r>
      <w:r>
        <w:t xml:space="preserve"> </w:t>
      </w:r>
      <w:r w:rsidRPr="00271C78">
        <w:t>5</w:t>
      </w:r>
      <w:r>
        <w:t xml:space="preserve"> </w:t>
      </w:r>
      <w:r w:rsidRPr="00271C78">
        <w:t>per</w:t>
      </w:r>
      <w:r>
        <w:t xml:space="preserve"> </w:t>
      </w:r>
      <w:r w:rsidRPr="00271C78">
        <w:t>cent</w:t>
      </w:r>
    </w:p>
    <w:p w14:paraId="562AB962" w14:textId="77777777" w:rsidR="00676882" w:rsidRDefault="00676882" w:rsidP="00676882">
      <w:pPr>
        <w:pStyle w:val="ListBullet2"/>
      </w:pPr>
      <w:r w:rsidRPr="00271C78">
        <w:t>(</w:t>
      </w:r>
      <w:proofErr w:type="gramStart"/>
      <w:r w:rsidRPr="00271C78">
        <w:t>in</w:t>
      </w:r>
      <w:proofErr w:type="gramEnd"/>
      <w:r>
        <w:t xml:space="preserve"> </w:t>
      </w:r>
      <w:r w:rsidRPr="00271C78">
        <w:t>the</w:t>
      </w:r>
      <w:r>
        <w:t xml:space="preserve"> </w:t>
      </w:r>
      <w:r w:rsidRPr="00271C78">
        <w:t>case</w:t>
      </w:r>
      <w:r>
        <w:t xml:space="preserve"> </w:t>
      </w:r>
      <w:r w:rsidRPr="00271C78">
        <w:t>of</w:t>
      </w:r>
      <w:r>
        <w:t xml:space="preserve"> </w:t>
      </w:r>
      <w:r w:rsidRPr="00271C78">
        <w:t>wall</w:t>
      </w:r>
      <w:r>
        <w:t xml:space="preserve"> </w:t>
      </w:r>
      <w:r w:rsidRPr="00271C78">
        <w:t>insulation) negatively</w:t>
      </w:r>
      <w:r>
        <w:t xml:space="preserve"> </w:t>
      </w:r>
      <w:r w:rsidRPr="00271C78">
        <w:t>impact</w:t>
      </w:r>
      <w:r>
        <w:t xml:space="preserve"> </w:t>
      </w:r>
      <w:r w:rsidRPr="00271C78">
        <w:t>the</w:t>
      </w:r>
      <w:r>
        <w:t xml:space="preserve"> </w:t>
      </w:r>
      <w:r w:rsidRPr="00271C78">
        <w:t>fabric</w:t>
      </w:r>
      <w:r>
        <w:t xml:space="preserve"> </w:t>
      </w:r>
      <w:r w:rsidRPr="00271C78">
        <w:t>or</w:t>
      </w:r>
      <w:r>
        <w:t xml:space="preserve"> </w:t>
      </w:r>
      <w:r w:rsidRPr="00271C78">
        <w:t>structure</w:t>
      </w:r>
      <w:r>
        <w:t xml:space="preserve"> </w:t>
      </w:r>
      <w:r w:rsidRPr="00271C78">
        <w:t>of</w:t>
      </w:r>
      <w:r>
        <w:t xml:space="preserve"> </w:t>
      </w:r>
      <w:r w:rsidRPr="00271C78">
        <w:t>the</w:t>
      </w:r>
      <w:r>
        <w:t xml:space="preserve"> </w:t>
      </w:r>
      <w:r w:rsidRPr="00271C78">
        <w:t>property.</w:t>
      </w:r>
    </w:p>
    <w:p w14:paraId="4016BB25" w14:textId="77777777" w:rsidR="00676882" w:rsidRPr="00271C78" w:rsidRDefault="00676882" w:rsidP="00676882">
      <w:pPr>
        <w:pStyle w:val="BodyText"/>
      </w:pPr>
      <w:r w:rsidRPr="00271C78">
        <w:t>The</w:t>
      </w:r>
      <w:r>
        <w:t xml:space="preserve"> </w:t>
      </w:r>
      <w:r w:rsidRPr="00271C78">
        <w:t>cost</w:t>
      </w:r>
      <w:r>
        <w:t xml:space="preserve"> </w:t>
      </w:r>
      <w:r w:rsidRPr="00271C78">
        <w:t>of</w:t>
      </w:r>
      <w:r>
        <w:t xml:space="preserve"> </w:t>
      </w:r>
      <w:r w:rsidRPr="00271C78">
        <w:t>EPC</w:t>
      </w:r>
      <w:r>
        <w:t xml:space="preserve"> </w:t>
      </w:r>
      <w:r w:rsidRPr="00271C78">
        <w:t>assessment</w:t>
      </w:r>
      <w:r>
        <w:t xml:space="preserve"> </w:t>
      </w:r>
      <w:r w:rsidRPr="00271C78">
        <w:t>is</w:t>
      </w:r>
      <w:r>
        <w:t xml:space="preserve"> </w:t>
      </w:r>
      <w:r w:rsidRPr="00271C78">
        <w:t>in</w:t>
      </w:r>
      <w:r>
        <w:t xml:space="preserve"> </w:t>
      </w:r>
      <w:r w:rsidRPr="00271C78">
        <w:t>the</w:t>
      </w:r>
      <w:r>
        <w:t xml:space="preserve"> </w:t>
      </w:r>
      <w:r w:rsidRPr="00271C78">
        <w:t>range</w:t>
      </w:r>
      <w:r>
        <w:t xml:space="preserve"> of </w:t>
      </w:r>
      <w:r w:rsidRPr="00271C78">
        <w:t>£60–£120</w:t>
      </w:r>
      <w:r>
        <w:t xml:space="preserve">, </w:t>
      </w:r>
      <w:r w:rsidRPr="00271C78">
        <w:t>and</w:t>
      </w:r>
      <w:r>
        <w:t xml:space="preserve"> </w:t>
      </w:r>
      <w:r w:rsidRPr="00271C78">
        <w:t>the</w:t>
      </w:r>
      <w:r>
        <w:t xml:space="preserve"> </w:t>
      </w:r>
      <w:r w:rsidRPr="00271C78">
        <w:t>cost</w:t>
      </w:r>
      <w:r>
        <w:t xml:space="preserve"> </w:t>
      </w:r>
      <w:r w:rsidRPr="00271C78">
        <w:t>of</w:t>
      </w:r>
      <w:r>
        <w:t xml:space="preserve"> </w:t>
      </w:r>
      <w:r w:rsidRPr="00271C78">
        <w:t>measures</w:t>
      </w:r>
      <w:r>
        <w:t xml:space="preserve"> </w:t>
      </w:r>
      <w:r w:rsidRPr="00271C78">
        <w:t>is</w:t>
      </w:r>
      <w:r>
        <w:t xml:space="preserve"> </w:t>
      </w:r>
      <w:r w:rsidRPr="00271C78">
        <w:t>also</w:t>
      </w:r>
      <w:r>
        <w:t xml:space="preserve"> </w:t>
      </w:r>
      <w:r w:rsidRPr="00271C78">
        <w:t>variable.</w:t>
      </w:r>
      <w:r>
        <w:t xml:space="preserve"> </w:t>
      </w:r>
    </w:p>
    <w:p w14:paraId="43164C6A" w14:textId="77777777" w:rsidR="00676882" w:rsidRDefault="00676882" w:rsidP="00676882">
      <w:pPr>
        <w:pStyle w:val="Heading3AP"/>
      </w:pPr>
      <w:r>
        <w:t>Complementary measures</w:t>
      </w:r>
    </w:p>
    <w:p w14:paraId="497E4D68" w14:textId="77777777" w:rsidR="00676882" w:rsidRDefault="00676882" w:rsidP="00676882">
      <w:pPr>
        <w:pStyle w:val="BodyText"/>
      </w:pPr>
      <w:r>
        <w:t>In the UK, t</w:t>
      </w:r>
      <w:r w:rsidRPr="00271C78">
        <w:t>he</w:t>
      </w:r>
      <w:r>
        <w:t xml:space="preserve"> </w:t>
      </w:r>
      <w:r w:rsidRPr="00271C78">
        <w:t>Energy</w:t>
      </w:r>
      <w:r>
        <w:t xml:space="preserve"> </w:t>
      </w:r>
      <w:r w:rsidRPr="00271C78">
        <w:t>Company</w:t>
      </w:r>
      <w:r>
        <w:t xml:space="preserve"> </w:t>
      </w:r>
      <w:r w:rsidRPr="00271C78">
        <w:t>Obligation</w:t>
      </w:r>
      <w:r>
        <w:t xml:space="preserve"> </w:t>
      </w:r>
      <w:r w:rsidRPr="00271C78">
        <w:t>(ECO),</w:t>
      </w:r>
      <w:r>
        <w:t xml:space="preserve"> </w:t>
      </w:r>
      <w:r w:rsidRPr="00271C78">
        <w:t>which</w:t>
      </w:r>
      <w:r>
        <w:t xml:space="preserve"> </w:t>
      </w:r>
      <w:r w:rsidRPr="00271C78">
        <w:t>has</w:t>
      </w:r>
      <w:r>
        <w:t xml:space="preserve"> </w:t>
      </w:r>
      <w:r w:rsidRPr="00271C78">
        <w:t>similarities</w:t>
      </w:r>
      <w:r>
        <w:t xml:space="preserve"> </w:t>
      </w:r>
      <w:r w:rsidRPr="00271C78">
        <w:t>to</w:t>
      </w:r>
      <w:r>
        <w:t xml:space="preserve"> </w:t>
      </w:r>
      <w:r w:rsidRPr="00271C78">
        <w:t>the</w:t>
      </w:r>
      <w:r>
        <w:t xml:space="preserve"> ACT EEIS scheme</w:t>
      </w:r>
      <w:r w:rsidRPr="00271C78">
        <w:t>,</w:t>
      </w:r>
      <w:r>
        <w:t xml:space="preserve"> </w:t>
      </w:r>
      <w:r w:rsidRPr="00271C78">
        <w:t>provides</w:t>
      </w:r>
      <w:r>
        <w:t xml:space="preserve"> </w:t>
      </w:r>
      <w:r w:rsidRPr="00271C78">
        <w:t>some</w:t>
      </w:r>
      <w:r>
        <w:t xml:space="preserve"> </w:t>
      </w:r>
      <w:r w:rsidRPr="00271C78">
        <w:t>financial</w:t>
      </w:r>
      <w:r>
        <w:t xml:space="preserve"> </w:t>
      </w:r>
      <w:r w:rsidRPr="00271C78">
        <w:t>support</w:t>
      </w:r>
      <w:r>
        <w:t xml:space="preserve"> </w:t>
      </w:r>
      <w:r w:rsidRPr="00271C78">
        <w:t>for</w:t>
      </w:r>
      <w:r>
        <w:t xml:space="preserve"> </w:t>
      </w:r>
      <w:r w:rsidRPr="00271C78">
        <w:t>improving</w:t>
      </w:r>
      <w:r>
        <w:t xml:space="preserve"> </w:t>
      </w:r>
      <w:r w:rsidRPr="00271C78">
        <w:t>energy</w:t>
      </w:r>
      <w:r>
        <w:t xml:space="preserve"> </w:t>
      </w:r>
      <w:r w:rsidRPr="00271C78">
        <w:t>efficiency</w:t>
      </w:r>
      <w:r>
        <w:t xml:space="preserve"> </w:t>
      </w:r>
      <w:r w:rsidRPr="00271C78">
        <w:t>in</w:t>
      </w:r>
      <w:r>
        <w:t xml:space="preserve"> </w:t>
      </w:r>
      <w:r w:rsidRPr="00271C78">
        <w:t>some</w:t>
      </w:r>
      <w:r>
        <w:t xml:space="preserve"> </w:t>
      </w:r>
      <w:r w:rsidRPr="00271C78">
        <w:t>homes.</w:t>
      </w:r>
      <w:r>
        <w:t xml:space="preserve"> </w:t>
      </w:r>
      <w:r w:rsidRPr="00271C78">
        <w:t>This</w:t>
      </w:r>
      <w:r>
        <w:t xml:space="preserve"> </w:t>
      </w:r>
      <w:r w:rsidRPr="00271C78">
        <w:t>includes</w:t>
      </w:r>
      <w:r>
        <w:t xml:space="preserve"> </w:t>
      </w:r>
      <w:r w:rsidRPr="00271C78">
        <w:t>roof,</w:t>
      </w:r>
      <w:r>
        <w:t xml:space="preserve"> </w:t>
      </w:r>
      <w:r w:rsidRPr="00271C78">
        <w:t>wall</w:t>
      </w:r>
      <w:r>
        <w:t xml:space="preserve"> </w:t>
      </w:r>
      <w:r w:rsidRPr="00271C78">
        <w:t>and</w:t>
      </w:r>
      <w:r>
        <w:t xml:space="preserve"> </w:t>
      </w:r>
      <w:r w:rsidRPr="00271C78">
        <w:t>secondary</w:t>
      </w:r>
      <w:r>
        <w:t xml:space="preserve"> </w:t>
      </w:r>
      <w:r w:rsidRPr="00271C78">
        <w:t>insulating</w:t>
      </w:r>
      <w:r>
        <w:t xml:space="preserve"> </w:t>
      </w:r>
      <w:r w:rsidRPr="00271C78">
        <w:t>measures</w:t>
      </w:r>
      <w:r>
        <w:t xml:space="preserve"> </w:t>
      </w:r>
      <w:r w:rsidRPr="00271C78">
        <w:t>and</w:t>
      </w:r>
      <w:r>
        <w:t xml:space="preserve"> </w:t>
      </w:r>
      <w:r w:rsidRPr="00271C78">
        <w:t>repair</w:t>
      </w:r>
      <w:r>
        <w:t xml:space="preserve"> </w:t>
      </w:r>
      <w:r w:rsidRPr="00271C78">
        <w:t>and</w:t>
      </w:r>
      <w:r>
        <w:t xml:space="preserve"> </w:t>
      </w:r>
      <w:r w:rsidRPr="00271C78">
        <w:t>replacement</w:t>
      </w:r>
      <w:r>
        <w:t xml:space="preserve"> </w:t>
      </w:r>
      <w:r w:rsidRPr="00271C78">
        <w:t>of</w:t>
      </w:r>
      <w:r>
        <w:t xml:space="preserve"> </w:t>
      </w:r>
      <w:r w:rsidRPr="00271C78">
        <w:t>boilers</w:t>
      </w:r>
      <w:r>
        <w:t xml:space="preserve"> </w:t>
      </w:r>
      <w:r w:rsidRPr="00271C78">
        <w:t>and</w:t>
      </w:r>
      <w:r>
        <w:t xml:space="preserve"> </w:t>
      </w:r>
      <w:r w:rsidRPr="00271C78">
        <w:t>electric</w:t>
      </w:r>
      <w:r>
        <w:t xml:space="preserve"> </w:t>
      </w:r>
      <w:r w:rsidRPr="00271C78">
        <w:t>storage</w:t>
      </w:r>
      <w:r>
        <w:t xml:space="preserve"> </w:t>
      </w:r>
      <w:r w:rsidRPr="00271C78">
        <w:t>heaters.</w:t>
      </w:r>
    </w:p>
    <w:p w14:paraId="0D6C72E4" w14:textId="77777777" w:rsidR="00676882" w:rsidRDefault="00676882" w:rsidP="00676882">
      <w:pPr>
        <w:pStyle w:val="BodyText"/>
      </w:pPr>
      <w:r w:rsidRPr="00271C78">
        <w:t>The</w:t>
      </w:r>
      <w:r>
        <w:t xml:space="preserve"> </w:t>
      </w:r>
      <w:r w:rsidRPr="00271C78">
        <w:t>ECO</w:t>
      </w:r>
      <w:r>
        <w:t xml:space="preserve"> </w:t>
      </w:r>
      <w:r w:rsidRPr="00271C78">
        <w:t>is</w:t>
      </w:r>
      <w:r>
        <w:t xml:space="preserve"> </w:t>
      </w:r>
      <w:r w:rsidRPr="00271C78">
        <w:t>implemented</w:t>
      </w:r>
      <w:r>
        <w:t xml:space="preserve"> </w:t>
      </w:r>
      <w:r w:rsidRPr="00271C78">
        <w:t>through</w:t>
      </w:r>
      <w:r>
        <w:t xml:space="preserve"> </w:t>
      </w:r>
      <w:r w:rsidRPr="00271C78">
        <w:t>three</w:t>
      </w:r>
      <w:r>
        <w:t xml:space="preserve"> </w:t>
      </w:r>
      <w:r w:rsidRPr="00271C78">
        <w:t>mechanisms</w:t>
      </w:r>
      <w:r>
        <w:t xml:space="preserve"> </w:t>
      </w:r>
      <w:r w:rsidRPr="00271C78">
        <w:t>for</w:t>
      </w:r>
      <w:r>
        <w:t xml:space="preserve"> </w:t>
      </w:r>
      <w:r w:rsidRPr="00271C78">
        <w:t>different</w:t>
      </w:r>
      <w:r>
        <w:t xml:space="preserve"> </w:t>
      </w:r>
      <w:r w:rsidRPr="00271C78">
        <w:t>groups: the</w:t>
      </w:r>
      <w:r>
        <w:t xml:space="preserve"> </w:t>
      </w:r>
      <w:r w:rsidRPr="00271C78">
        <w:t>Home</w:t>
      </w:r>
      <w:r>
        <w:t xml:space="preserve"> </w:t>
      </w:r>
      <w:r w:rsidRPr="00271C78">
        <w:t>Heating</w:t>
      </w:r>
      <w:r>
        <w:t xml:space="preserve"> </w:t>
      </w:r>
      <w:r w:rsidRPr="00271C78">
        <w:t>Cost</w:t>
      </w:r>
      <w:r>
        <w:t xml:space="preserve"> </w:t>
      </w:r>
      <w:r w:rsidRPr="00271C78">
        <w:t>Reduction</w:t>
      </w:r>
      <w:r>
        <w:t xml:space="preserve"> </w:t>
      </w:r>
      <w:r w:rsidRPr="00271C78">
        <w:t>Obligation</w:t>
      </w:r>
      <w:r>
        <w:t xml:space="preserve"> </w:t>
      </w:r>
      <w:r w:rsidRPr="00271C78">
        <w:t>(for</w:t>
      </w:r>
      <w:r>
        <w:t xml:space="preserve"> </w:t>
      </w:r>
      <w:r w:rsidRPr="00271C78">
        <w:t>people</w:t>
      </w:r>
      <w:r>
        <w:t xml:space="preserve"> </w:t>
      </w:r>
      <w:r w:rsidRPr="00271C78">
        <w:t>receiving</w:t>
      </w:r>
      <w:r>
        <w:t xml:space="preserve"> </w:t>
      </w:r>
      <w:r w:rsidRPr="00271C78">
        <w:t>certain</w:t>
      </w:r>
      <w:r>
        <w:t xml:space="preserve"> </w:t>
      </w:r>
      <w:r w:rsidRPr="00271C78">
        <w:t>benefits</w:t>
      </w:r>
      <w:r>
        <w:t xml:space="preserve"> </w:t>
      </w:r>
      <w:r w:rsidRPr="00271C78">
        <w:t>and</w:t>
      </w:r>
      <w:r>
        <w:t xml:space="preserve"> </w:t>
      </w:r>
      <w:r w:rsidRPr="00271C78">
        <w:t>living</w:t>
      </w:r>
      <w:r>
        <w:t xml:space="preserve"> </w:t>
      </w:r>
      <w:r w:rsidRPr="00271C78">
        <w:t>in</w:t>
      </w:r>
      <w:r>
        <w:t xml:space="preserve"> </w:t>
      </w:r>
      <w:r w:rsidRPr="00271C78">
        <w:t>owner-occupied</w:t>
      </w:r>
      <w:r>
        <w:t xml:space="preserve"> </w:t>
      </w:r>
      <w:r w:rsidRPr="00271C78">
        <w:t>or</w:t>
      </w:r>
      <w:r>
        <w:t xml:space="preserve"> </w:t>
      </w:r>
      <w:r w:rsidRPr="00271C78">
        <w:t>private</w:t>
      </w:r>
      <w:r>
        <w:t xml:space="preserve"> </w:t>
      </w:r>
      <w:r w:rsidRPr="00271C78">
        <w:t>rental</w:t>
      </w:r>
      <w:r>
        <w:t xml:space="preserve"> </w:t>
      </w:r>
      <w:r w:rsidRPr="00271C78">
        <w:t>premises),</w:t>
      </w:r>
      <w:r>
        <w:t xml:space="preserve"> </w:t>
      </w:r>
      <w:r w:rsidRPr="00271C78">
        <w:t>the</w:t>
      </w:r>
      <w:r>
        <w:t xml:space="preserve"> </w:t>
      </w:r>
      <w:r w:rsidRPr="00271C78">
        <w:t>Carbon</w:t>
      </w:r>
      <w:r>
        <w:t xml:space="preserve"> </w:t>
      </w:r>
      <w:r w:rsidRPr="00271C78">
        <w:t>Saving</w:t>
      </w:r>
      <w:r>
        <w:t xml:space="preserve"> </w:t>
      </w:r>
      <w:r w:rsidRPr="00271C78">
        <w:t>Community</w:t>
      </w:r>
      <w:r>
        <w:t xml:space="preserve"> </w:t>
      </w:r>
      <w:r w:rsidRPr="00271C78">
        <w:t>Obligation</w:t>
      </w:r>
      <w:r>
        <w:t xml:space="preserve"> </w:t>
      </w:r>
      <w:r w:rsidRPr="00271C78">
        <w:t>(in</w:t>
      </w:r>
      <w:r>
        <w:t xml:space="preserve"> </w:t>
      </w:r>
      <w:r w:rsidRPr="00271C78">
        <w:t>areas</w:t>
      </w:r>
      <w:r>
        <w:t xml:space="preserve"> </w:t>
      </w:r>
      <w:r w:rsidRPr="00271C78">
        <w:t>of</w:t>
      </w:r>
      <w:r>
        <w:t xml:space="preserve"> </w:t>
      </w:r>
      <w:r w:rsidRPr="00271C78">
        <w:t>low</w:t>
      </w:r>
      <w:r>
        <w:t xml:space="preserve"> </w:t>
      </w:r>
      <w:r w:rsidRPr="00271C78">
        <w:t>income,</w:t>
      </w:r>
      <w:r>
        <w:t xml:space="preserve"> </w:t>
      </w:r>
      <w:r w:rsidRPr="00271C78">
        <w:t>people</w:t>
      </w:r>
      <w:r>
        <w:t xml:space="preserve"> </w:t>
      </w:r>
      <w:r w:rsidRPr="00271C78">
        <w:t>receiving</w:t>
      </w:r>
      <w:r>
        <w:t xml:space="preserve"> </w:t>
      </w:r>
      <w:r w:rsidRPr="00271C78">
        <w:t>certain</w:t>
      </w:r>
      <w:r>
        <w:t xml:space="preserve"> </w:t>
      </w:r>
      <w:r w:rsidRPr="00271C78">
        <w:t>benefits</w:t>
      </w:r>
      <w:r>
        <w:t xml:space="preserve"> </w:t>
      </w:r>
      <w:r w:rsidRPr="00271C78">
        <w:t>and</w:t>
      </w:r>
      <w:r>
        <w:t xml:space="preserve"> </w:t>
      </w:r>
      <w:r w:rsidRPr="00271C78">
        <w:t>living</w:t>
      </w:r>
      <w:r>
        <w:t xml:space="preserve"> </w:t>
      </w:r>
      <w:r w:rsidRPr="00271C78">
        <w:t>in</w:t>
      </w:r>
      <w:r>
        <w:t xml:space="preserve"> </w:t>
      </w:r>
      <w:r w:rsidRPr="00271C78">
        <w:t>private</w:t>
      </w:r>
      <w:r>
        <w:t xml:space="preserve"> </w:t>
      </w:r>
      <w:r w:rsidRPr="00271C78">
        <w:t>domestic</w:t>
      </w:r>
      <w:r>
        <w:t xml:space="preserve"> </w:t>
      </w:r>
      <w:r w:rsidRPr="00271C78">
        <w:t>premises</w:t>
      </w:r>
      <w:r>
        <w:t xml:space="preserve"> </w:t>
      </w:r>
      <w:r w:rsidRPr="00271C78">
        <w:t>including</w:t>
      </w:r>
      <w:r>
        <w:t xml:space="preserve"> </w:t>
      </w:r>
      <w:r w:rsidRPr="00271C78">
        <w:t>social</w:t>
      </w:r>
      <w:r>
        <w:t xml:space="preserve"> </w:t>
      </w:r>
      <w:r w:rsidRPr="00271C78">
        <w:t>housing</w:t>
      </w:r>
      <w:r>
        <w:t xml:space="preserve">, </w:t>
      </w:r>
      <w:r w:rsidRPr="00271C78">
        <w:t>and</w:t>
      </w:r>
      <w:r>
        <w:t xml:space="preserve"> </w:t>
      </w:r>
      <w:r w:rsidRPr="00271C78">
        <w:t>vulnerable</w:t>
      </w:r>
      <w:r>
        <w:t xml:space="preserve"> </w:t>
      </w:r>
      <w:r w:rsidRPr="00271C78">
        <w:t>households</w:t>
      </w:r>
      <w:r>
        <w:t xml:space="preserve"> </w:t>
      </w:r>
      <w:r w:rsidRPr="00271C78">
        <w:t>in</w:t>
      </w:r>
      <w:r>
        <w:t xml:space="preserve"> </w:t>
      </w:r>
      <w:r w:rsidRPr="00271C78">
        <w:t>rural</w:t>
      </w:r>
      <w:r>
        <w:t xml:space="preserve"> </w:t>
      </w:r>
      <w:r w:rsidRPr="00271C78">
        <w:t>areas) and</w:t>
      </w:r>
      <w:r>
        <w:t xml:space="preserve"> </w:t>
      </w:r>
      <w:r w:rsidRPr="00271C78">
        <w:t>the</w:t>
      </w:r>
      <w:r>
        <w:t xml:space="preserve"> </w:t>
      </w:r>
      <w:r w:rsidRPr="00271C78">
        <w:t>Carbon</w:t>
      </w:r>
      <w:r>
        <w:t xml:space="preserve"> </w:t>
      </w:r>
      <w:r w:rsidRPr="00271C78">
        <w:t>Emissions</w:t>
      </w:r>
      <w:r>
        <w:t xml:space="preserve"> </w:t>
      </w:r>
      <w:r w:rsidRPr="00271C78">
        <w:t>Reduction</w:t>
      </w:r>
      <w:r>
        <w:t xml:space="preserve"> </w:t>
      </w:r>
      <w:r w:rsidRPr="00271C78">
        <w:t>Obligation.</w:t>
      </w:r>
    </w:p>
    <w:p w14:paraId="14803BB8" w14:textId="77777777" w:rsidR="00676882" w:rsidRDefault="00676882" w:rsidP="00676882">
      <w:pPr>
        <w:pStyle w:val="BodyText"/>
      </w:pPr>
      <w:r>
        <w:t xml:space="preserve">In addition, the UK government supports Green Finance Deals. These are loans that are repaid through energy bills. These financing arrangements are optional and offered through energy providers. The repayment on the loan is limited to the savings made on the energy bill. </w:t>
      </w:r>
    </w:p>
    <w:p w14:paraId="167FBFBD" w14:textId="77777777" w:rsidR="00676882" w:rsidRDefault="00676882" w:rsidP="00676882">
      <w:pPr>
        <w:pStyle w:val="Heading3AP"/>
      </w:pPr>
      <w:r>
        <w:t>Impacts</w:t>
      </w:r>
    </w:p>
    <w:p w14:paraId="3DEB6A7C" w14:textId="77777777" w:rsidR="00676882" w:rsidRDefault="00676882" w:rsidP="00676882">
      <w:pPr>
        <w:pStyle w:val="BodyText"/>
      </w:pPr>
      <w:r>
        <w:t xml:space="preserve">Two studies have been published which illustrate the early impacts of the policy. The first, by Sayce &amp; Hossain </w:t>
      </w:r>
      <w:sdt>
        <w:sdtPr>
          <w:id w:val="-2091446901"/>
          <w:citation/>
        </w:sdtPr>
        <w:sdtContent>
          <w:r>
            <w:fldChar w:fldCharType="begin"/>
          </w:r>
          <w:r>
            <w:instrText xml:space="preserve">CITATION Say20 \n  \t  \l 3081 </w:instrText>
          </w:r>
          <w:r>
            <w:fldChar w:fldCharType="separate"/>
          </w:r>
          <w:r>
            <w:rPr>
              <w:noProof/>
            </w:rPr>
            <w:t>(2020)</w:t>
          </w:r>
          <w:r>
            <w:fldChar w:fldCharType="end"/>
          </w:r>
        </w:sdtContent>
      </w:sdt>
      <w:r>
        <w:t xml:space="preserve"> collected responses from the real estate industry, including valuers, asset managers, lawyers and building consultants. Their findings include that:</w:t>
      </w:r>
    </w:p>
    <w:p w14:paraId="0B60F310" w14:textId="77777777" w:rsidR="00676882" w:rsidRDefault="00676882" w:rsidP="00676882">
      <w:pPr>
        <w:pStyle w:val="ListBullet"/>
      </w:pPr>
      <w:r>
        <w:t>industry finds compliance (including exemptions) too easy and there is limited enforcement</w:t>
      </w:r>
    </w:p>
    <w:p w14:paraId="21596263" w14:textId="77777777" w:rsidR="00676882" w:rsidRDefault="00676882" w:rsidP="00676882">
      <w:pPr>
        <w:pStyle w:val="ListBullet"/>
      </w:pPr>
      <w:r>
        <w:t>valuers found that while MEES was part of the valuation process, that it had a limited impact</w:t>
      </w:r>
    </w:p>
    <w:p w14:paraId="7D2044EE" w14:textId="77777777" w:rsidR="00676882" w:rsidRDefault="00676882" w:rsidP="00676882">
      <w:pPr>
        <w:pStyle w:val="ListBullet"/>
      </w:pPr>
      <w:r>
        <w:t>many found that EPCs were a blunt tool</w:t>
      </w:r>
    </w:p>
    <w:p w14:paraId="5A015DEA" w14:textId="77777777" w:rsidR="00676882" w:rsidRDefault="00676882" w:rsidP="00676882">
      <w:pPr>
        <w:pStyle w:val="ListBullet"/>
      </w:pPr>
      <w:r>
        <w:t>some investors are changing their portfolio to reflect a low carbon future.</w:t>
      </w:r>
    </w:p>
    <w:p w14:paraId="017CB2CD" w14:textId="77777777" w:rsidR="00676882" w:rsidRDefault="00676882" w:rsidP="00676882">
      <w:pPr>
        <w:pStyle w:val="BodyText"/>
      </w:pPr>
      <w:r>
        <w:t>However, the authors note that the sample size is small, and the results are preliminary.</w:t>
      </w:r>
    </w:p>
    <w:p w14:paraId="27E41F51" w14:textId="77777777" w:rsidR="00676882" w:rsidRDefault="00676882" w:rsidP="00676882">
      <w:pPr>
        <w:pStyle w:val="ListBullet"/>
        <w:numPr>
          <w:ilvl w:val="0"/>
          <w:numId w:val="0"/>
        </w:numPr>
      </w:pPr>
      <w:r>
        <w:t xml:space="preserve">The second paper, by French </w:t>
      </w:r>
      <w:sdt>
        <w:sdtPr>
          <w:id w:val="-364293182"/>
          <w:citation/>
        </w:sdtPr>
        <w:sdtContent>
          <w:r>
            <w:fldChar w:fldCharType="begin"/>
          </w:r>
          <w:r>
            <w:instrText xml:space="preserve">CITATION Fre19 \n  \t  \l 3081 </w:instrText>
          </w:r>
          <w:r>
            <w:fldChar w:fldCharType="separate"/>
          </w:r>
          <w:r>
            <w:rPr>
              <w:noProof/>
            </w:rPr>
            <w:t>(2019)</w:t>
          </w:r>
          <w:r>
            <w:fldChar w:fldCharType="end"/>
          </w:r>
        </w:sdtContent>
      </w:sdt>
      <w:r>
        <w:t>, suggests that non-compliant properties are being sold by investors at a discount, sometimes greater than the cost of retrofitting properties, which the author suggests stems from unforeseen costs and risks to investors — including that standards may either rise in the future or be enforced more stringently. However, the French paper does not provide data, and acknowledges that the changes are still recent. In a subsequent paper, the author notes that COVID</w:t>
      </w:r>
      <w:r>
        <w:noBreakHyphen/>
        <w:t xml:space="preserve">19 has been the most dramatic influence on the property market in 2020 </w:t>
      </w:r>
      <w:sdt>
        <w:sdtPr>
          <w:id w:val="-612983943"/>
          <w:citation/>
        </w:sdtPr>
        <w:sdtContent>
          <w:r>
            <w:fldChar w:fldCharType="begin"/>
          </w:r>
          <w:r>
            <w:instrText xml:space="preserve">CITATION Fre20 \t  \l 3081 </w:instrText>
          </w:r>
          <w:r>
            <w:fldChar w:fldCharType="separate"/>
          </w:r>
          <w:r>
            <w:rPr>
              <w:noProof/>
            </w:rPr>
            <w:t>(French, 2020)</w:t>
          </w:r>
          <w:r>
            <w:fldChar w:fldCharType="end"/>
          </w:r>
        </w:sdtContent>
      </w:sdt>
      <w:r>
        <w:t>.</w:t>
      </w:r>
    </w:p>
    <w:p w14:paraId="75922CC8" w14:textId="77777777" w:rsidR="00676882" w:rsidRDefault="00676882" w:rsidP="00676882">
      <w:pPr>
        <w:pStyle w:val="ListBullet"/>
        <w:numPr>
          <w:ilvl w:val="0"/>
          <w:numId w:val="0"/>
        </w:numPr>
      </w:pPr>
      <w:r>
        <w:t xml:space="preserve">A news article from July 2020 </w:t>
      </w:r>
      <w:sdt>
        <w:sdtPr>
          <w:id w:val="1858618379"/>
          <w:citation/>
        </w:sdtPr>
        <w:sdtContent>
          <w:r>
            <w:fldChar w:fldCharType="begin"/>
          </w:r>
          <w:r>
            <w:instrText xml:space="preserve">CITATION Mad20 \y  \t  \l 3081 </w:instrText>
          </w:r>
          <w:r>
            <w:fldChar w:fldCharType="separate"/>
          </w:r>
          <w:r>
            <w:rPr>
              <w:noProof/>
            </w:rPr>
            <w:t>(Cuff)</w:t>
          </w:r>
          <w:r>
            <w:fldChar w:fldCharType="end"/>
          </w:r>
        </w:sdtContent>
      </w:sdt>
      <w:r>
        <w:t xml:space="preserve"> reports that few enforcement actions have occurred as a result of the new laws. Only six per cent of local councils had taken any kind of enforcement action, and </w:t>
      </w:r>
      <w:r>
        <w:lastRenderedPageBreak/>
        <w:t xml:space="preserve">only 20 penalties had been raised by approximately half of those councils, as shown in </w:t>
      </w:r>
      <w:r w:rsidRPr="009E4AB1">
        <w:fldChar w:fldCharType="begin"/>
      </w:r>
      <w:r w:rsidRPr="009E4AB1">
        <w:instrText xml:space="preserve"> REF _Ref70925863 \h  \* MERGEFORMAT </w:instrText>
      </w:r>
      <w:r w:rsidRPr="009E4AB1">
        <w:fldChar w:fldCharType="separate"/>
      </w:r>
      <w:r w:rsidRPr="00F32FCC">
        <w:t>Table A.1</w:t>
      </w:r>
      <w:r w:rsidRPr="009E4AB1">
        <w:fldChar w:fldCharType="end"/>
      </w:r>
      <w:r>
        <w:t>. These were for an average penalty of £3,859 — roughly equivalent to the cost-cap of the improvements required below which rental providers are required to make the improvements.</w:t>
      </w:r>
    </w:p>
    <w:p w14:paraId="03CCEF81" w14:textId="77777777" w:rsidR="00676882" w:rsidRDefault="00676882" w:rsidP="00676882">
      <w:pPr>
        <w:pStyle w:val="Caption"/>
        <w:ind w:left="-851"/>
      </w:pPr>
      <w:bookmarkStart w:id="348" w:name="_Ref70925863"/>
      <w:bookmarkStart w:id="349" w:name="_Toc73485659"/>
      <w:bookmarkStart w:id="350" w:name="_Toc80719337"/>
      <w:r w:rsidRPr="00C205C6">
        <w:rPr>
          <w:rStyle w:val="CaptionLabel"/>
        </w:rPr>
        <w:t>Table </w:t>
      </w:r>
      <w:r w:rsidRPr="00C205C6">
        <w:rPr>
          <w:rStyle w:val="CaptionLabel"/>
        </w:rPr>
        <w:fldChar w:fldCharType="begin"/>
      </w:r>
      <w:r w:rsidRPr="00C205C6">
        <w:rPr>
          <w:rStyle w:val="CaptionLabel"/>
        </w:rPr>
        <w:instrText xml:space="preserve"> STYLEREF 9 \S \* MERGEFORMAT </w:instrText>
      </w:r>
      <w:r w:rsidRPr="00C205C6">
        <w:rPr>
          <w:rStyle w:val="CaptionLabel"/>
        </w:rPr>
        <w:fldChar w:fldCharType="separate"/>
      </w:r>
      <w:r>
        <w:rPr>
          <w:rStyle w:val="CaptionLabel"/>
          <w:noProof/>
        </w:rPr>
        <w:t>A</w:t>
      </w:r>
      <w:r w:rsidRPr="00C205C6">
        <w:rPr>
          <w:rStyle w:val="CaptionLabel"/>
        </w:rPr>
        <w:fldChar w:fldCharType="end"/>
      </w:r>
      <w:r w:rsidRPr="00C205C6">
        <w:rPr>
          <w:rStyle w:val="CaptionLabel"/>
        </w:rPr>
        <w:t>.</w:t>
      </w:r>
      <w:r w:rsidRPr="00C205C6">
        <w:rPr>
          <w:rStyle w:val="CaptionLabel"/>
        </w:rPr>
        <w:fldChar w:fldCharType="begin"/>
      </w:r>
      <w:r w:rsidRPr="00C205C6">
        <w:rPr>
          <w:rStyle w:val="CaptionLabel"/>
        </w:rPr>
        <w:instrText xml:space="preserve"> SEQ Table_AP \* ARABIC \S 9 \* MERGEFORMAT </w:instrText>
      </w:r>
      <w:r w:rsidRPr="00C205C6">
        <w:rPr>
          <w:rStyle w:val="CaptionLabel"/>
        </w:rPr>
        <w:fldChar w:fldCharType="separate"/>
      </w:r>
      <w:r>
        <w:rPr>
          <w:rStyle w:val="CaptionLabel"/>
          <w:noProof/>
        </w:rPr>
        <w:t>1</w:t>
      </w:r>
      <w:r w:rsidRPr="00C205C6">
        <w:rPr>
          <w:rStyle w:val="CaptionLabel"/>
        </w:rPr>
        <w:fldChar w:fldCharType="end"/>
      </w:r>
      <w:bookmarkEnd w:id="348"/>
      <w:r>
        <w:tab/>
        <w:t>Councils that have taken enforcement action, July 2020</w:t>
      </w:r>
      <w:bookmarkEnd w:id="349"/>
      <w:bookmarkEnd w:id="350"/>
    </w:p>
    <w:tbl>
      <w:tblPr>
        <w:tblW w:w="10223" w:type="dxa"/>
        <w:tblInd w:w="-2268"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Pr>
      <w:tblGrid>
        <w:gridCol w:w="283"/>
        <w:gridCol w:w="2411"/>
        <w:gridCol w:w="74"/>
        <w:gridCol w:w="2477"/>
        <w:gridCol w:w="8"/>
        <w:gridCol w:w="2485"/>
        <w:gridCol w:w="59"/>
        <w:gridCol w:w="2409"/>
        <w:gridCol w:w="17"/>
      </w:tblGrid>
      <w:tr w:rsidR="00676882" w14:paraId="7A34F08C" w14:textId="77777777" w:rsidTr="00DF45FA">
        <w:trPr>
          <w:gridAfter w:val="1"/>
          <w:wAfter w:w="17" w:type="dxa"/>
          <w:tblHeader/>
        </w:trPr>
        <w:tc>
          <w:tcPr>
            <w:tcW w:w="2694" w:type="dxa"/>
            <w:gridSpan w:val="2"/>
            <w:tcBorders>
              <w:top w:val="nil"/>
              <w:bottom w:val="nil"/>
            </w:tcBorders>
            <w:shd w:val="clear" w:color="auto" w:fill="140034"/>
            <w:tcMar>
              <w:left w:w="454" w:type="dxa"/>
            </w:tcMar>
          </w:tcPr>
          <w:p w14:paraId="680CE6E0" w14:textId="77777777" w:rsidR="00676882" w:rsidRDefault="00676882" w:rsidP="00DF45FA">
            <w:pPr>
              <w:pStyle w:val="Tablecolumnheadings"/>
            </w:pPr>
            <w:r>
              <w:t>Council</w:t>
            </w:r>
          </w:p>
        </w:tc>
        <w:tc>
          <w:tcPr>
            <w:tcW w:w="2551" w:type="dxa"/>
            <w:gridSpan w:val="2"/>
            <w:tcBorders>
              <w:top w:val="nil"/>
              <w:bottom w:val="nil"/>
            </w:tcBorders>
            <w:shd w:val="clear" w:color="auto" w:fill="140034"/>
          </w:tcPr>
          <w:p w14:paraId="5202165C" w14:textId="77777777" w:rsidR="00676882" w:rsidRDefault="00676882" w:rsidP="00DF45FA">
            <w:pPr>
              <w:pStyle w:val="Tablecolumnheadings"/>
              <w:jc w:val="center"/>
            </w:pPr>
            <w:r>
              <w:t>Compliance notices</w:t>
            </w:r>
          </w:p>
        </w:tc>
        <w:tc>
          <w:tcPr>
            <w:tcW w:w="2552" w:type="dxa"/>
            <w:gridSpan w:val="3"/>
            <w:tcBorders>
              <w:top w:val="nil"/>
              <w:bottom w:val="nil"/>
            </w:tcBorders>
            <w:shd w:val="clear" w:color="auto" w:fill="140034"/>
          </w:tcPr>
          <w:p w14:paraId="3520B258" w14:textId="77777777" w:rsidR="00676882" w:rsidRDefault="00676882" w:rsidP="00DF45FA">
            <w:pPr>
              <w:pStyle w:val="Tablecolumnheadings"/>
              <w:jc w:val="center"/>
            </w:pPr>
            <w:r>
              <w:t>Financial penalties</w:t>
            </w:r>
          </w:p>
        </w:tc>
        <w:tc>
          <w:tcPr>
            <w:tcW w:w="2409" w:type="dxa"/>
            <w:tcBorders>
              <w:top w:val="nil"/>
              <w:bottom w:val="nil"/>
              <w:right w:val="single" w:sz="6" w:space="0" w:color="140034"/>
            </w:tcBorders>
            <w:shd w:val="clear" w:color="auto" w:fill="140034"/>
          </w:tcPr>
          <w:p w14:paraId="4266BB87" w14:textId="77777777" w:rsidR="00676882" w:rsidRDefault="00676882" w:rsidP="00DF45FA">
            <w:pPr>
              <w:pStyle w:val="Tablecolumnheadings"/>
              <w:jc w:val="center"/>
            </w:pPr>
            <w:r>
              <w:t>Total fines (£)</w:t>
            </w:r>
          </w:p>
        </w:tc>
      </w:tr>
      <w:tr w:rsidR="00676882" w14:paraId="7DD7175E" w14:textId="77777777" w:rsidTr="00DF45FA">
        <w:trPr>
          <w:gridBefore w:val="1"/>
          <w:wBefore w:w="283" w:type="dxa"/>
        </w:trPr>
        <w:tc>
          <w:tcPr>
            <w:tcW w:w="2485" w:type="dxa"/>
            <w:gridSpan w:val="2"/>
            <w:tcBorders>
              <w:top w:val="nil"/>
            </w:tcBorders>
            <w:shd w:val="clear" w:color="auto" w:fill="auto"/>
          </w:tcPr>
          <w:p w14:paraId="5BFD2823" w14:textId="77777777" w:rsidR="00676882" w:rsidRDefault="00676882" w:rsidP="00DF45FA">
            <w:pPr>
              <w:pStyle w:val="Tabletext"/>
            </w:pPr>
            <w:r>
              <w:t>Liverpool City</w:t>
            </w:r>
          </w:p>
        </w:tc>
        <w:tc>
          <w:tcPr>
            <w:tcW w:w="2485" w:type="dxa"/>
            <w:gridSpan w:val="2"/>
            <w:tcBorders>
              <w:top w:val="nil"/>
            </w:tcBorders>
            <w:shd w:val="clear" w:color="auto" w:fill="auto"/>
            <w:vAlign w:val="center"/>
          </w:tcPr>
          <w:p w14:paraId="19F9BB88" w14:textId="77777777" w:rsidR="00676882" w:rsidRDefault="00676882" w:rsidP="00DF45FA">
            <w:pPr>
              <w:pStyle w:val="Tabletext"/>
              <w:jc w:val="center"/>
            </w:pPr>
            <w:r>
              <w:t>143</w:t>
            </w:r>
          </w:p>
        </w:tc>
        <w:tc>
          <w:tcPr>
            <w:tcW w:w="2485" w:type="dxa"/>
            <w:tcBorders>
              <w:top w:val="nil"/>
            </w:tcBorders>
            <w:shd w:val="clear" w:color="auto" w:fill="auto"/>
            <w:vAlign w:val="center"/>
          </w:tcPr>
          <w:p w14:paraId="1C9C0AB4" w14:textId="77777777" w:rsidR="00676882" w:rsidRDefault="00676882" w:rsidP="00DF45FA">
            <w:pPr>
              <w:pStyle w:val="Tabletext"/>
              <w:jc w:val="center"/>
            </w:pPr>
            <w:r>
              <w:t>0</w:t>
            </w:r>
          </w:p>
        </w:tc>
        <w:tc>
          <w:tcPr>
            <w:tcW w:w="2485" w:type="dxa"/>
            <w:gridSpan w:val="3"/>
            <w:tcBorders>
              <w:top w:val="nil"/>
            </w:tcBorders>
            <w:shd w:val="clear" w:color="auto" w:fill="auto"/>
            <w:vAlign w:val="center"/>
          </w:tcPr>
          <w:p w14:paraId="29535B02" w14:textId="77777777" w:rsidR="00676882" w:rsidRDefault="00676882" w:rsidP="00DF45FA">
            <w:pPr>
              <w:pStyle w:val="Tabletext"/>
              <w:jc w:val="center"/>
            </w:pPr>
            <w:r>
              <w:t>0</w:t>
            </w:r>
          </w:p>
        </w:tc>
      </w:tr>
      <w:tr w:rsidR="00676882" w14:paraId="2CCE0527" w14:textId="77777777" w:rsidTr="00DF45FA">
        <w:trPr>
          <w:gridBefore w:val="1"/>
          <w:wBefore w:w="283" w:type="dxa"/>
        </w:trPr>
        <w:tc>
          <w:tcPr>
            <w:tcW w:w="2485" w:type="dxa"/>
            <w:gridSpan w:val="2"/>
            <w:shd w:val="clear" w:color="auto" w:fill="auto"/>
          </w:tcPr>
          <w:p w14:paraId="3FA86177" w14:textId="77777777" w:rsidR="00676882" w:rsidRDefault="00676882" w:rsidP="00DF45FA">
            <w:pPr>
              <w:pStyle w:val="Tabletext"/>
            </w:pPr>
            <w:r>
              <w:t>Rotherham</w:t>
            </w:r>
          </w:p>
        </w:tc>
        <w:tc>
          <w:tcPr>
            <w:tcW w:w="2485" w:type="dxa"/>
            <w:gridSpan w:val="2"/>
            <w:shd w:val="clear" w:color="auto" w:fill="auto"/>
            <w:vAlign w:val="center"/>
          </w:tcPr>
          <w:p w14:paraId="39AFF6DC" w14:textId="77777777" w:rsidR="00676882" w:rsidRDefault="00676882" w:rsidP="00DF45FA">
            <w:pPr>
              <w:pStyle w:val="Tabletext"/>
              <w:jc w:val="center"/>
            </w:pPr>
            <w:r>
              <w:t>105</w:t>
            </w:r>
          </w:p>
        </w:tc>
        <w:tc>
          <w:tcPr>
            <w:tcW w:w="2485" w:type="dxa"/>
            <w:shd w:val="clear" w:color="auto" w:fill="auto"/>
            <w:vAlign w:val="center"/>
          </w:tcPr>
          <w:p w14:paraId="2E9E2D97" w14:textId="77777777" w:rsidR="00676882" w:rsidRDefault="00676882" w:rsidP="00DF45FA">
            <w:pPr>
              <w:pStyle w:val="Tabletext"/>
              <w:jc w:val="center"/>
            </w:pPr>
            <w:r>
              <w:t>0</w:t>
            </w:r>
          </w:p>
        </w:tc>
        <w:tc>
          <w:tcPr>
            <w:tcW w:w="2485" w:type="dxa"/>
            <w:gridSpan w:val="3"/>
            <w:shd w:val="clear" w:color="auto" w:fill="auto"/>
            <w:vAlign w:val="center"/>
          </w:tcPr>
          <w:p w14:paraId="0547C144" w14:textId="77777777" w:rsidR="00676882" w:rsidRDefault="00676882" w:rsidP="00DF45FA">
            <w:pPr>
              <w:pStyle w:val="Tabletext"/>
              <w:jc w:val="center"/>
            </w:pPr>
            <w:r>
              <w:t>0</w:t>
            </w:r>
          </w:p>
        </w:tc>
      </w:tr>
      <w:tr w:rsidR="00676882" w14:paraId="75ED828F" w14:textId="77777777" w:rsidTr="00DF45FA">
        <w:trPr>
          <w:gridBefore w:val="1"/>
          <w:wBefore w:w="283" w:type="dxa"/>
        </w:trPr>
        <w:tc>
          <w:tcPr>
            <w:tcW w:w="2485" w:type="dxa"/>
            <w:gridSpan w:val="2"/>
            <w:shd w:val="clear" w:color="auto" w:fill="auto"/>
          </w:tcPr>
          <w:p w14:paraId="76A86C87" w14:textId="77777777" w:rsidR="00676882" w:rsidRDefault="00676882" w:rsidP="00DF45FA">
            <w:pPr>
              <w:pStyle w:val="Tabletext"/>
            </w:pPr>
            <w:r>
              <w:t>East Lindsey</w:t>
            </w:r>
          </w:p>
        </w:tc>
        <w:tc>
          <w:tcPr>
            <w:tcW w:w="2485" w:type="dxa"/>
            <w:gridSpan w:val="2"/>
            <w:shd w:val="clear" w:color="auto" w:fill="auto"/>
            <w:vAlign w:val="center"/>
          </w:tcPr>
          <w:p w14:paraId="36585C32" w14:textId="77777777" w:rsidR="00676882" w:rsidRDefault="00676882" w:rsidP="00DF45FA">
            <w:pPr>
              <w:pStyle w:val="Tabletext"/>
              <w:jc w:val="center"/>
            </w:pPr>
            <w:r>
              <w:t>47</w:t>
            </w:r>
          </w:p>
        </w:tc>
        <w:tc>
          <w:tcPr>
            <w:tcW w:w="2485" w:type="dxa"/>
            <w:shd w:val="clear" w:color="auto" w:fill="auto"/>
            <w:vAlign w:val="center"/>
          </w:tcPr>
          <w:p w14:paraId="76D5CC64" w14:textId="77777777" w:rsidR="00676882" w:rsidRDefault="00676882" w:rsidP="00DF45FA">
            <w:pPr>
              <w:pStyle w:val="Tabletext"/>
              <w:jc w:val="center"/>
            </w:pPr>
            <w:r>
              <w:t>2</w:t>
            </w:r>
          </w:p>
        </w:tc>
        <w:tc>
          <w:tcPr>
            <w:tcW w:w="2485" w:type="dxa"/>
            <w:gridSpan w:val="3"/>
            <w:shd w:val="clear" w:color="auto" w:fill="auto"/>
            <w:vAlign w:val="center"/>
          </w:tcPr>
          <w:p w14:paraId="030F1D8E" w14:textId="77777777" w:rsidR="00676882" w:rsidRDefault="00676882" w:rsidP="00DF45FA">
            <w:pPr>
              <w:pStyle w:val="Tabletext"/>
              <w:jc w:val="center"/>
            </w:pPr>
            <w:r>
              <w:t>3,250</w:t>
            </w:r>
          </w:p>
        </w:tc>
      </w:tr>
      <w:tr w:rsidR="00676882" w14:paraId="19EE5325" w14:textId="77777777" w:rsidTr="00DF45FA">
        <w:trPr>
          <w:gridBefore w:val="1"/>
          <w:wBefore w:w="283" w:type="dxa"/>
        </w:trPr>
        <w:tc>
          <w:tcPr>
            <w:tcW w:w="2485" w:type="dxa"/>
            <w:gridSpan w:val="2"/>
            <w:shd w:val="clear" w:color="auto" w:fill="auto"/>
          </w:tcPr>
          <w:p w14:paraId="33B6AE13" w14:textId="77777777" w:rsidR="00676882" w:rsidRDefault="00676882" w:rsidP="00DF45FA">
            <w:pPr>
              <w:pStyle w:val="Tabletext"/>
            </w:pPr>
            <w:r>
              <w:t>Bristol City</w:t>
            </w:r>
          </w:p>
        </w:tc>
        <w:tc>
          <w:tcPr>
            <w:tcW w:w="2485" w:type="dxa"/>
            <w:gridSpan w:val="2"/>
            <w:shd w:val="clear" w:color="auto" w:fill="auto"/>
            <w:vAlign w:val="center"/>
          </w:tcPr>
          <w:p w14:paraId="0240DEB4" w14:textId="77777777" w:rsidR="00676882" w:rsidRDefault="00676882" w:rsidP="00DF45FA">
            <w:pPr>
              <w:pStyle w:val="Tabletext"/>
              <w:jc w:val="center"/>
            </w:pPr>
            <w:r>
              <w:t>43</w:t>
            </w:r>
          </w:p>
        </w:tc>
        <w:tc>
          <w:tcPr>
            <w:tcW w:w="2485" w:type="dxa"/>
            <w:shd w:val="clear" w:color="auto" w:fill="auto"/>
            <w:vAlign w:val="center"/>
          </w:tcPr>
          <w:p w14:paraId="0DAC6407" w14:textId="77777777" w:rsidR="00676882" w:rsidRDefault="00676882" w:rsidP="00DF45FA">
            <w:pPr>
              <w:pStyle w:val="Tabletext"/>
              <w:jc w:val="center"/>
            </w:pPr>
            <w:r>
              <w:t>1</w:t>
            </w:r>
          </w:p>
        </w:tc>
        <w:tc>
          <w:tcPr>
            <w:tcW w:w="2485" w:type="dxa"/>
            <w:gridSpan w:val="3"/>
            <w:shd w:val="clear" w:color="auto" w:fill="auto"/>
            <w:vAlign w:val="center"/>
          </w:tcPr>
          <w:p w14:paraId="298622B5" w14:textId="77777777" w:rsidR="00676882" w:rsidRDefault="00676882" w:rsidP="00DF45FA">
            <w:pPr>
              <w:pStyle w:val="Tabletext"/>
              <w:jc w:val="center"/>
            </w:pPr>
            <w:r>
              <w:t>3,000</w:t>
            </w:r>
          </w:p>
        </w:tc>
      </w:tr>
      <w:tr w:rsidR="00676882" w14:paraId="1B4D675D" w14:textId="77777777" w:rsidTr="00DF45FA">
        <w:trPr>
          <w:gridBefore w:val="1"/>
          <w:wBefore w:w="283" w:type="dxa"/>
        </w:trPr>
        <w:tc>
          <w:tcPr>
            <w:tcW w:w="2485" w:type="dxa"/>
            <w:gridSpan w:val="2"/>
            <w:shd w:val="clear" w:color="auto" w:fill="auto"/>
          </w:tcPr>
          <w:p w14:paraId="66F880AA" w14:textId="77777777" w:rsidR="00676882" w:rsidRDefault="00676882" w:rsidP="00DF45FA">
            <w:pPr>
              <w:pStyle w:val="Tabletext"/>
            </w:pPr>
            <w:r>
              <w:t>Newcastle upon Tyne</w:t>
            </w:r>
          </w:p>
        </w:tc>
        <w:tc>
          <w:tcPr>
            <w:tcW w:w="2485" w:type="dxa"/>
            <w:gridSpan w:val="2"/>
            <w:shd w:val="clear" w:color="auto" w:fill="auto"/>
            <w:vAlign w:val="center"/>
          </w:tcPr>
          <w:p w14:paraId="666CEBDF" w14:textId="77777777" w:rsidR="00676882" w:rsidRDefault="00676882" w:rsidP="00DF45FA">
            <w:pPr>
              <w:pStyle w:val="Tabletext"/>
              <w:jc w:val="center"/>
            </w:pPr>
            <w:r>
              <w:t>36</w:t>
            </w:r>
          </w:p>
        </w:tc>
        <w:tc>
          <w:tcPr>
            <w:tcW w:w="2485" w:type="dxa"/>
            <w:shd w:val="clear" w:color="auto" w:fill="auto"/>
            <w:vAlign w:val="center"/>
          </w:tcPr>
          <w:p w14:paraId="7BA1BC59" w14:textId="77777777" w:rsidR="00676882" w:rsidRDefault="00676882" w:rsidP="00DF45FA">
            <w:pPr>
              <w:pStyle w:val="Tabletext"/>
              <w:jc w:val="center"/>
            </w:pPr>
            <w:r>
              <w:t>2</w:t>
            </w:r>
          </w:p>
        </w:tc>
        <w:tc>
          <w:tcPr>
            <w:tcW w:w="2485" w:type="dxa"/>
            <w:gridSpan w:val="3"/>
            <w:shd w:val="clear" w:color="auto" w:fill="auto"/>
            <w:vAlign w:val="center"/>
          </w:tcPr>
          <w:p w14:paraId="06C3A995" w14:textId="77777777" w:rsidR="00676882" w:rsidRDefault="00676882" w:rsidP="00DF45FA">
            <w:pPr>
              <w:pStyle w:val="Tabletext"/>
              <w:jc w:val="center"/>
            </w:pPr>
            <w:r>
              <w:t>10,000</w:t>
            </w:r>
          </w:p>
        </w:tc>
      </w:tr>
      <w:tr w:rsidR="00676882" w14:paraId="602F090C" w14:textId="77777777" w:rsidTr="00DF45FA">
        <w:trPr>
          <w:gridBefore w:val="1"/>
          <w:wBefore w:w="283" w:type="dxa"/>
        </w:trPr>
        <w:tc>
          <w:tcPr>
            <w:tcW w:w="2485" w:type="dxa"/>
            <w:gridSpan w:val="2"/>
            <w:shd w:val="clear" w:color="auto" w:fill="auto"/>
          </w:tcPr>
          <w:p w14:paraId="0383110A" w14:textId="77777777" w:rsidR="00676882" w:rsidRDefault="00676882" w:rsidP="00DF45FA">
            <w:pPr>
              <w:pStyle w:val="Tabletext"/>
            </w:pPr>
            <w:r>
              <w:t>East Suffolk</w:t>
            </w:r>
          </w:p>
        </w:tc>
        <w:tc>
          <w:tcPr>
            <w:tcW w:w="2485" w:type="dxa"/>
            <w:gridSpan w:val="2"/>
            <w:shd w:val="clear" w:color="auto" w:fill="auto"/>
            <w:vAlign w:val="center"/>
          </w:tcPr>
          <w:p w14:paraId="56314D3A" w14:textId="77777777" w:rsidR="00676882" w:rsidRDefault="00676882" w:rsidP="00DF45FA">
            <w:pPr>
              <w:pStyle w:val="Tabletext"/>
              <w:jc w:val="center"/>
            </w:pPr>
            <w:r>
              <w:t>26</w:t>
            </w:r>
          </w:p>
        </w:tc>
        <w:tc>
          <w:tcPr>
            <w:tcW w:w="2485" w:type="dxa"/>
            <w:shd w:val="clear" w:color="auto" w:fill="auto"/>
            <w:vAlign w:val="center"/>
          </w:tcPr>
          <w:p w14:paraId="3C6C846F" w14:textId="77777777" w:rsidR="00676882" w:rsidRDefault="00676882" w:rsidP="00DF45FA">
            <w:pPr>
              <w:pStyle w:val="Tabletext"/>
              <w:jc w:val="center"/>
            </w:pPr>
            <w:r>
              <w:t>5</w:t>
            </w:r>
          </w:p>
        </w:tc>
        <w:tc>
          <w:tcPr>
            <w:tcW w:w="2485" w:type="dxa"/>
            <w:gridSpan w:val="3"/>
            <w:shd w:val="clear" w:color="auto" w:fill="auto"/>
            <w:vAlign w:val="center"/>
          </w:tcPr>
          <w:p w14:paraId="2A21726A" w14:textId="77777777" w:rsidR="00676882" w:rsidRDefault="00676882" w:rsidP="00DF45FA">
            <w:pPr>
              <w:pStyle w:val="Tabletext"/>
              <w:jc w:val="center"/>
            </w:pPr>
            <w:r>
              <w:t>24,000</w:t>
            </w:r>
          </w:p>
        </w:tc>
      </w:tr>
      <w:tr w:rsidR="00676882" w14:paraId="1E79A0FC" w14:textId="77777777" w:rsidTr="00DF45FA">
        <w:trPr>
          <w:gridBefore w:val="1"/>
          <w:wBefore w:w="283" w:type="dxa"/>
        </w:trPr>
        <w:tc>
          <w:tcPr>
            <w:tcW w:w="2485" w:type="dxa"/>
            <w:gridSpan w:val="2"/>
            <w:shd w:val="clear" w:color="auto" w:fill="auto"/>
          </w:tcPr>
          <w:p w14:paraId="077B0893" w14:textId="77777777" w:rsidR="00676882" w:rsidRDefault="00676882" w:rsidP="00DF45FA">
            <w:pPr>
              <w:pStyle w:val="Tabletext"/>
            </w:pPr>
            <w:r>
              <w:t>Cherwell District</w:t>
            </w:r>
          </w:p>
        </w:tc>
        <w:tc>
          <w:tcPr>
            <w:tcW w:w="2485" w:type="dxa"/>
            <w:gridSpan w:val="2"/>
            <w:shd w:val="clear" w:color="auto" w:fill="auto"/>
            <w:vAlign w:val="center"/>
          </w:tcPr>
          <w:p w14:paraId="1604A282" w14:textId="77777777" w:rsidR="00676882" w:rsidRDefault="00676882" w:rsidP="00DF45FA">
            <w:pPr>
              <w:pStyle w:val="Tabletext"/>
              <w:jc w:val="center"/>
            </w:pPr>
            <w:r>
              <w:t>12</w:t>
            </w:r>
          </w:p>
        </w:tc>
        <w:tc>
          <w:tcPr>
            <w:tcW w:w="2485" w:type="dxa"/>
            <w:shd w:val="clear" w:color="auto" w:fill="auto"/>
            <w:vAlign w:val="center"/>
          </w:tcPr>
          <w:p w14:paraId="4ADB040E" w14:textId="77777777" w:rsidR="00676882" w:rsidRDefault="00676882" w:rsidP="00DF45FA">
            <w:pPr>
              <w:pStyle w:val="Tabletext"/>
              <w:jc w:val="center"/>
            </w:pPr>
            <w:r>
              <w:t>1</w:t>
            </w:r>
          </w:p>
        </w:tc>
        <w:tc>
          <w:tcPr>
            <w:tcW w:w="2485" w:type="dxa"/>
            <w:gridSpan w:val="3"/>
            <w:shd w:val="clear" w:color="auto" w:fill="auto"/>
            <w:vAlign w:val="center"/>
          </w:tcPr>
          <w:p w14:paraId="4F377B14" w14:textId="77777777" w:rsidR="00676882" w:rsidRDefault="00676882" w:rsidP="00DF45FA">
            <w:pPr>
              <w:pStyle w:val="Tabletext"/>
              <w:jc w:val="center"/>
            </w:pPr>
            <w:r>
              <w:t>2,000</w:t>
            </w:r>
          </w:p>
        </w:tc>
      </w:tr>
      <w:tr w:rsidR="00676882" w14:paraId="15CB8EF1" w14:textId="77777777" w:rsidTr="00DF45FA">
        <w:trPr>
          <w:gridBefore w:val="1"/>
          <w:wBefore w:w="283" w:type="dxa"/>
        </w:trPr>
        <w:tc>
          <w:tcPr>
            <w:tcW w:w="2485" w:type="dxa"/>
            <w:gridSpan w:val="2"/>
            <w:shd w:val="clear" w:color="auto" w:fill="auto"/>
          </w:tcPr>
          <w:p w14:paraId="3B219A8B" w14:textId="77777777" w:rsidR="00676882" w:rsidRDefault="00676882" w:rsidP="00DF45FA">
            <w:pPr>
              <w:pStyle w:val="Tabletext"/>
            </w:pPr>
            <w:r>
              <w:t>Amber Valley</w:t>
            </w:r>
          </w:p>
        </w:tc>
        <w:tc>
          <w:tcPr>
            <w:tcW w:w="2485" w:type="dxa"/>
            <w:gridSpan w:val="2"/>
            <w:shd w:val="clear" w:color="auto" w:fill="auto"/>
            <w:vAlign w:val="center"/>
          </w:tcPr>
          <w:p w14:paraId="1332ACC7" w14:textId="77777777" w:rsidR="00676882" w:rsidRDefault="00676882" w:rsidP="00DF45FA">
            <w:pPr>
              <w:pStyle w:val="Tabletext"/>
              <w:jc w:val="center"/>
            </w:pPr>
            <w:r>
              <w:t>11</w:t>
            </w:r>
          </w:p>
        </w:tc>
        <w:tc>
          <w:tcPr>
            <w:tcW w:w="2485" w:type="dxa"/>
            <w:shd w:val="clear" w:color="auto" w:fill="auto"/>
            <w:vAlign w:val="center"/>
          </w:tcPr>
          <w:p w14:paraId="1A1AFF73" w14:textId="77777777" w:rsidR="00676882" w:rsidRDefault="00676882" w:rsidP="00DF45FA">
            <w:pPr>
              <w:pStyle w:val="Tabletext"/>
              <w:jc w:val="center"/>
            </w:pPr>
            <w:r>
              <w:t>0</w:t>
            </w:r>
          </w:p>
        </w:tc>
        <w:tc>
          <w:tcPr>
            <w:tcW w:w="2485" w:type="dxa"/>
            <w:gridSpan w:val="3"/>
            <w:shd w:val="clear" w:color="auto" w:fill="auto"/>
            <w:vAlign w:val="center"/>
          </w:tcPr>
          <w:p w14:paraId="18C69840" w14:textId="77777777" w:rsidR="00676882" w:rsidRDefault="00676882" w:rsidP="00DF45FA">
            <w:pPr>
              <w:pStyle w:val="Tabletext"/>
              <w:jc w:val="center"/>
            </w:pPr>
            <w:r>
              <w:t>0</w:t>
            </w:r>
          </w:p>
        </w:tc>
      </w:tr>
      <w:tr w:rsidR="00676882" w14:paraId="2C4D2CF4" w14:textId="77777777" w:rsidTr="00DF45FA">
        <w:trPr>
          <w:gridBefore w:val="1"/>
          <w:wBefore w:w="283" w:type="dxa"/>
        </w:trPr>
        <w:tc>
          <w:tcPr>
            <w:tcW w:w="2485" w:type="dxa"/>
            <w:gridSpan w:val="2"/>
            <w:shd w:val="clear" w:color="auto" w:fill="auto"/>
          </w:tcPr>
          <w:p w14:paraId="3D37762A" w14:textId="77777777" w:rsidR="00676882" w:rsidRDefault="00676882" w:rsidP="00DF45FA">
            <w:pPr>
              <w:pStyle w:val="Tabletext"/>
            </w:pPr>
            <w:r>
              <w:t>Oxford City</w:t>
            </w:r>
          </w:p>
        </w:tc>
        <w:tc>
          <w:tcPr>
            <w:tcW w:w="2485" w:type="dxa"/>
            <w:gridSpan w:val="2"/>
            <w:shd w:val="clear" w:color="auto" w:fill="auto"/>
            <w:vAlign w:val="center"/>
          </w:tcPr>
          <w:p w14:paraId="13BCEF18" w14:textId="77777777" w:rsidR="00676882" w:rsidRDefault="00676882" w:rsidP="00DF45FA">
            <w:pPr>
              <w:pStyle w:val="Tabletext"/>
              <w:jc w:val="center"/>
            </w:pPr>
            <w:r>
              <w:t>8</w:t>
            </w:r>
          </w:p>
        </w:tc>
        <w:tc>
          <w:tcPr>
            <w:tcW w:w="2485" w:type="dxa"/>
            <w:shd w:val="clear" w:color="auto" w:fill="auto"/>
            <w:vAlign w:val="center"/>
          </w:tcPr>
          <w:p w14:paraId="522D2A48" w14:textId="77777777" w:rsidR="00676882" w:rsidRDefault="00676882" w:rsidP="00DF45FA">
            <w:pPr>
              <w:pStyle w:val="Tabletext"/>
              <w:jc w:val="center"/>
            </w:pPr>
            <w:r>
              <w:t>0</w:t>
            </w:r>
          </w:p>
        </w:tc>
        <w:tc>
          <w:tcPr>
            <w:tcW w:w="2485" w:type="dxa"/>
            <w:gridSpan w:val="3"/>
            <w:shd w:val="clear" w:color="auto" w:fill="auto"/>
            <w:vAlign w:val="center"/>
          </w:tcPr>
          <w:p w14:paraId="29BBFFB3" w14:textId="77777777" w:rsidR="00676882" w:rsidRDefault="00676882" w:rsidP="00DF45FA">
            <w:pPr>
              <w:pStyle w:val="Tabletext"/>
              <w:jc w:val="center"/>
            </w:pPr>
            <w:r>
              <w:t>0</w:t>
            </w:r>
          </w:p>
        </w:tc>
      </w:tr>
      <w:tr w:rsidR="00676882" w14:paraId="04542321" w14:textId="77777777" w:rsidTr="00DF45FA">
        <w:trPr>
          <w:gridBefore w:val="1"/>
          <w:wBefore w:w="283" w:type="dxa"/>
        </w:trPr>
        <w:tc>
          <w:tcPr>
            <w:tcW w:w="2485" w:type="dxa"/>
            <w:gridSpan w:val="2"/>
            <w:shd w:val="clear" w:color="auto" w:fill="auto"/>
          </w:tcPr>
          <w:p w14:paraId="27C24597" w14:textId="77777777" w:rsidR="00676882" w:rsidRDefault="00676882" w:rsidP="00DF45FA">
            <w:pPr>
              <w:pStyle w:val="Tabletext"/>
            </w:pPr>
            <w:r>
              <w:t>North Kasteven</w:t>
            </w:r>
          </w:p>
        </w:tc>
        <w:tc>
          <w:tcPr>
            <w:tcW w:w="2485" w:type="dxa"/>
            <w:gridSpan w:val="2"/>
            <w:shd w:val="clear" w:color="auto" w:fill="auto"/>
            <w:vAlign w:val="center"/>
          </w:tcPr>
          <w:p w14:paraId="62F46721" w14:textId="77777777" w:rsidR="00676882" w:rsidRDefault="00676882" w:rsidP="00DF45FA">
            <w:pPr>
              <w:pStyle w:val="Tabletext"/>
              <w:jc w:val="center"/>
            </w:pPr>
            <w:r>
              <w:t>7</w:t>
            </w:r>
          </w:p>
        </w:tc>
        <w:tc>
          <w:tcPr>
            <w:tcW w:w="2485" w:type="dxa"/>
            <w:shd w:val="clear" w:color="auto" w:fill="auto"/>
            <w:vAlign w:val="center"/>
          </w:tcPr>
          <w:p w14:paraId="55253C72" w14:textId="77777777" w:rsidR="00676882" w:rsidRDefault="00676882" w:rsidP="00DF45FA">
            <w:pPr>
              <w:pStyle w:val="Tabletext"/>
              <w:jc w:val="center"/>
            </w:pPr>
            <w:r>
              <w:t>1</w:t>
            </w:r>
          </w:p>
        </w:tc>
        <w:tc>
          <w:tcPr>
            <w:tcW w:w="2485" w:type="dxa"/>
            <w:gridSpan w:val="3"/>
            <w:shd w:val="clear" w:color="auto" w:fill="auto"/>
            <w:vAlign w:val="center"/>
          </w:tcPr>
          <w:p w14:paraId="108CCAFE" w14:textId="77777777" w:rsidR="00676882" w:rsidRDefault="00676882" w:rsidP="00DF45FA">
            <w:pPr>
              <w:pStyle w:val="Tabletext"/>
              <w:jc w:val="center"/>
            </w:pPr>
            <w:r>
              <w:t>5,000</w:t>
            </w:r>
          </w:p>
        </w:tc>
      </w:tr>
      <w:tr w:rsidR="00676882" w14:paraId="2D80C208" w14:textId="77777777" w:rsidTr="00DF45FA">
        <w:trPr>
          <w:gridBefore w:val="1"/>
          <w:wBefore w:w="283" w:type="dxa"/>
        </w:trPr>
        <w:tc>
          <w:tcPr>
            <w:tcW w:w="2485" w:type="dxa"/>
            <w:gridSpan w:val="2"/>
            <w:shd w:val="clear" w:color="auto" w:fill="auto"/>
          </w:tcPr>
          <w:p w14:paraId="2AD46CF3" w14:textId="77777777" w:rsidR="00676882" w:rsidRDefault="00676882" w:rsidP="00DF45FA">
            <w:pPr>
              <w:pStyle w:val="Tabletext"/>
            </w:pPr>
            <w:r>
              <w:t>Blackpool</w:t>
            </w:r>
          </w:p>
        </w:tc>
        <w:tc>
          <w:tcPr>
            <w:tcW w:w="2485" w:type="dxa"/>
            <w:gridSpan w:val="2"/>
            <w:shd w:val="clear" w:color="auto" w:fill="auto"/>
            <w:vAlign w:val="center"/>
          </w:tcPr>
          <w:p w14:paraId="32647674" w14:textId="77777777" w:rsidR="00676882" w:rsidRDefault="00676882" w:rsidP="00DF45FA">
            <w:pPr>
              <w:pStyle w:val="Tabletext"/>
              <w:jc w:val="center"/>
            </w:pPr>
            <w:r>
              <w:t>4</w:t>
            </w:r>
          </w:p>
        </w:tc>
        <w:tc>
          <w:tcPr>
            <w:tcW w:w="2485" w:type="dxa"/>
            <w:shd w:val="clear" w:color="auto" w:fill="auto"/>
            <w:vAlign w:val="center"/>
          </w:tcPr>
          <w:p w14:paraId="53210141" w14:textId="77777777" w:rsidR="00676882" w:rsidRDefault="00676882" w:rsidP="00DF45FA">
            <w:pPr>
              <w:pStyle w:val="Tabletext"/>
              <w:jc w:val="center"/>
            </w:pPr>
            <w:r>
              <w:t>0</w:t>
            </w:r>
          </w:p>
        </w:tc>
        <w:tc>
          <w:tcPr>
            <w:tcW w:w="2485" w:type="dxa"/>
            <w:gridSpan w:val="3"/>
            <w:shd w:val="clear" w:color="auto" w:fill="auto"/>
            <w:vAlign w:val="center"/>
          </w:tcPr>
          <w:p w14:paraId="3439EE89" w14:textId="77777777" w:rsidR="00676882" w:rsidRDefault="00676882" w:rsidP="00DF45FA">
            <w:pPr>
              <w:pStyle w:val="Tabletext"/>
              <w:jc w:val="center"/>
            </w:pPr>
            <w:r>
              <w:t>0</w:t>
            </w:r>
          </w:p>
        </w:tc>
      </w:tr>
      <w:tr w:rsidR="00676882" w14:paraId="50F6DB5F" w14:textId="77777777" w:rsidTr="00DF45FA">
        <w:trPr>
          <w:gridBefore w:val="1"/>
          <w:wBefore w:w="283" w:type="dxa"/>
        </w:trPr>
        <w:tc>
          <w:tcPr>
            <w:tcW w:w="2485" w:type="dxa"/>
            <w:gridSpan w:val="2"/>
            <w:shd w:val="clear" w:color="auto" w:fill="auto"/>
          </w:tcPr>
          <w:p w14:paraId="3FA07297" w14:textId="77777777" w:rsidR="00676882" w:rsidRDefault="00676882" w:rsidP="00DF45FA">
            <w:pPr>
              <w:pStyle w:val="Tabletext"/>
            </w:pPr>
            <w:r>
              <w:t>Central Bedfordshire</w:t>
            </w:r>
          </w:p>
        </w:tc>
        <w:tc>
          <w:tcPr>
            <w:tcW w:w="2485" w:type="dxa"/>
            <w:gridSpan w:val="2"/>
            <w:shd w:val="clear" w:color="auto" w:fill="auto"/>
            <w:vAlign w:val="center"/>
          </w:tcPr>
          <w:p w14:paraId="0958E1DA" w14:textId="77777777" w:rsidR="00676882" w:rsidRDefault="00676882" w:rsidP="00DF45FA">
            <w:pPr>
              <w:pStyle w:val="Tabletext"/>
              <w:jc w:val="center"/>
            </w:pPr>
            <w:r>
              <w:t>2</w:t>
            </w:r>
          </w:p>
        </w:tc>
        <w:tc>
          <w:tcPr>
            <w:tcW w:w="2485" w:type="dxa"/>
            <w:shd w:val="clear" w:color="auto" w:fill="auto"/>
            <w:vAlign w:val="center"/>
          </w:tcPr>
          <w:p w14:paraId="31DD1740" w14:textId="77777777" w:rsidR="00676882" w:rsidRDefault="00676882" w:rsidP="00DF45FA">
            <w:pPr>
              <w:pStyle w:val="Tabletext"/>
              <w:jc w:val="center"/>
            </w:pPr>
            <w:r>
              <w:t>2</w:t>
            </w:r>
          </w:p>
        </w:tc>
        <w:tc>
          <w:tcPr>
            <w:tcW w:w="2485" w:type="dxa"/>
            <w:gridSpan w:val="3"/>
            <w:shd w:val="clear" w:color="auto" w:fill="auto"/>
            <w:vAlign w:val="center"/>
          </w:tcPr>
          <w:p w14:paraId="09D1CECA" w14:textId="77777777" w:rsidR="00676882" w:rsidRDefault="00676882" w:rsidP="00DF45FA">
            <w:pPr>
              <w:pStyle w:val="Tabletext"/>
              <w:jc w:val="center"/>
            </w:pPr>
            <w:r>
              <w:t>8,000</w:t>
            </w:r>
          </w:p>
        </w:tc>
      </w:tr>
      <w:tr w:rsidR="00676882" w14:paraId="4200AC0D" w14:textId="77777777" w:rsidTr="00DF45FA">
        <w:trPr>
          <w:gridBefore w:val="1"/>
          <w:wBefore w:w="283" w:type="dxa"/>
        </w:trPr>
        <w:tc>
          <w:tcPr>
            <w:tcW w:w="2485" w:type="dxa"/>
            <w:gridSpan w:val="2"/>
            <w:shd w:val="clear" w:color="auto" w:fill="auto"/>
          </w:tcPr>
          <w:p w14:paraId="294AA9FF" w14:textId="77777777" w:rsidR="00676882" w:rsidRDefault="00676882" w:rsidP="00DF45FA">
            <w:pPr>
              <w:pStyle w:val="Tabletext"/>
            </w:pPr>
            <w:r>
              <w:t>Kettering Borough</w:t>
            </w:r>
          </w:p>
        </w:tc>
        <w:tc>
          <w:tcPr>
            <w:tcW w:w="2485" w:type="dxa"/>
            <w:gridSpan w:val="2"/>
            <w:shd w:val="clear" w:color="auto" w:fill="auto"/>
            <w:vAlign w:val="center"/>
          </w:tcPr>
          <w:p w14:paraId="3068775A" w14:textId="77777777" w:rsidR="00676882" w:rsidRDefault="00676882" w:rsidP="00DF45FA">
            <w:pPr>
              <w:pStyle w:val="Tabletext"/>
              <w:jc w:val="center"/>
            </w:pPr>
            <w:r>
              <w:t>1</w:t>
            </w:r>
          </w:p>
        </w:tc>
        <w:tc>
          <w:tcPr>
            <w:tcW w:w="2485" w:type="dxa"/>
            <w:shd w:val="clear" w:color="auto" w:fill="auto"/>
            <w:vAlign w:val="center"/>
          </w:tcPr>
          <w:p w14:paraId="32B777C3" w14:textId="77777777" w:rsidR="00676882" w:rsidRDefault="00676882" w:rsidP="00DF45FA">
            <w:pPr>
              <w:pStyle w:val="Tabletext"/>
              <w:jc w:val="center"/>
            </w:pPr>
            <w:r>
              <w:t>1</w:t>
            </w:r>
          </w:p>
        </w:tc>
        <w:tc>
          <w:tcPr>
            <w:tcW w:w="2485" w:type="dxa"/>
            <w:gridSpan w:val="3"/>
            <w:shd w:val="clear" w:color="auto" w:fill="auto"/>
            <w:vAlign w:val="center"/>
          </w:tcPr>
          <w:p w14:paraId="437A32EE" w14:textId="77777777" w:rsidR="00676882" w:rsidRDefault="00676882" w:rsidP="00DF45FA">
            <w:pPr>
              <w:pStyle w:val="Tabletext"/>
              <w:jc w:val="center"/>
            </w:pPr>
            <w:r>
              <w:t>4,000</w:t>
            </w:r>
          </w:p>
        </w:tc>
      </w:tr>
      <w:tr w:rsidR="00676882" w14:paraId="0158071A" w14:textId="77777777" w:rsidTr="00DF45FA">
        <w:trPr>
          <w:gridBefore w:val="1"/>
          <w:wBefore w:w="283" w:type="dxa"/>
        </w:trPr>
        <w:tc>
          <w:tcPr>
            <w:tcW w:w="2485" w:type="dxa"/>
            <w:gridSpan w:val="2"/>
            <w:shd w:val="clear" w:color="auto" w:fill="auto"/>
          </w:tcPr>
          <w:p w14:paraId="2ED55587" w14:textId="77777777" w:rsidR="00676882" w:rsidRDefault="00676882" w:rsidP="00DF45FA">
            <w:pPr>
              <w:pStyle w:val="Tabletext"/>
            </w:pPr>
            <w:r>
              <w:t>South Derbyshire</w:t>
            </w:r>
          </w:p>
        </w:tc>
        <w:tc>
          <w:tcPr>
            <w:tcW w:w="2485" w:type="dxa"/>
            <w:gridSpan w:val="2"/>
            <w:shd w:val="clear" w:color="auto" w:fill="auto"/>
            <w:vAlign w:val="center"/>
          </w:tcPr>
          <w:p w14:paraId="493ED79C" w14:textId="77777777" w:rsidR="00676882" w:rsidRDefault="00676882" w:rsidP="00DF45FA">
            <w:pPr>
              <w:pStyle w:val="Tabletext"/>
              <w:jc w:val="center"/>
            </w:pPr>
            <w:r>
              <w:t>1</w:t>
            </w:r>
          </w:p>
        </w:tc>
        <w:tc>
          <w:tcPr>
            <w:tcW w:w="2485" w:type="dxa"/>
            <w:shd w:val="clear" w:color="auto" w:fill="auto"/>
            <w:vAlign w:val="center"/>
          </w:tcPr>
          <w:p w14:paraId="0AE26506" w14:textId="77777777" w:rsidR="00676882" w:rsidRDefault="00676882" w:rsidP="00DF45FA">
            <w:pPr>
              <w:pStyle w:val="Tabletext"/>
              <w:jc w:val="center"/>
            </w:pPr>
            <w:r>
              <w:t>1</w:t>
            </w:r>
          </w:p>
        </w:tc>
        <w:tc>
          <w:tcPr>
            <w:tcW w:w="2485" w:type="dxa"/>
            <w:gridSpan w:val="3"/>
            <w:shd w:val="clear" w:color="auto" w:fill="auto"/>
            <w:vAlign w:val="center"/>
          </w:tcPr>
          <w:p w14:paraId="2A4A597E" w14:textId="77777777" w:rsidR="00676882" w:rsidRDefault="00676882" w:rsidP="00DF45FA">
            <w:pPr>
              <w:pStyle w:val="Tabletext"/>
              <w:jc w:val="center"/>
            </w:pPr>
            <w:r>
              <w:t>4,000</w:t>
            </w:r>
          </w:p>
        </w:tc>
      </w:tr>
      <w:tr w:rsidR="00676882" w14:paraId="2449EF74" w14:textId="77777777" w:rsidTr="00DF45FA">
        <w:trPr>
          <w:gridBefore w:val="1"/>
          <w:wBefore w:w="283" w:type="dxa"/>
        </w:trPr>
        <w:tc>
          <w:tcPr>
            <w:tcW w:w="2485" w:type="dxa"/>
            <w:gridSpan w:val="2"/>
            <w:shd w:val="clear" w:color="auto" w:fill="auto"/>
          </w:tcPr>
          <w:p w14:paraId="29151922" w14:textId="77777777" w:rsidR="00676882" w:rsidRDefault="00676882" w:rsidP="00DF45FA">
            <w:pPr>
              <w:pStyle w:val="Tabletext"/>
            </w:pPr>
            <w:r>
              <w:t>Gedling Borough</w:t>
            </w:r>
          </w:p>
        </w:tc>
        <w:tc>
          <w:tcPr>
            <w:tcW w:w="2485" w:type="dxa"/>
            <w:gridSpan w:val="2"/>
            <w:shd w:val="clear" w:color="auto" w:fill="auto"/>
            <w:vAlign w:val="center"/>
          </w:tcPr>
          <w:p w14:paraId="2971F908" w14:textId="77777777" w:rsidR="00676882" w:rsidRDefault="00676882" w:rsidP="00DF45FA">
            <w:pPr>
              <w:pStyle w:val="Tabletext"/>
              <w:jc w:val="center"/>
            </w:pPr>
            <w:r>
              <w:t>1</w:t>
            </w:r>
          </w:p>
        </w:tc>
        <w:tc>
          <w:tcPr>
            <w:tcW w:w="2485" w:type="dxa"/>
            <w:shd w:val="clear" w:color="auto" w:fill="auto"/>
            <w:vAlign w:val="center"/>
          </w:tcPr>
          <w:p w14:paraId="146B786B" w14:textId="77777777" w:rsidR="00676882" w:rsidRDefault="00676882" w:rsidP="00DF45FA">
            <w:pPr>
              <w:pStyle w:val="Tabletext"/>
              <w:jc w:val="center"/>
            </w:pPr>
            <w:r>
              <w:t>1</w:t>
            </w:r>
          </w:p>
        </w:tc>
        <w:tc>
          <w:tcPr>
            <w:tcW w:w="2485" w:type="dxa"/>
            <w:gridSpan w:val="3"/>
            <w:shd w:val="clear" w:color="auto" w:fill="auto"/>
            <w:vAlign w:val="center"/>
          </w:tcPr>
          <w:p w14:paraId="79F76E28" w14:textId="77777777" w:rsidR="00676882" w:rsidRDefault="00676882" w:rsidP="00DF45FA">
            <w:pPr>
              <w:pStyle w:val="Tabletext"/>
              <w:jc w:val="center"/>
            </w:pPr>
            <w:r>
              <w:t>2,350</w:t>
            </w:r>
          </w:p>
        </w:tc>
      </w:tr>
      <w:tr w:rsidR="00676882" w14:paraId="731D6D33" w14:textId="77777777" w:rsidTr="00DF45FA">
        <w:trPr>
          <w:gridBefore w:val="1"/>
          <w:wBefore w:w="283" w:type="dxa"/>
        </w:trPr>
        <w:tc>
          <w:tcPr>
            <w:tcW w:w="2485" w:type="dxa"/>
            <w:gridSpan w:val="2"/>
            <w:shd w:val="clear" w:color="auto" w:fill="auto"/>
          </w:tcPr>
          <w:p w14:paraId="4373FB33" w14:textId="77777777" w:rsidR="00676882" w:rsidRDefault="00676882" w:rsidP="00DF45FA">
            <w:pPr>
              <w:pStyle w:val="Tabletext"/>
            </w:pPr>
            <w:r>
              <w:t>Buckingham</w:t>
            </w:r>
          </w:p>
        </w:tc>
        <w:tc>
          <w:tcPr>
            <w:tcW w:w="2485" w:type="dxa"/>
            <w:gridSpan w:val="2"/>
            <w:shd w:val="clear" w:color="auto" w:fill="auto"/>
            <w:vAlign w:val="center"/>
          </w:tcPr>
          <w:p w14:paraId="5378A6FF" w14:textId="77777777" w:rsidR="00676882" w:rsidRDefault="00676882" w:rsidP="00DF45FA">
            <w:pPr>
              <w:pStyle w:val="Tabletext"/>
              <w:jc w:val="center"/>
            </w:pPr>
            <w:r>
              <w:t>1</w:t>
            </w:r>
          </w:p>
        </w:tc>
        <w:tc>
          <w:tcPr>
            <w:tcW w:w="2485" w:type="dxa"/>
            <w:shd w:val="clear" w:color="auto" w:fill="auto"/>
            <w:vAlign w:val="center"/>
          </w:tcPr>
          <w:p w14:paraId="56AB6BD0" w14:textId="77777777" w:rsidR="00676882" w:rsidRDefault="00676882" w:rsidP="00DF45FA">
            <w:pPr>
              <w:pStyle w:val="Tabletext"/>
              <w:jc w:val="center"/>
            </w:pPr>
            <w:r>
              <w:t>0</w:t>
            </w:r>
          </w:p>
        </w:tc>
        <w:tc>
          <w:tcPr>
            <w:tcW w:w="2485" w:type="dxa"/>
            <w:gridSpan w:val="3"/>
            <w:shd w:val="clear" w:color="auto" w:fill="auto"/>
            <w:vAlign w:val="center"/>
          </w:tcPr>
          <w:p w14:paraId="0953E8FA" w14:textId="77777777" w:rsidR="00676882" w:rsidRDefault="00676882" w:rsidP="00DF45FA">
            <w:pPr>
              <w:pStyle w:val="Tabletext"/>
              <w:jc w:val="center"/>
            </w:pPr>
            <w:r>
              <w:t>0</w:t>
            </w:r>
          </w:p>
        </w:tc>
      </w:tr>
      <w:tr w:rsidR="00676882" w14:paraId="56AB2FF2" w14:textId="77777777" w:rsidTr="00DF45FA">
        <w:trPr>
          <w:gridBefore w:val="1"/>
          <w:wBefore w:w="283" w:type="dxa"/>
        </w:trPr>
        <w:tc>
          <w:tcPr>
            <w:tcW w:w="2485" w:type="dxa"/>
            <w:gridSpan w:val="2"/>
            <w:shd w:val="clear" w:color="auto" w:fill="auto"/>
          </w:tcPr>
          <w:p w14:paraId="4AF32813" w14:textId="77777777" w:rsidR="00676882" w:rsidRDefault="00676882" w:rsidP="00DF45FA">
            <w:pPr>
              <w:pStyle w:val="Tabletext"/>
            </w:pPr>
            <w:r>
              <w:t>Hertsmere</w:t>
            </w:r>
          </w:p>
        </w:tc>
        <w:tc>
          <w:tcPr>
            <w:tcW w:w="2485" w:type="dxa"/>
            <w:gridSpan w:val="2"/>
            <w:shd w:val="clear" w:color="auto" w:fill="auto"/>
            <w:vAlign w:val="center"/>
          </w:tcPr>
          <w:p w14:paraId="6D554621" w14:textId="77777777" w:rsidR="00676882" w:rsidRDefault="00676882" w:rsidP="00DF45FA">
            <w:pPr>
              <w:pStyle w:val="Tabletext"/>
              <w:jc w:val="center"/>
            </w:pPr>
            <w:r>
              <w:t>1</w:t>
            </w:r>
          </w:p>
        </w:tc>
        <w:tc>
          <w:tcPr>
            <w:tcW w:w="2485" w:type="dxa"/>
            <w:shd w:val="clear" w:color="auto" w:fill="auto"/>
            <w:vAlign w:val="center"/>
          </w:tcPr>
          <w:p w14:paraId="7B704909" w14:textId="77777777" w:rsidR="00676882" w:rsidRDefault="00676882" w:rsidP="00DF45FA">
            <w:pPr>
              <w:pStyle w:val="Tabletext"/>
              <w:jc w:val="center"/>
            </w:pPr>
            <w:r>
              <w:t>0</w:t>
            </w:r>
          </w:p>
        </w:tc>
        <w:tc>
          <w:tcPr>
            <w:tcW w:w="2485" w:type="dxa"/>
            <w:gridSpan w:val="3"/>
            <w:shd w:val="clear" w:color="auto" w:fill="auto"/>
            <w:vAlign w:val="center"/>
          </w:tcPr>
          <w:p w14:paraId="1DAED196" w14:textId="77777777" w:rsidR="00676882" w:rsidRDefault="00676882" w:rsidP="00DF45FA">
            <w:pPr>
              <w:pStyle w:val="Tabletext"/>
              <w:jc w:val="center"/>
            </w:pPr>
            <w:r>
              <w:t>0</w:t>
            </w:r>
          </w:p>
        </w:tc>
      </w:tr>
      <w:tr w:rsidR="00676882" w14:paraId="4921A2FA" w14:textId="77777777" w:rsidTr="00DF45FA">
        <w:trPr>
          <w:gridBefore w:val="1"/>
          <w:wBefore w:w="283" w:type="dxa"/>
        </w:trPr>
        <w:tc>
          <w:tcPr>
            <w:tcW w:w="9940" w:type="dxa"/>
            <w:gridSpan w:val="8"/>
            <w:tcBorders>
              <w:bottom w:val="single" w:sz="4" w:space="0" w:color="646464"/>
            </w:tcBorders>
            <w:shd w:val="clear" w:color="auto" w:fill="auto"/>
          </w:tcPr>
          <w:p w14:paraId="005B498F" w14:textId="77777777" w:rsidR="00676882" w:rsidRDefault="00676882" w:rsidP="00DF45FA">
            <w:pPr>
              <w:pStyle w:val="Source"/>
            </w:pPr>
            <w:r>
              <w:t xml:space="preserve">Source: </w:t>
            </w:r>
            <w:sdt>
              <w:sdtPr>
                <w:id w:val="-955405120"/>
                <w:citation/>
              </w:sdtPr>
              <w:sdtContent>
                <w:r>
                  <w:fldChar w:fldCharType="begin"/>
                </w:r>
                <w:r>
                  <w:instrText xml:space="preserve">CITATION Mad20 \n  \l 3081 </w:instrText>
                </w:r>
                <w:r>
                  <w:fldChar w:fldCharType="separate"/>
                </w:r>
                <w:r>
                  <w:rPr>
                    <w:noProof/>
                  </w:rPr>
                  <w:t>(Little punishment for landlords flouting energy efficiency rules designed to protect renters, 2020)</w:t>
                </w:r>
                <w:r>
                  <w:fldChar w:fldCharType="end"/>
                </w:r>
              </w:sdtContent>
            </w:sdt>
          </w:p>
        </w:tc>
      </w:tr>
      <w:tr w:rsidR="00676882" w14:paraId="14CAB8E0" w14:textId="77777777" w:rsidTr="00DF45FA">
        <w:trPr>
          <w:gridBefore w:val="1"/>
          <w:wBefore w:w="283" w:type="dxa"/>
          <w:trHeight w:hRule="exact" w:val="160"/>
        </w:trPr>
        <w:tc>
          <w:tcPr>
            <w:tcW w:w="9940" w:type="dxa"/>
            <w:gridSpan w:val="8"/>
            <w:tcBorders>
              <w:top w:val="single" w:sz="4" w:space="0" w:color="646464"/>
              <w:bottom w:val="nil"/>
            </w:tcBorders>
            <w:shd w:val="clear" w:color="auto" w:fill="auto"/>
          </w:tcPr>
          <w:p w14:paraId="2A763B39" w14:textId="77777777" w:rsidR="00676882" w:rsidRDefault="00676882" w:rsidP="00DF45FA">
            <w:pPr>
              <w:pStyle w:val="spacer"/>
            </w:pPr>
          </w:p>
        </w:tc>
      </w:tr>
    </w:tbl>
    <w:p w14:paraId="40232192" w14:textId="77777777" w:rsidR="00676882" w:rsidRDefault="00676882" w:rsidP="00676882">
      <w:pPr>
        <w:pStyle w:val="Heading2AP"/>
      </w:pPr>
      <w:bookmarkStart w:id="351" w:name="_Toc80712605"/>
      <w:r>
        <w:t>Scotland</w:t>
      </w:r>
      <w:bookmarkEnd w:id="351"/>
    </w:p>
    <w:p w14:paraId="1ECBC0B9" w14:textId="77777777" w:rsidR="00676882" w:rsidRDefault="00676882" w:rsidP="00676882">
      <w:pPr>
        <w:pStyle w:val="Heading3AP"/>
      </w:pPr>
      <w:r>
        <w:t>Policy summary</w:t>
      </w:r>
    </w:p>
    <w:p w14:paraId="09AD3527" w14:textId="77777777" w:rsidR="00676882" w:rsidRDefault="00676882" w:rsidP="00676882">
      <w:pPr>
        <w:pStyle w:val="BodyText"/>
      </w:pPr>
      <w:r>
        <w:t xml:space="preserve">Scotland is currently implementing a minimum standard </w:t>
      </w:r>
      <w:proofErr w:type="gramStart"/>
      <w:r>
        <w:t>similar to</w:t>
      </w:r>
      <w:proofErr w:type="gramEnd"/>
      <w:r>
        <w:t xml:space="preserve"> that in England and Wales, where rental properties must reach a minimum EPC energy rating of E, progressively moving to a D rating at the start of a new tenancy (by 2022). All rental properties will need a D rating regardless of the start of the tenancy by 2025. The standards were to be introduced in 2020 but have been delayed due to COVID-19. The standards are included as part of existing minimum standards for repair, conditions and features of a rental property. </w:t>
      </w:r>
    </w:p>
    <w:p w14:paraId="54DCD8A2" w14:textId="77777777" w:rsidR="00676882" w:rsidRDefault="00676882" w:rsidP="00676882">
      <w:pPr>
        <w:pStyle w:val="Heading3AP"/>
      </w:pPr>
      <w:r>
        <w:t>Implementation and enforcement</w:t>
      </w:r>
    </w:p>
    <w:p w14:paraId="376F92EC" w14:textId="77777777" w:rsidR="00676882" w:rsidRDefault="00676882" w:rsidP="00676882">
      <w:pPr>
        <w:pStyle w:val="BodyText"/>
      </w:pPr>
      <w:r>
        <w:t>The standards were to be phased-in in four steps:</w:t>
      </w:r>
    </w:p>
    <w:p w14:paraId="4E6439EE" w14:textId="77777777" w:rsidR="00676882" w:rsidRDefault="00676882" w:rsidP="00676882">
      <w:pPr>
        <w:pStyle w:val="ListBullet"/>
      </w:pPr>
      <w:r>
        <w:t>from 1 April 2020, any new tenancy requires the property to have an EPC of at least E-level</w:t>
      </w:r>
    </w:p>
    <w:p w14:paraId="760F4343" w14:textId="77777777" w:rsidR="00676882" w:rsidRDefault="00676882" w:rsidP="00676882">
      <w:pPr>
        <w:pStyle w:val="ListBullet"/>
      </w:pPr>
      <w:r>
        <w:t>from 31 March 2020, all rented properties need to have an EPC of at least E-level</w:t>
      </w:r>
    </w:p>
    <w:p w14:paraId="42945F72" w14:textId="77777777" w:rsidR="00676882" w:rsidRDefault="00676882" w:rsidP="00676882">
      <w:pPr>
        <w:pStyle w:val="ListBullet"/>
      </w:pPr>
      <w:r>
        <w:t>from 1 April 2022, any new tenancy will require the property to have an EPC of at least D-level</w:t>
      </w:r>
    </w:p>
    <w:p w14:paraId="511E66DD" w14:textId="77777777" w:rsidR="00676882" w:rsidRDefault="00676882" w:rsidP="00676882">
      <w:pPr>
        <w:pStyle w:val="ListBullet"/>
      </w:pPr>
      <w:r>
        <w:t>from 31 March 2025, all rented properties will need to have an EPC of at least D-level.</w:t>
      </w:r>
    </w:p>
    <w:p w14:paraId="165D0CF2" w14:textId="77777777" w:rsidR="00676882" w:rsidRDefault="00676882" w:rsidP="00676882">
      <w:pPr>
        <w:pStyle w:val="ListBullet"/>
        <w:numPr>
          <w:ilvl w:val="0"/>
          <w:numId w:val="0"/>
        </w:numPr>
      </w:pPr>
      <w:r>
        <w:t>Though, as noted, COVID-19 has delayed the implementation of the regulation, and it is unclear when the measure will be reintroduced.</w:t>
      </w:r>
    </w:p>
    <w:p w14:paraId="0AC65F88" w14:textId="77777777" w:rsidR="00676882" w:rsidRDefault="00676882" w:rsidP="00676882">
      <w:pPr>
        <w:pStyle w:val="BodyText"/>
      </w:pPr>
      <w:r>
        <w:lastRenderedPageBreak/>
        <w:t>As with the policy in England, the EPC should be available to tenants at the time the lease is signed or upon request of local authorities, though local authorities do not often ask for evidence of an EPC. If a property fails to meet the standards, then they are first referred to a Housing and Property Chamber, a specialist body that helps tenants and rental providers mediate disputes. There are penalties of up to £4,000 for failure to comply, with an additional £2,000 for failure to comply with a previous compliance notice.</w:t>
      </w:r>
    </w:p>
    <w:p w14:paraId="774BA00C" w14:textId="77777777" w:rsidR="00676882" w:rsidRDefault="00676882" w:rsidP="00676882">
      <w:pPr>
        <w:pStyle w:val="BodyText"/>
      </w:pPr>
      <w:r>
        <w:t>Exemptions for rental providers include:</w:t>
      </w:r>
    </w:p>
    <w:p w14:paraId="2B47DCAE" w14:textId="77777777" w:rsidR="00676882" w:rsidRDefault="00676882" w:rsidP="00676882">
      <w:pPr>
        <w:pStyle w:val="ListBullet"/>
      </w:pPr>
      <w:r>
        <w:t>where improvements have been substantially made, but the rating is not met</w:t>
      </w:r>
    </w:p>
    <w:p w14:paraId="7EE9BD79" w14:textId="77777777" w:rsidR="00676882" w:rsidRDefault="00676882" w:rsidP="00676882">
      <w:pPr>
        <w:pStyle w:val="ListBullet"/>
      </w:pPr>
      <w:r>
        <w:t>improvements will damage the structure</w:t>
      </w:r>
    </w:p>
    <w:p w14:paraId="6816C8FC" w14:textId="77777777" w:rsidR="00676882" w:rsidRDefault="00676882" w:rsidP="00676882">
      <w:pPr>
        <w:pStyle w:val="ListBullet"/>
      </w:pPr>
      <w:r>
        <w:t>tenants prevent work or improvement to take place</w:t>
      </w:r>
    </w:p>
    <w:p w14:paraId="4D295977" w14:textId="77777777" w:rsidR="00676882" w:rsidRDefault="00676882" w:rsidP="00676882">
      <w:pPr>
        <w:pStyle w:val="ListBullet"/>
      </w:pPr>
      <w:r>
        <w:t>there are protected environments at the premises</w:t>
      </w:r>
    </w:p>
    <w:p w14:paraId="465A15FA" w14:textId="77777777" w:rsidR="00676882" w:rsidRDefault="00676882" w:rsidP="00676882">
      <w:pPr>
        <w:pStyle w:val="ListBullet"/>
      </w:pPr>
      <w:r>
        <w:t>improvements are likely to damage the heritage listing or conservation of the property</w:t>
      </w:r>
    </w:p>
    <w:p w14:paraId="0909F94E" w14:textId="77777777" w:rsidR="00676882" w:rsidRDefault="00676882" w:rsidP="00676882">
      <w:pPr>
        <w:pStyle w:val="ListBullet"/>
      </w:pPr>
      <w:r>
        <w:t>when rental providers plan to demolish a property, and a notice of demolition is provided</w:t>
      </w:r>
    </w:p>
    <w:p w14:paraId="5EADE4E0" w14:textId="77777777" w:rsidR="00676882" w:rsidRDefault="00676882" w:rsidP="00676882">
      <w:pPr>
        <w:pStyle w:val="ListBullet"/>
      </w:pPr>
      <w:r>
        <w:t>local authorities create their own exemptions.</w:t>
      </w:r>
    </w:p>
    <w:p w14:paraId="5032406A" w14:textId="77777777" w:rsidR="00676882" w:rsidRDefault="00676882" w:rsidP="00676882">
      <w:pPr>
        <w:pStyle w:val="Heading3AP"/>
      </w:pPr>
      <w:r>
        <w:t>Complementary measures</w:t>
      </w:r>
    </w:p>
    <w:p w14:paraId="32DDF096" w14:textId="77777777" w:rsidR="00676882" w:rsidRDefault="00676882" w:rsidP="00676882">
      <w:pPr>
        <w:pStyle w:val="BodyText"/>
      </w:pPr>
      <w:r>
        <w:t xml:space="preserve">As part of this measure, the Scottish Government-funded Home Energy Scotland to provide support and financial assistance to rental providers. This support includes information, loans and incentives to uptake renewable technologies. Though many these supports are available to all property owners, there is a specific Private Rented Sector Landlord Loan which is based on a quote from a qualified tradesman. </w:t>
      </w:r>
    </w:p>
    <w:p w14:paraId="07636850" w14:textId="77777777" w:rsidR="00676882" w:rsidRDefault="00676882" w:rsidP="00676882">
      <w:pPr>
        <w:pStyle w:val="Heading3AP"/>
      </w:pPr>
      <w:r>
        <w:t>Impacts</w:t>
      </w:r>
    </w:p>
    <w:p w14:paraId="0BA572EC" w14:textId="77777777" w:rsidR="00676882" w:rsidRDefault="00676882" w:rsidP="00676882">
      <w:pPr>
        <w:pStyle w:val="BodyText"/>
      </w:pPr>
      <w:r>
        <w:t xml:space="preserve">The standard has just been introduced, so its impacts have not been evaluated yet. </w:t>
      </w:r>
    </w:p>
    <w:p w14:paraId="65368181" w14:textId="77777777" w:rsidR="00676882" w:rsidRDefault="00676882" w:rsidP="00676882">
      <w:pPr>
        <w:pStyle w:val="Heading2AP"/>
      </w:pPr>
      <w:bookmarkStart w:id="352" w:name="_Toc80712606"/>
      <w:r>
        <w:t>New Zealand</w:t>
      </w:r>
      <w:bookmarkEnd w:id="352"/>
    </w:p>
    <w:p w14:paraId="77130D6C" w14:textId="77777777" w:rsidR="00676882" w:rsidRDefault="00676882" w:rsidP="00676882">
      <w:pPr>
        <w:pStyle w:val="Heading3AP"/>
      </w:pPr>
      <w:r>
        <w:t>Policy summary</w:t>
      </w:r>
    </w:p>
    <w:p w14:paraId="30F6E717" w14:textId="77777777" w:rsidR="00676882" w:rsidRPr="00271C78" w:rsidRDefault="00676882" w:rsidP="00676882">
      <w:pPr>
        <w:pStyle w:val="BodyText"/>
      </w:pPr>
      <w:r w:rsidRPr="00271C78">
        <w:t>The</w:t>
      </w:r>
      <w:r>
        <w:t xml:space="preserve"> </w:t>
      </w:r>
      <w:r w:rsidRPr="00271C78">
        <w:t>New</w:t>
      </w:r>
      <w:r>
        <w:t xml:space="preserve"> </w:t>
      </w:r>
      <w:r w:rsidRPr="00271C78">
        <w:t>Zealand</w:t>
      </w:r>
      <w:r>
        <w:t xml:space="preserve"> </w:t>
      </w:r>
      <w:r w:rsidRPr="00271C78">
        <w:t>Government</w:t>
      </w:r>
      <w:r>
        <w:t xml:space="preserve"> </w:t>
      </w:r>
      <w:r w:rsidRPr="00271C78">
        <w:t>introduced</w:t>
      </w:r>
      <w:r>
        <w:t xml:space="preserve"> </w:t>
      </w:r>
      <w:r w:rsidRPr="00271C78">
        <w:t>regulations</w:t>
      </w:r>
      <w:r>
        <w:t xml:space="preserve"> — the Healthy Homes Standards — that </w:t>
      </w:r>
      <w:r w:rsidRPr="00271C78">
        <w:t>ensure</w:t>
      </w:r>
      <w:r>
        <w:t xml:space="preserve"> </w:t>
      </w:r>
      <w:r w:rsidRPr="00271C78">
        <w:t>that</w:t>
      </w:r>
      <w:r>
        <w:t xml:space="preserve"> </w:t>
      </w:r>
      <w:r w:rsidRPr="00271C78">
        <w:t>all</w:t>
      </w:r>
      <w:r>
        <w:t xml:space="preserve"> </w:t>
      </w:r>
      <w:r w:rsidRPr="00271C78">
        <w:t>rental</w:t>
      </w:r>
      <w:r>
        <w:t xml:space="preserve"> </w:t>
      </w:r>
      <w:r w:rsidRPr="00271C78">
        <w:t>properties</w:t>
      </w:r>
      <w:r>
        <w:t xml:space="preserve"> </w:t>
      </w:r>
      <w:r w:rsidRPr="00271C78">
        <w:t>that</w:t>
      </w:r>
      <w:r>
        <w:t xml:space="preserve"> </w:t>
      </w:r>
      <w:r w:rsidRPr="00271C78">
        <w:t>currently</w:t>
      </w:r>
      <w:r>
        <w:t xml:space="preserve"> </w:t>
      </w:r>
      <w:r w:rsidRPr="00271C78">
        <w:t>have</w:t>
      </w:r>
      <w:r>
        <w:t xml:space="preserve"> </w:t>
      </w:r>
      <w:r w:rsidRPr="00271C78">
        <w:t>no</w:t>
      </w:r>
      <w:r>
        <w:t xml:space="preserve"> </w:t>
      </w:r>
      <w:r w:rsidRPr="00271C78">
        <w:t>or</w:t>
      </w:r>
      <w:r>
        <w:t xml:space="preserve"> </w:t>
      </w:r>
      <w:r w:rsidRPr="00271C78">
        <w:t>substandard</w:t>
      </w:r>
      <w:r>
        <w:t xml:space="preserve"> </w:t>
      </w:r>
      <w:r w:rsidRPr="00271C78">
        <w:t>insulation</w:t>
      </w:r>
      <w:r>
        <w:t xml:space="preserve"> </w:t>
      </w:r>
      <w:r w:rsidRPr="00271C78">
        <w:t>in</w:t>
      </w:r>
      <w:r>
        <w:t xml:space="preserve"> </w:t>
      </w:r>
      <w:r w:rsidRPr="00271C78">
        <w:t>the</w:t>
      </w:r>
      <w:r>
        <w:t xml:space="preserve"> </w:t>
      </w:r>
      <w:r w:rsidRPr="00271C78">
        <w:t>ceiling</w:t>
      </w:r>
      <w:r>
        <w:t xml:space="preserve"> </w:t>
      </w:r>
      <w:r w:rsidRPr="00271C78">
        <w:t>or</w:t>
      </w:r>
      <w:r>
        <w:t xml:space="preserve"> </w:t>
      </w:r>
      <w:r w:rsidRPr="00271C78">
        <w:t>underfloor</w:t>
      </w:r>
      <w:r>
        <w:t xml:space="preserve"> </w:t>
      </w:r>
      <w:r w:rsidRPr="00271C78">
        <w:t>must</w:t>
      </w:r>
      <w:r>
        <w:t xml:space="preserve"> </w:t>
      </w:r>
      <w:r w:rsidRPr="00271C78">
        <w:t>have</w:t>
      </w:r>
      <w:r>
        <w:t xml:space="preserve"> </w:t>
      </w:r>
      <w:r w:rsidRPr="00271C78">
        <w:t>new</w:t>
      </w:r>
      <w:r>
        <w:t xml:space="preserve"> </w:t>
      </w:r>
      <w:r w:rsidRPr="00271C78">
        <w:t>insulation</w:t>
      </w:r>
      <w:r>
        <w:t xml:space="preserve"> </w:t>
      </w:r>
      <w:r w:rsidRPr="00271C78">
        <w:t>installed</w:t>
      </w:r>
      <w:r>
        <w:t xml:space="preserve"> </w:t>
      </w:r>
      <w:r w:rsidRPr="00271C78">
        <w:t>in</w:t>
      </w:r>
      <w:r>
        <w:t xml:space="preserve"> </w:t>
      </w:r>
      <w:r w:rsidRPr="00271C78">
        <w:t>all</w:t>
      </w:r>
      <w:r>
        <w:t xml:space="preserve"> </w:t>
      </w:r>
      <w:r w:rsidRPr="00271C78">
        <w:t>habitable</w:t>
      </w:r>
      <w:r>
        <w:t xml:space="preserve"> </w:t>
      </w:r>
      <w:r w:rsidRPr="00271C78">
        <w:t>spaces</w:t>
      </w:r>
      <w:r>
        <w:t xml:space="preserve"> </w:t>
      </w:r>
      <w:r w:rsidRPr="00271C78">
        <w:t>(where</w:t>
      </w:r>
      <w:r>
        <w:t xml:space="preserve"> </w:t>
      </w:r>
      <w:r w:rsidRPr="00271C78">
        <w:t>it</w:t>
      </w:r>
      <w:r>
        <w:t xml:space="preserve"> </w:t>
      </w:r>
      <w:r w:rsidRPr="00271C78">
        <w:t>can</w:t>
      </w:r>
      <w:r>
        <w:t xml:space="preserve"> </w:t>
      </w:r>
      <w:r w:rsidRPr="00271C78">
        <w:t>practically</w:t>
      </w:r>
      <w:r>
        <w:t xml:space="preserve"> </w:t>
      </w:r>
      <w:r w:rsidRPr="00271C78">
        <w:t>be</w:t>
      </w:r>
      <w:r>
        <w:t xml:space="preserve"> </w:t>
      </w:r>
      <w:r w:rsidRPr="00271C78">
        <w:t>installed) to</w:t>
      </w:r>
      <w:r>
        <w:t xml:space="preserve"> a minimum thickness of 120mm or to </w:t>
      </w:r>
      <w:r w:rsidRPr="00271C78">
        <w:t>the</w:t>
      </w:r>
      <w:r>
        <w:t xml:space="preserve"> </w:t>
      </w:r>
      <w:r w:rsidRPr="00271C78">
        <w:t>following</w:t>
      </w:r>
      <w:r>
        <w:t xml:space="preserve"> </w:t>
      </w:r>
      <w:r w:rsidRPr="00271C78">
        <w:t>levels</w:t>
      </w:r>
      <w:r>
        <w:t xml:space="preserve"> (as per the 2008 New Zealand Building Code)</w:t>
      </w:r>
      <w:r w:rsidRPr="00271C78">
        <w:t>:</w:t>
      </w:r>
    </w:p>
    <w:p w14:paraId="0B0C24C4" w14:textId="77777777" w:rsidR="00676882" w:rsidRPr="00271C78" w:rsidRDefault="00676882" w:rsidP="00676882">
      <w:pPr>
        <w:pStyle w:val="ListBullet"/>
      </w:pPr>
      <w:r w:rsidRPr="00271C78">
        <w:t>Zones</w:t>
      </w:r>
      <w:r>
        <w:t xml:space="preserve"> </w:t>
      </w:r>
      <w:r w:rsidRPr="00271C78">
        <w:t>1</w:t>
      </w:r>
      <w:r>
        <w:t xml:space="preserve"> </w:t>
      </w:r>
      <w:r w:rsidRPr="00271C78">
        <w:t>and</w:t>
      </w:r>
      <w:r>
        <w:t xml:space="preserve"> </w:t>
      </w:r>
      <w:r w:rsidRPr="00271C78">
        <w:t>2</w:t>
      </w:r>
      <w:r>
        <w:t xml:space="preserve"> </w:t>
      </w:r>
      <w:r w:rsidRPr="00271C78">
        <w:t>(warmest</w:t>
      </w:r>
      <w:r>
        <w:t xml:space="preserve"> </w:t>
      </w:r>
      <w:r w:rsidRPr="00271C78">
        <w:t>and</w:t>
      </w:r>
      <w:r>
        <w:t xml:space="preserve"> </w:t>
      </w:r>
      <w:r w:rsidRPr="00271C78">
        <w:t>intermediate</w:t>
      </w:r>
      <w:r>
        <w:t xml:space="preserve"> </w:t>
      </w:r>
      <w:r w:rsidRPr="00271C78">
        <w:t>areas): Ceiling</w:t>
      </w:r>
      <w:r>
        <w:t xml:space="preserve"> </w:t>
      </w:r>
      <w:r w:rsidRPr="00271C78">
        <w:t>R</w:t>
      </w:r>
      <w:r>
        <w:t xml:space="preserve"> </w:t>
      </w:r>
      <w:r w:rsidRPr="00271C78">
        <w:t>2</w:t>
      </w:r>
      <w:r>
        <w:t>.</w:t>
      </w:r>
      <w:r w:rsidRPr="00271C78">
        <w:t>9,</w:t>
      </w:r>
      <w:r>
        <w:t xml:space="preserve"> </w:t>
      </w:r>
      <w:r w:rsidRPr="00271C78">
        <w:t>Underfloor</w:t>
      </w:r>
      <w:r>
        <w:t xml:space="preserve"> </w:t>
      </w:r>
      <w:r w:rsidRPr="00271C78">
        <w:t>R</w:t>
      </w:r>
      <w:r>
        <w:t xml:space="preserve"> </w:t>
      </w:r>
      <w:r w:rsidRPr="00271C78">
        <w:t>1.3</w:t>
      </w:r>
    </w:p>
    <w:p w14:paraId="6BEB2AA6" w14:textId="77777777" w:rsidR="00676882" w:rsidRPr="00271C78" w:rsidRDefault="00676882" w:rsidP="00676882">
      <w:pPr>
        <w:pStyle w:val="ListBullet"/>
      </w:pPr>
      <w:r w:rsidRPr="00271C78">
        <w:t>Zone</w:t>
      </w:r>
      <w:r>
        <w:t xml:space="preserve"> </w:t>
      </w:r>
      <w:r w:rsidRPr="00271C78">
        <w:t>3</w:t>
      </w:r>
      <w:r>
        <w:t xml:space="preserve"> </w:t>
      </w:r>
      <w:r w:rsidRPr="00271C78">
        <w:t>(coldest</w:t>
      </w:r>
      <w:r>
        <w:t xml:space="preserve"> </w:t>
      </w:r>
      <w:r w:rsidRPr="00271C78">
        <w:t>areas): Ceiling</w:t>
      </w:r>
      <w:r>
        <w:t xml:space="preserve"> </w:t>
      </w:r>
      <w:r w:rsidRPr="00271C78">
        <w:t>R</w:t>
      </w:r>
      <w:r>
        <w:t xml:space="preserve"> </w:t>
      </w:r>
      <w:r w:rsidRPr="00271C78">
        <w:t>3.3,</w:t>
      </w:r>
      <w:r>
        <w:t xml:space="preserve"> </w:t>
      </w:r>
      <w:r w:rsidRPr="00271C78">
        <w:t>Underfloor</w:t>
      </w:r>
      <w:r>
        <w:t xml:space="preserve"> </w:t>
      </w:r>
      <w:r w:rsidRPr="00271C78">
        <w:t>R</w:t>
      </w:r>
      <w:r>
        <w:t xml:space="preserve"> </w:t>
      </w:r>
      <w:r w:rsidRPr="00271C78">
        <w:t>1.3.</w:t>
      </w:r>
      <w:r>
        <w:t xml:space="preserve"> </w:t>
      </w:r>
    </w:p>
    <w:p w14:paraId="37D00C08" w14:textId="77777777" w:rsidR="00676882" w:rsidRDefault="00676882" w:rsidP="00676882">
      <w:pPr>
        <w:pStyle w:val="BodyText"/>
      </w:pPr>
      <w:r w:rsidRPr="00271C78">
        <w:t>The</w:t>
      </w:r>
      <w:r>
        <w:t xml:space="preserve"> </w:t>
      </w:r>
      <w:r w:rsidRPr="00271C78">
        <w:t>three</w:t>
      </w:r>
      <w:r>
        <w:t xml:space="preserve"> </w:t>
      </w:r>
      <w:r w:rsidRPr="00271C78">
        <w:t>climate</w:t>
      </w:r>
      <w:r>
        <w:t xml:space="preserve"> </w:t>
      </w:r>
      <w:r w:rsidRPr="00271C78">
        <w:t>zones</w:t>
      </w:r>
      <w:r>
        <w:t xml:space="preserve"> </w:t>
      </w:r>
      <w:r w:rsidRPr="00271C78">
        <w:t>are</w:t>
      </w:r>
      <w:r>
        <w:t xml:space="preserve"> </w:t>
      </w:r>
      <w:r w:rsidRPr="00271C78">
        <w:t>shown</w:t>
      </w:r>
      <w:r>
        <w:t xml:space="preserve"> </w:t>
      </w:r>
      <w:r w:rsidRPr="00271C78">
        <w:t>in</w:t>
      </w:r>
      <w:r>
        <w:t xml:space="preserve"> </w:t>
      </w:r>
      <w:r w:rsidRPr="009E4AB1">
        <w:fldChar w:fldCharType="begin"/>
      </w:r>
      <w:r w:rsidRPr="009E4AB1">
        <w:instrText xml:space="preserve"> REF _Ref80699332 \h  \* MERGEFORMAT </w:instrText>
      </w:r>
      <w:r w:rsidRPr="009E4AB1">
        <w:fldChar w:fldCharType="separate"/>
      </w:r>
      <w:r w:rsidRPr="00F32FCC">
        <w:t>Figure A.1</w:t>
      </w:r>
      <w:r w:rsidRPr="009E4AB1">
        <w:fldChar w:fldCharType="end"/>
      </w:r>
      <w:r w:rsidRPr="00271C78">
        <w:t>.</w:t>
      </w:r>
    </w:p>
    <w:p w14:paraId="436A4DC5" w14:textId="77777777" w:rsidR="00676882" w:rsidRDefault="00676882" w:rsidP="00676882">
      <w:pPr>
        <w:pStyle w:val="BodyText"/>
        <w:keepNext/>
        <w:keepLines/>
      </w:pPr>
      <w:bookmarkStart w:id="353" w:name="_Ref80699332"/>
      <w:bookmarkStart w:id="354" w:name="_Toc80719281"/>
      <w:r w:rsidRPr="00EA4ED2">
        <w:rPr>
          <w:rStyle w:val="CaptionLabel"/>
        </w:rPr>
        <w:lastRenderedPageBreak/>
        <w:t>Figure </w:t>
      </w:r>
      <w:r w:rsidRPr="00EA4ED2">
        <w:rPr>
          <w:rStyle w:val="CaptionLabel"/>
        </w:rPr>
        <w:fldChar w:fldCharType="begin"/>
      </w:r>
      <w:r w:rsidRPr="00EA4ED2">
        <w:rPr>
          <w:rStyle w:val="CaptionLabel"/>
        </w:rPr>
        <w:instrText xml:space="preserve"> STYLEREF 9 \S \* MERGEFORMAT </w:instrText>
      </w:r>
      <w:r w:rsidRPr="00EA4ED2">
        <w:rPr>
          <w:rStyle w:val="CaptionLabel"/>
        </w:rPr>
        <w:fldChar w:fldCharType="separate"/>
      </w:r>
      <w:r>
        <w:rPr>
          <w:rStyle w:val="CaptionLabel"/>
          <w:noProof/>
        </w:rPr>
        <w:t>A</w:t>
      </w:r>
      <w:r w:rsidRPr="00EA4ED2">
        <w:rPr>
          <w:rStyle w:val="CaptionLabel"/>
        </w:rPr>
        <w:fldChar w:fldCharType="end"/>
      </w:r>
      <w:r w:rsidRPr="00EA4ED2">
        <w:rPr>
          <w:rStyle w:val="CaptionLabel"/>
        </w:rPr>
        <w:t>.</w:t>
      </w:r>
      <w:r w:rsidRPr="00EA4ED2">
        <w:rPr>
          <w:rStyle w:val="CaptionLabel"/>
        </w:rPr>
        <w:fldChar w:fldCharType="begin"/>
      </w:r>
      <w:r w:rsidRPr="00EA4ED2">
        <w:rPr>
          <w:rStyle w:val="CaptionLabel"/>
        </w:rPr>
        <w:instrText xml:space="preserve"> SEQ Figure_AP \* ARABIC \S 9 \* MERGEFORMAT </w:instrText>
      </w:r>
      <w:r w:rsidRPr="00EA4ED2">
        <w:rPr>
          <w:rStyle w:val="CaptionLabel"/>
        </w:rPr>
        <w:fldChar w:fldCharType="separate"/>
      </w:r>
      <w:r>
        <w:rPr>
          <w:rStyle w:val="CaptionLabel"/>
          <w:noProof/>
        </w:rPr>
        <w:t>1</w:t>
      </w:r>
      <w:r w:rsidRPr="00EA4ED2">
        <w:rPr>
          <w:rStyle w:val="CaptionLabel"/>
        </w:rPr>
        <w:fldChar w:fldCharType="end"/>
      </w:r>
      <w:bookmarkEnd w:id="353"/>
      <w:r>
        <w:tab/>
        <w:t>Climatic zones used in NZ insulation regulation for rental properties</w:t>
      </w:r>
      <w:bookmarkEnd w:id="354"/>
    </w:p>
    <w:p w14:paraId="6036679D" w14:textId="77777777" w:rsidR="00676882" w:rsidRDefault="00676882" w:rsidP="00676882">
      <w:pPr>
        <w:pStyle w:val="BodyText"/>
        <w:keepNext/>
        <w:keepLines/>
        <w:spacing w:after="0" w:line="0" w:lineRule="atLeast"/>
      </w:pPr>
      <w:r>
        <w:rPr>
          <w:noProof/>
        </w:rPr>
        <w:drawing>
          <wp:inline distT="0" distB="0" distL="0" distR="0" wp14:anchorId="2D9FC79F" wp14:editId="65B9EAA9">
            <wp:extent cx="4962525" cy="4592235"/>
            <wp:effectExtent l="0" t="0" r="0" b="0"/>
            <wp:docPr id="577" name="Picture 577" descr="A map of New Zealand, with Zone 1 being the northern part of the North Island; Zone 2 being the remainder of most of the North Island; and Zone 3 being all of the South Island and a mountainous part of the North I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 name="Picture 577" descr="A map of New Zealand, with Zone 1 being the northern part of the North Island; Zone 2 being the remainder of most of the North Island; and Zone 3 being all of the South Island and a mountainous part of the North Island."/>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962525" cy="4592235"/>
                    </a:xfrm>
                    <a:prstGeom prst="rect">
                      <a:avLst/>
                    </a:prstGeom>
                    <a:noFill/>
                  </pic:spPr>
                </pic:pic>
              </a:graphicData>
            </a:graphic>
          </wp:inline>
        </w:drawing>
      </w:r>
    </w:p>
    <w:p w14:paraId="2231E534" w14:textId="77777777" w:rsidR="00676882" w:rsidRPr="006B0263" w:rsidRDefault="00676882" w:rsidP="00676882">
      <w:pPr>
        <w:pStyle w:val="BodyText"/>
        <w:keepNext/>
        <w:keepLines/>
        <w:spacing w:before="0" w:line="0" w:lineRule="atLeast"/>
        <w:rPr>
          <w:i/>
          <w:iCs/>
          <w:sz w:val="16"/>
          <w:szCs w:val="16"/>
        </w:rPr>
      </w:pPr>
      <w:r w:rsidRPr="006B0263">
        <w:rPr>
          <w:i/>
          <w:iCs/>
          <w:sz w:val="16"/>
          <w:szCs w:val="16"/>
        </w:rPr>
        <w:t>Source: New Zealand Government Tenancy Services</w:t>
      </w:r>
    </w:p>
    <w:p w14:paraId="6F32B655" w14:textId="77777777" w:rsidR="00676882" w:rsidRDefault="00676882" w:rsidP="00676882">
      <w:pPr>
        <w:pStyle w:val="BodyText"/>
      </w:pPr>
      <w:r>
        <w:t xml:space="preserve">The minimum standards were introduced with </w:t>
      </w:r>
      <w:proofErr w:type="gramStart"/>
      <w:r>
        <w:t>a number of</w:t>
      </w:r>
      <w:proofErr w:type="gramEnd"/>
      <w:r>
        <w:t xml:space="preserve"> other standards, including ventilation, moisture ingress and draught stopping. All properties must also have a heating appliance installed, which can heat the premises to 18°C, of which “inefficient, unaffordable or unhealthy” options — for example, open fire or unflued gas heaters — may not be compliant.</w:t>
      </w:r>
    </w:p>
    <w:p w14:paraId="0789CECC" w14:textId="77777777" w:rsidR="00676882" w:rsidRPr="00271C78" w:rsidRDefault="00676882" w:rsidP="00676882">
      <w:pPr>
        <w:pStyle w:val="BodyText"/>
      </w:pPr>
      <w:r w:rsidRPr="00271C78">
        <w:t>Rental</w:t>
      </w:r>
      <w:r>
        <w:t xml:space="preserve"> </w:t>
      </w:r>
      <w:r w:rsidRPr="00271C78">
        <w:t>properties</w:t>
      </w:r>
      <w:r>
        <w:t xml:space="preserve"> </w:t>
      </w:r>
      <w:r w:rsidRPr="00271C78">
        <w:t>that</w:t>
      </w:r>
      <w:r>
        <w:t xml:space="preserve"> </w:t>
      </w:r>
      <w:r w:rsidRPr="00271C78">
        <w:t>have</w:t>
      </w:r>
      <w:r>
        <w:t xml:space="preserve"> </w:t>
      </w:r>
      <w:r w:rsidRPr="00271C78">
        <w:t>insulation</w:t>
      </w:r>
      <w:r>
        <w:t xml:space="preserve"> </w:t>
      </w:r>
      <w:r w:rsidRPr="00271C78">
        <w:t>that</w:t>
      </w:r>
      <w:r>
        <w:t xml:space="preserve"> </w:t>
      </w:r>
      <w:r w:rsidRPr="00271C78">
        <w:t>was</w:t>
      </w:r>
      <w:r>
        <w:t xml:space="preserve"> </w:t>
      </w:r>
      <w:r w:rsidRPr="00271C78">
        <w:t>installed</w:t>
      </w:r>
      <w:r>
        <w:t xml:space="preserve"> before </w:t>
      </w:r>
      <w:r w:rsidRPr="00271C78">
        <w:t>1</w:t>
      </w:r>
      <w:r>
        <w:t xml:space="preserve"> </w:t>
      </w:r>
      <w:r w:rsidRPr="00271C78">
        <w:t>July</w:t>
      </w:r>
      <w:r>
        <w:t xml:space="preserve"> </w:t>
      </w:r>
      <w:r w:rsidRPr="00271C78">
        <w:t>2016</w:t>
      </w:r>
      <w:r>
        <w:t xml:space="preserve"> </w:t>
      </w:r>
      <w:r w:rsidRPr="00271C78">
        <w:t>must</w:t>
      </w:r>
      <w:r>
        <w:t xml:space="preserve"> </w:t>
      </w:r>
      <w:r w:rsidRPr="00271C78">
        <w:t>be</w:t>
      </w:r>
      <w:r>
        <w:t xml:space="preserve"> </w:t>
      </w:r>
      <w:r w:rsidRPr="00271C78">
        <w:t>upgraded</w:t>
      </w:r>
      <w:r>
        <w:t xml:space="preserve"> </w:t>
      </w:r>
      <w:r w:rsidRPr="00271C78">
        <w:t>if</w:t>
      </w:r>
      <w:r>
        <w:t xml:space="preserve"> </w:t>
      </w:r>
      <w:r w:rsidRPr="00271C78">
        <w:t>the</w:t>
      </w:r>
      <w:r>
        <w:t xml:space="preserve"> </w:t>
      </w:r>
      <w:r w:rsidRPr="00271C78">
        <w:t>ceiling</w:t>
      </w:r>
      <w:r>
        <w:t xml:space="preserve"> </w:t>
      </w:r>
      <w:r w:rsidRPr="00271C78">
        <w:t>and</w:t>
      </w:r>
      <w:r>
        <w:t xml:space="preserve"> </w:t>
      </w:r>
      <w:r w:rsidRPr="00271C78">
        <w:t>underfloor</w:t>
      </w:r>
      <w:r>
        <w:t xml:space="preserve"> </w:t>
      </w:r>
      <w:r w:rsidRPr="00271C78">
        <w:t>insulation</w:t>
      </w:r>
      <w:r>
        <w:t xml:space="preserve"> </w:t>
      </w:r>
      <w:r w:rsidRPr="00271C78">
        <w:t>is</w:t>
      </w:r>
      <w:r>
        <w:t xml:space="preserve"> </w:t>
      </w:r>
      <w:r w:rsidRPr="00271C78">
        <w:t>no</w:t>
      </w:r>
      <w:r>
        <w:t xml:space="preserve"> </w:t>
      </w:r>
      <w:r w:rsidRPr="00271C78">
        <w:t>longer</w:t>
      </w:r>
      <w:r>
        <w:t xml:space="preserve"> </w:t>
      </w:r>
      <w:r w:rsidRPr="00271C78">
        <w:t>in</w:t>
      </w:r>
      <w:r>
        <w:t xml:space="preserve"> </w:t>
      </w:r>
      <w:r w:rsidRPr="00271C78">
        <w:t>reasonable</w:t>
      </w:r>
      <w:r>
        <w:t xml:space="preserve"> </w:t>
      </w:r>
      <w:r w:rsidRPr="00271C78">
        <w:t>condition</w:t>
      </w:r>
      <w:r>
        <w:t xml:space="preserve"> </w:t>
      </w:r>
      <w:r w:rsidRPr="00271C78">
        <w:t>or</w:t>
      </w:r>
      <w:r>
        <w:t xml:space="preserve"> </w:t>
      </w:r>
      <w:r w:rsidRPr="00271C78">
        <w:t>if</w:t>
      </w:r>
      <w:r>
        <w:t xml:space="preserve"> </w:t>
      </w:r>
      <w:r w:rsidRPr="00271C78">
        <w:t>it</w:t>
      </w:r>
      <w:r>
        <w:t xml:space="preserve"> </w:t>
      </w:r>
      <w:r w:rsidRPr="00271C78">
        <w:t>did</w:t>
      </w:r>
      <w:r>
        <w:t xml:space="preserve"> </w:t>
      </w:r>
      <w:r w:rsidRPr="00271C78">
        <w:t>not</w:t>
      </w:r>
      <w:r>
        <w:t xml:space="preserve"> </w:t>
      </w:r>
      <w:r w:rsidRPr="00271C78">
        <w:t>meet</w:t>
      </w:r>
      <w:r>
        <w:t xml:space="preserve"> </w:t>
      </w:r>
      <w:r w:rsidRPr="00271C78">
        <w:t>or</w:t>
      </w:r>
      <w:r>
        <w:t xml:space="preserve"> </w:t>
      </w:r>
      <w:r w:rsidRPr="00271C78">
        <w:t>exceed</w:t>
      </w:r>
      <w:r>
        <w:t xml:space="preserve"> </w:t>
      </w:r>
      <w:r w:rsidRPr="00271C78">
        <w:t>specified</w:t>
      </w:r>
      <w:r>
        <w:t xml:space="preserve"> </w:t>
      </w:r>
      <w:r w:rsidRPr="00271C78">
        <w:t>R-value</w:t>
      </w:r>
      <w:r>
        <w:t xml:space="preserve"> </w:t>
      </w:r>
      <w:r w:rsidRPr="00271C78">
        <w:t>levels</w:t>
      </w:r>
      <w:r>
        <w:t xml:space="preserve"> </w:t>
      </w:r>
      <w:r w:rsidRPr="00271C78">
        <w:t>(Ceiling</w:t>
      </w:r>
      <w:r>
        <w:t xml:space="preserve"> </w:t>
      </w:r>
      <w:r w:rsidRPr="00271C78">
        <w:t>R1</w:t>
      </w:r>
      <w:r>
        <w:t>.</w:t>
      </w:r>
      <w:r w:rsidRPr="00271C78">
        <w:t>9</w:t>
      </w:r>
      <w:r>
        <w:t xml:space="preserve"> </w:t>
      </w:r>
      <w:r w:rsidRPr="00271C78">
        <w:t>for</w:t>
      </w:r>
      <w:r>
        <w:t xml:space="preserve"> </w:t>
      </w:r>
      <w:r w:rsidRPr="00271C78">
        <w:t>lightweight</w:t>
      </w:r>
      <w:r>
        <w:t xml:space="preserve"> </w:t>
      </w:r>
      <w:r w:rsidRPr="00271C78">
        <w:t>construction</w:t>
      </w:r>
      <w:r>
        <w:t xml:space="preserve">, </w:t>
      </w:r>
      <w:proofErr w:type="gramStart"/>
      <w:r w:rsidRPr="00271C78">
        <w:t>e.g.</w:t>
      </w:r>
      <w:proofErr w:type="gramEnd"/>
      <w:r>
        <w:t xml:space="preserve"> </w:t>
      </w:r>
      <w:r w:rsidRPr="00271C78">
        <w:t>timber-framed</w:t>
      </w:r>
      <w:r>
        <w:t>;</w:t>
      </w:r>
      <w:r w:rsidRPr="00271C78">
        <w:t xml:space="preserve"> R</w:t>
      </w:r>
      <w:r>
        <w:t xml:space="preserve"> </w:t>
      </w:r>
      <w:r w:rsidRPr="00271C78">
        <w:t>1.5</w:t>
      </w:r>
      <w:r>
        <w:t xml:space="preserve"> </w:t>
      </w:r>
      <w:r w:rsidRPr="00271C78">
        <w:t>for</w:t>
      </w:r>
      <w:r>
        <w:t xml:space="preserve"> </w:t>
      </w:r>
      <w:r w:rsidRPr="00271C78">
        <w:t>high</w:t>
      </w:r>
      <w:r>
        <w:t xml:space="preserve"> </w:t>
      </w:r>
      <w:r w:rsidRPr="00271C78">
        <w:t>mass</w:t>
      </w:r>
      <w:r>
        <w:t xml:space="preserve"> </w:t>
      </w:r>
      <w:r w:rsidRPr="00271C78">
        <w:t>construction</w:t>
      </w:r>
      <w:r>
        <w:t xml:space="preserve">, </w:t>
      </w:r>
      <w:r w:rsidRPr="00271C78">
        <w:t>e.g.</w:t>
      </w:r>
      <w:r>
        <w:t xml:space="preserve"> </w:t>
      </w:r>
      <w:r w:rsidRPr="00271C78">
        <w:t>concrete</w:t>
      </w:r>
      <w:r>
        <w:t xml:space="preserve"> </w:t>
      </w:r>
      <w:r w:rsidRPr="00271C78">
        <w:t>block</w:t>
      </w:r>
      <w:r>
        <w:t xml:space="preserve"> </w:t>
      </w:r>
      <w:r w:rsidRPr="00271C78">
        <w:t>or</w:t>
      </w:r>
      <w:r>
        <w:t xml:space="preserve"> </w:t>
      </w:r>
      <w:r w:rsidRPr="00271C78">
        <w:t>solid</w:t>
      </w:r>
      <w:r>
        <w:t xml:space="preserve"> </w:t>
      </w:r>
      <w:r w:rsidRPr="00271C78">
        <w:t xml:space="preserve">masonry; </w:t>
      </w:r>
      <w:r>
        <w:t>and R 0.9 for underfloor</w:t>
      </w:r>
      <w:r w:rsidRPr="00271C78">
        <w:t>) at</w:t>
      </w:r>
      <w:r>
        <w:t xml:space="preserve"> </w:t>
      </w:r>
      <w:r w:rsidRPr="00271C78">
        <w:t>the</w:t>
      </w:r>
      <w:r>
        <w:t xml:space="preserve"> </w:t>
      </w:r>
      <w:r w:rsidRPr="00271C78">
        <w:t>time</w:t>
      </w:r>
      <w:r>
        <w:t xml:space="preserve"> </w:t>
      </w:r>
      <w:r w:rsidRPr="00271C78">
        <w:t>the</w:t>
      </w:r>
      <w:r>
        <w:t xml:space="preserve"> </w:t>
      </w:r>
      <w:r w:rsidRPr="00271C78">
        <w:t>insulation</w:t>
      </w:r>
      <w:r>
        <w:t xml:space="preserve"> </w:t>
      </w:r>
      <w:r w:rsidRPr="00271C78">
        <w:t>was</w:t>
      </w:r>
      <w:r>
        <w:t xml:space="preserve"> </w:t>
      </w:r>
      <w:r w:rsidRPr="00271C78">
        <w:t>installed.</w:t>
      </w:r>
      <w:r>
        <w:t xml:space="preserve"> </w:t>
      </w:r>
    </w:p>
    <w:p w14:paraId="4CCF1B96" w14:textId="77777777" w:rsidR="00676882" w:rsidRDefault="00676882" w:rsidP="00676882">
      <w:pPr>
        <w:pStyle w:val="BodyText"/>
      </w:pPr>
      <w:r w:rsidRPr="00271C78">
        <w:t>If</w:t>
      </w:r>
      <w:r>
        <w:t xml:space="preserve"> </w:t>
      </w:r>
      <w:r w:rsidRPr="00271C78">
        <w:t>the</w:t>
      </w:r>
      <w:r>
        <w:t xml:space="preserve"> </w:t>
      </w:r>
      <w:r w:rsidRPr="00271C78">
        <w:t>insulation</w:t>
      </w:r>
      <w:r>
        <w:t xml:space="preserve"> </w:t>
      </w:r>
      <w:r w:rsidRPr="00271C78">
        <w:t>is</w:t>
      </w:r>
      <w:r>
        <w:t xml:space="preserve"> </w:t>
      </w:r>
      <w:r w:rsidRPr="00271C78">
        <w:t>not</w:t>
      </w:r>
      <w:r>
        <w:t xml:space="preserve"> </w:t>
      </w:r>
      <w:r w:rsidRPr="00271C78">
        <w:t>in</w:t>
      </w:r>
      <w:r>
        <w:t xml:space="preserve"> </w:t>
      </w:r>
      <w:r w:rsidRPr="00271C78">
        <w:t>reasonable</w:t>
      </w:r>
      <w:r>
        <w:t xml:space="preserve"> </w:t>
      </w:r>
      <w:r w:rsidRPr="00271C78">
        <w:t>condition,</w:t>
      </w:r>
      <w:r>
        <w:t xml:space="preserve"> </w:t>
      </w:r>
      <w:r w:rsidRPr="00271C78">
        <w:t>is</w:t>
      </w:r>
      <w:r>
        <w:t xml:space="preserve"> </w:t>
      </w:r>
      <w:r w:rsidRPr="00271C78">
        <w:t>damp,</w:t>
      </w:r>
      <w:r>
        <w:t xml:space="preserve"> </w:t>
      </w:r>
      <w:r w:rsidRPr="00271C78">
        <w:t>damaged</w:t>
      </w:r>
      <w:r>
        <w:t xml:space="preserve"> </w:t>
      </w:r>
      <w:r w:rsidRPr="00271C78">
        <w:t>or</w:t>
      </w:r>
      <w:r>
        <w:t xml:space="preserve"> </w:t>
      </w:r>
      <w:r w:rsidRPr="00271C78">
        <w:t>incomplete,</w:t>
      </w:r>
      <w:r>
        <w:t xml:space="preserve"> </w:t>
      </w:r>
      <w:r w:rsidRPr="00271C78">
        <w:t>affected</w:t>
      </w:r>
      <w:r>
        <w:t xml:space="preserve"> </w:t>
      </w:r>
      <w:r w:rsidRPr="00271C78">
        <w:t>areas</w:t>
      </w:r>
      <w:r>
        <w:t xml:space="preserve"> </w:t>
      </w:r>
      <w:r w:rsidRPr="00271C78">
        <w:t>must</w:t>
      </w:r>
      <w:r>
        <w:t xml:space="preserve"> </w:t>
      </w:r>
      <w:r w:rsidRPr="00271C78">
        <w:t>be</w:t>
      </w:r>
      <w:r>
        <w:t xml:space="preserve"> </w:t>
      </w:r>
      <w:r w:rsidRPr="00271C78">
        <w:t>upgraded</w:t>
      </w:r>
      <w:r>
        <w:t xml:space="preserve"> </w:t>
      </w:r>
      <w:r w:rsidRPr="00271C78">
        <w:t>to</w:t>
      </w:r>
      <w:r>
        <w:t xml:space="preserve"> </w:t>
      </w:r>
      <w:r w:rsidRPr="00271C78">
        <w:t>meet</w:t>
      </w:r>
      <w:r>
        <w:t xml:space="preserve"> </w:t>
      </w:r>
      <w:r w:rsidRPr="00271C78">
        <w:t>the</w:t>
      </w:r>
      <w:r>
        <w:t xml:space="preserve"> </w:t>
      </w:r>
      <w:r w:rsidRPr="00271C78">
        <w:t>new</w:t>
      </w:r>
      <w:r>
        <w:t xml:space="preserve"> </w:t>
      </w:r>
      <w:r w:rsidRPr="00271C78">
        <w:t>insulation</w:t>
      </w:r>
      <w:r>
        <w:t xml:space="preserve"> </w:t>
      </w:r>
      <w:r w:rsidRPr="00271C78">
        <w:t>minimum</w:t>
      </w:r>
      <w:r>
        <w:t xml:space="preserve"> </w:t>
      </w:r>
      <w:r w:rsidRPr="00271C78">
        <w:t>requirements.</w:t>
      </w:r>
    </w:p>
    <w:p w14:paraId="40621B2A" w14:textId="77777777" w:rsidR="00676882" w:rsidRDefault="00676882" w:rsidP="00676882">
      <w:pPr>
        <w:pStyle w:val="Heading3AP"/>
      </w:pPr>
      <w:r>
        <w:t>Implementation and enforcement</w:t>
      </w:r>
    </w:p>
    <w:p w14:paraId="0EB8F3A7" w14:textId="77777777" w:rsidR="00676882" w:rsidRDefault="00676882" w:rsidP="00676882">
      <w:pPr>
        <w:pStyle w:val="BodyText"/>
      </w:pPr>
      <w:r w:rsidRPr="00271C78">
        <w:t>The</w:t>
      </w:r>
      <w:r>
        <w:t xml:space="preserve"> </w:t>
      </w:r>
      <w:r w:rsidRPr="00271C78">
        <w:t>standard</w:t>
      </w:r>
      <w:r>
        <w:t xml:space="preserve">s </w:t>
      </w:r>
      <w:r w:rsidRPr="00271C78">
        <w:t>w</w:t>
      </w:r>
      <w:r>
        <w:t xml:space="preserve">ere </w:t>
      </w:r>
      <w:r w:rsidRPr="00271C78">
        <w:t>introduced</w:t>
      </w:r>
      <w:r>
        <w:t xml:space="preserve"> </w:t>
      </w:r>
      <w:r w:rsidRPr="00271C78">
        <w:t>in</w:t>
      </w:r>
      <w:r>
        <w:t xml:space="preserve"> </w:t>
      </w:r>
      <w:r w:rsidRPr="00271C78">
        <w:t>July</w:t>
      </w:r>
      <w:r>
        <w:t xml:space="preserve"> </w:t>
      </w:r>
      <w:r w:rsidRPr="00271C78">
        <w:t>2016</w:t>
      </w:r>
      <w:r>
        <w:t xml:space="preserve"> </w:t>
      </w:r>
      <w:r w:rsidRPr="00271C78">
        <w:t>for</w:t>
      </w:r>
      <w:r>
        <w:t xml:space="preserve"> </w:t>
      </w:r>
      <w:r w:rsidRPr="00271C78">
        <w:t>public</w:t>
      </w:r>
      <w:r>
        <w:t xml:space="preserve"> </w:t>
      </w:r>
      <w:r w:rsidRPr="00271C78">
        <w:t>and</w:t>
      </w:r>
      <w:r>
        <w:t xml:space="preserve"> </w:t>
      </w:r>
      <w:r w:rsidRPr="00271C78">
        <w:t>community</w:t>
      </w:r>
      <w:r>
        <w:t xml:space="preserve"> </w:t>
      </w:r>
      <w:r w:rsidRPr="00271C78">
        <w:t>housing</w:t>
      </w:r>
      <w:r>
        <w:t xml:space="preserve"> </w:t>
      </w:r>
      <w:r w:rsidRPr="00271C78">
        <w:t>and</w:t>
      </w:r>
      <w:r>
        <w:t xml:space="preserve"> </w:t>
      </w:r>
      <w:r w:rsidRPr="00271C78">
        <w:t>July</w:t>
      </w:r>
      <w:r>
        <w:t xml:space="preserve"> </w:t>
      </w:r>
      <w:r w:rsidRPr="00271C78">
        <w:t>2019</w:t>
      </w:r>
      <w:r>
        <w:t xml:space="preserve"> </w:t>
      </w:r>
      <w:r w:rsidRPr="00271C78">
        <w:t>for</w:t>
      </w:r>
      <w:r>
        <w:t xml:space="preserve"> </w:t>
      </w:r>
      <w:r w:rsidRPr="00271C78">
        <w:t>all</w:t>
      </w:r>
      <w:r>
        <w:t xml:space="preserve"> private rental providers</w:t>
      </w:r>
      <w:r w:rsidRPr="00271C78">
        <w:t>.</w:t>
      </w:r>
      <w:r>
        <w:t xml:space="preserve"> Boarding houses and Kāinga Ora (a Maori housing provider) </w:t>
      </w:r>
      <w:proofErr w:type="gramStart"/>
      <w:r>
        <w:t>have to</w:t>
      </w:r>
      <w:proofErr w:type="gramEnd"/>
      <w:r>
        <w:t xml:space="preserve"> comply by 2021 and 2024, respectively. All rental properties must be compliant by 2024, reflecting concerns regarding industry capacity and rental provider ability to comply. All </w:t>
      </w:r>
      <w:r w:rsidRPr="00271C78">
        <w:t>new</w:t>
      </w:r>
      <w:r>
        <w:t xml:space="preserve"> </w:t>
      </w:r>
      <w:r w:rsidRPr="00271C78">
        <w:t>tenancy</w:t>
      </w:r>
      <w:r>
        <w:t xml:space="preserve"> </w:t>
      </w:r>
      <w:r w:rsidRPr="00271C78">
        <w:t>agreements</w:t>
      </w:r>
      <w:r>
        <w:t xml:space="preserve"> </w:t>
      </w:r>
      <w:r w:rsidRPr="00271C78">
        <w:t>will</w:t>
      </w:r>
      <w:r>
        <w:t xml:space="preserve"> </w:t>
      </w:r>
      <w:r w:rsidRPr="00271C78">
        <w:t>have</w:t>
      </w:r>
      <w:r>
        <w:t xml:space="preserve"> </w:t>
      </w:r>
      <w:r w:rsidRPr="00271C78">
        <w:t>to</w:t>
      </w:r>
      <w:r>
        <w:t xml:space="preserve"> </w:t>
      </w:r>
      <w:r w:rsidRPr="00271C78">
        <w:t>include</w:t>
      </w:r>
      <w:r>
        <w:t xml:space="preserve"> </w:t>
      </w:r>
      <w:r w:rsidRPr="00271C78">
        <w:t>a</w:t>
      </w:r>
      <w:r>
        <w:t xml:space="preserve"> </w:t>
      </w:r>
      <w:r w:rsidRPr="00271C78">
        <w:t>statement</w:t>
      </w:r>
      <w:r>
        <w:t xml:space="preserve"> </w:t>
      </w:r>
      <w:r w:rsidRPr="00271C78">
        <w:t>from</w:t>
      </w:r>
      <w:r>
        <w:t xml:space="preserve"> </w:t>
      </w:r>
      <w:r w:rsidRPr="00271C78">
        <w:t>the</w:t>
      </w:r>
      <w:r>
        <w:t xml:space="preserve"> rental provider </w:t>
      </w:r>
      <w:r w:rsidRPr="00271C78">
        <w:t>about</w:t>
      </w:r>
      <w:r>
        <w:t xml:space="preserve"> </w:t>
      </w:r>
      <w:r w:rsidRPr="00271C78">
        <w:t>the</w:t>
      </w:r>
      <w:r>
        <w:t xml:space="preserve"> </w:t>
      </w:r>
      <w:r w:rsidRPr="00271C78">
        <w:t>extent</w:t>
      </w:r>
      <w:r>
        <w:t xml:space="preserve"> </w:t>
      </w:r>
      <w:r w:rsidRPr="00271C78">
        <w:t>of</w:t>
      </w:r>
      <w:r>
        <w:t xml:space="preserve"> </w:t>
      </w:r>
      <w:r w:rsidRPr="00271C78">
        <w:t>insulation</w:t>
      </w:r>
      <w:r>
        <w:t xml:space="preserve"> </w:t>
      </w:r>
      <w:r w:rsidRPr="00271C78">
        <w:t>in</w:t>
      </w:r>
      <w:r>
        <w:t xml:space="preserve"> </w:t>
      </w:r>
      <w:r w:rsidRPr="00271C78">
        <w:t>the</w:t>
      </w:r>
      <w:r>
        <w:t xml:space="preserve"> </w:t>
      </w:r>
      <w:r w:rsidRPr="00271C78">
        <w:t>ceiling,</w:t>
      </w:r>
      <w:r>
        <w:t xml:space="preserve"> </w:t>
      </w:r>
      <w:r w:rsidRPr="00271C78">
        <w:t>underfloor</w:t>
      </w:r>
      <w:r>
        <w:t xml:space="preserve"> </w:t>
      </w:r>
      <w:r w:rsidRPr="00271C78">
        <w:t>and</w:t>
      </w:r>
      <w:r>
        <w:t xml:space="preserve"> </w:t>
      </w:r>
      <w:r w:rsidRPr="00271C78">
        <w:t>walls</w:t>
      </w:r>
      <w:r>
        <w:t xml:space="preserve"> </w:t>
      </w:r>
      <w:r w:rsidRPr="00271C78">
        <w:t>of</w:t>
      </w:r>
      <w:r>
        <w:t xml:space="preserve"> </w:t>
      </w:r>
      <w:r w:rsidRPr="00271C78">
        <w:t>their</w:t>
      </w:r>
      <w:r>
        <w:t xml:space="preserve"> </w:t>
      </w:r>
      <w:r w:rsidRPr="00271C78">
        <w:t>property.</w:t>
      </w:r>
    </w:p>
    <w:p w14:paraId="6867F587" w14:textId="77777777" w:rsidR="00676882" w:rsidRPr="00271C78" w:rsidRDefault="00676882" w:rsidP="00676882">
      <w:pPr>
        <w:pStyle w:val="BodyText"/>
      </w:pPr>
      <w:r>
        <w:t xml:space="preserve">Under the legislation, rental providers are responsible for ensuring compliance of their properties. The Ministry of Housing and Urban Development has an investigations team that will make up to </w:t>
      </w:r>
      <w:r>
        <w:lastRenderedPageBreak/>
        <w:t xml:space="preserve">2,000 risk-based assessments per year. Tenants who believe their property does not meet the standards should first approach their rental provider to resolve the dispute. If the issue is not resolved, the tenant can apply to the Tenancy Tribunal for mediation or a hearing. </w:t>
      </w:r>
    </w:p>
    <w:p w14:paraId="77432E28" w14:textId="77777777" w:rsidR="00676882" w:rsidRPr="00271C78" w:rsidRDefault="00676882" w:rsidP="00676882">
      <w:pPr>
        <w:pStyle w:val="BodyText"/>
      </w:pPr>
      <w:r w:rsidRPr="00271C78">
        <w:t>The</w:t>
      </w:r>
      <w:r>
        <w:t xml:space="preserve"> </w:t>
      </w:r>
      <w:r w:rsidRPr="00271C78">
        <w:t>average</w:t>
      </w:r>
      <w:r>
        <w:t xml:space="preserve"> </w:t>
      </w:r>
      <w:r w:rsidRPr="00271C78">
        <w:t>cost</w:t>
      </w:r>
      <w:r>
        <w:t xml:space="preserve"> </w:t>
      </w:r>
      <w:r w:rsidRPr="00271C78">
        <w:t>of</w:t>
      </w:r>
      <w:r>
        <w:t xml:space="preserve"> </w:t>
      </w:r>
      <w:r w:rsidRPr="00271C78">
        <w:t>retrofitting</w:t>
      </w:r>
      <w:r>
        <w:t xml:space="preserve"> </w:t>
      </w:r>
      <w:r w:rsidRPr="00271C78">
        <w:t>both</w:t>
      </w:r>
      <w:r>
        <w:t xml:space="preserve"> </w:t>
      </w:r>
      <w:r w:rsidRPr="00271C78">
        <w:t>ceiling</w:t>
      </w:r>
      <w:r>
        <w:t xml:space="preserve"> </w:t>
      </w:r>
      <w:r w:rsidRPr="00271C78">
        <w:t>and</w:t>
      </w:r>
      <w:r>
        <w:t xml:space="preserve"> </w:t>
      </w:r>
      <w:r w:rsidRPr="00271C78">
        <w:t>floor</w:t>
      </w:r>
      <w:r>
        <w:t xml:space="preserve"> </w:t>
      </w:r>
      <w:r w:rsidRPr="00271C78">
        <w:t>insulation</w:t>
      </w:r>
      <w:r>
        <w:t xml:space="preserve"> </w:t>
      </w:r>
      <w:r w:rsidRPr="00271C78">
        <w:t>has</w:t>
      </w:r>
      <w:r>
        <w:t xml:space="preserve"> </w:t>
      </w:r>
      <w:r w:rsidRPr="00271C78">
        <w:t>been</w:t>
      </w:r>
      <w:r>
        <w:t xml:space="preserve"> </w:t>
      </w:r>
      <w:r w:rsidRPr="00271C78">
        <w:t>estimated</w:t>
      </w:r>
      <w:r>
        <w:t xml:space="preserve"> </w:t>
      </w:r>
      <w:r w:rsidRPr="00271C78">
        <w:t>at</w:t>
      </w:r>
      <w:r>
        <w:t xml:space="preserve"> </w:t>
      </w:r>
      <w:r w:rsidRPr="00271C78">
        <w:t>approximately</w:t>
      </w:r>
      <w:r>
        <w:t xml:space="preserve"> </w:t>
      </w:r>
      <w:r w:rsidRPr="00271C78">
        <w:t>$NZ3</w:t>
      </w:r>
      <w:r>
        <w:t>,</w:t>
      </w:r>
      <w:r w:rsidRPr="00271C78">
        <w:t>300</w:t>
      </w:r>
      <w:r>
        <w:t xml:space="preserve"> </w:t>
      </w:r>
      <w:r w:rsidRPr="00271C78">
        <w:t>(excluding</w:t>
      </w:r>
      <w:r>
        <w:t xml:space="preserve"> </w:t>
      </w:r>
      <w:r w:rsidRPr="00271C78">
        <w:t>GST),</w:t>
      </w:r>
      <w:r>
        <w:t xml:space="preserve"> </w:t>
      </w:r>
      <w:r w:rsidRPr="00271C78">
        <w:t>which</w:t>
      </w:r>
      <w:r>
        <w:t xml:space="preserve"> </w:t>
      </w:r>
      <w:r w:rsidRPr="00271C78">
        <w:t>is</w:t>
      </w:r>
      <w:r>
        <w:t xml:space="preserve"> </w:t>
      </w:r>
      <w:r w:rsidRPr="00271C78">
        <w:t>borne</w:t>
      </w:r>
      <w:r>
        <w:t xml:space="preserve"> </w:t>
      </w:r>
      <w:r w:rsidRPr="00271C78">
        <w:t>by</w:t>
      </w:r>
      <w:r>
        <w:t xml:space="preserve"> rental provider</w:t>
      </w:r>
      <w:r w:rsidRPr="00271C78">
        <w:t>s.</w:t>
      </w:r>
      <w:r>
        <w:t xml:space="preserve"> </w:t>
      </w:r>
      <w:r w:rsidRPr="00271C78">
        <w:t>If</w:t>
      </w:r>
      <w:r>
        <w:t xml:space="preserve"> </w:t>
      </w:r>
      <w:r w:rsidRPr="00271C78">
        <w:t>they</w:t>
      </w:r>
      <w:r>
        <w:t xml:space="preserve"> </w:t>
      </w:r>
      <w:r w:rsidRPr="00271C78">
        <w:t>increase</w:t>
      </w:r>
      <w:r>
        <w:t xml:space="preserve"> </w:t>
      </w:r>
      <w:r w:rsidRPr="00271C78">
        <w:t>the</w:t>
      </w:r>
      <w:r>
        <w:t xml:space="preserve"> </w:t>
      </w:r>
      <w:r w:rsidRPr="00271C78">
        <w:t>rent,</w:t>
      </w:r>
      <w:r>
        <w:t xml:space="preserve"> </w:t>
      </w:r>
      <w:r w:rsidRPr="00271C78">
        <w:t>they</w:t>
      </w:r>
      <w:r>
        <w:t xml:space="preserve"> </w:t>
      </w:r>
      <w:r w:rsidRPr="00271C78">
        <w:t>must</w:t>
      </w:r>
      <w:r>
        <w:t xml:space="preserve"> </w:t>
      </w:r>
      <w:r w:rsidRPr="00271C78">
        <w:t>comply</w:t>
      </w:r>
      <w:r>
        <w:t xml:space="preserve"> </w:t>
      </w:r>
      <w:r w:rsidRPr="00271C78">
        <w:t>with</w:t>
      </w:r>
      <w:r>
        <w:t xml:space="preserve"> </w:t>
      </w:r>
      <w:r w:rsidRPr="00271C78">
        <w:t>the</w:t>
      </w:r>
      <w:r>
        <w:t xml:space="preserve"> </w:t>
      </w:r>
      <w:r w:rsidRPr="00271C78">
        <w:t>Residential</w:t>
      </w:r>
      <w:r>
        <w:t xml:space="preserve"> </w:t>
      </w:r>
      <w:r w:rsidRPr="00271C78">
        <w:t>Tenancies</w:t>
      </w:r>
      <w:r>
        <w:t xml:space="preserve"> </w:t>
      </w:r>
      <w:r w:rsidRPr="00271C78">
        <w:t>Act</w:t>
      </w:r>
      <w:r>
        <w:t xml:space="preserve"> </w:t>
      </w:r>
      <w:r w:rsidRPr="00271C78">
        <w:t>and</w:t>
      </w:r>
      <w:r>
        <w:t xml:space="preserve"> </w:t>
      </w:r>
      <w:r w:rsidRPr="00271C78">
        <w:t>give</w:t>
      </w:r>
      <w:r>
        <w:t xml:space="preserve"> </w:t>
      </w:r>
      <w:r w:rsidRPr="00271C78">
        <w:t>60</w:t>
      </w:r>
      <w:r>
        <w:t xml:space="preserve"> </w:t>
      </w:r>
      <w:r w:rsidRPr="00271C78">
        <w:t>days’ notice.</w:t>
      </w:r>
      <w:r>
        <w:t xml:space="preserve"> Penalties for failure to comply include fines of up to NZ$4,000.</w:t>
      </w:r>
    </w:p>
    <w:p w14:paraId="674EA6DF" w14:textId="77777777" w:rsidR="00676882" w:rsidRPr="00271C78" w:rsidRDefault="00676882" w:rsidP="00676882">
      <w:pPr>
        <w:pStyle w:val="BodyText"/>
      </w:pPr>
      <w:r w:rsidRPr="00271C78">
        <w:t>Exemptions</w:t>
      </w:r>
      <w:r>
        <w:t xml:space="preserve"> </w:t>
      </w:r>
      <w:r w:rsidRPr="00271C78">
        <w:t>are</w:t>
      </w:r>
      <w:r>
        <w:t xml:space="preserve"> </w:t>
      </w:r>
      <w:r w:rsidRPr="00271C78">
        <w:t>available</w:t>
      </w:r>
      <w:r>
        <w:t xml:space="preserve"> </w:t>
      </w:r>
      <w:r w:rsidRPr="00271C78">
        <w:t>in</w:t>
      </w:r>
      <w:r>
        <w:t xml:space="preserve"> several </w:t>
      </w:r>
      <w:r w:rsidRPr="00271C78">
        <w:t>circumstances</w:t>
      </w:r>
      <w:r>
        <w:t xml:space="preserve"> for parts of the Healthy Homes standards </w:t>
      </w:r>
      <w:r w:rsidRPr="00271C78">
        <w:t>where:</w:t>
      </w:r>
    </w:p>
    <w:p w14:paraId="4F649A0B" w14:textId="77777777" w:rsidR="00676882" w:rsidRDefault="00676882" w:rsidP="00676882">
      <w:pPr>
        <w:pStyle w:val="ListBullet"/>
      </w:pPr>
      <w:r>
        <w:t>i</w:t>
      </w:r>
      <w:r w:rsidRPr="00271C78">
        <w:t>nstallation</w:t>
      </w:r>
      <w:r>
        <w:t xml:space="preserve"> </w:t>
      </w:r>
      <w:r w:rsidRPr="00271C78">
        <w:t>of</w:t>
      </w:r>
      <w:r>
        <w:t xml:space="preserve"> </w:t>
      </w:r>
      <w:r w:rsidRPr="00271C78">
        <w:t>insulation</w:t>
      </w:r>
      <w:r>
        <w:t xml:space="preserve"> </w:t>
      </w:r>
      <w:r w:rsidRPr="00271C78">
        <w:t>is</w:t>
      </w:r>
      <w:r>
        <w:t xml:space="preserve"> </w:t>
      </w:r>
      <w:r w:rsidRPr="00271C78">
        <w:t>not</w:t>
      </w:r>
      <w:r>
        <w:t xml:space="preserve"> </w:t>
      </w:r>
      <w:r w:rsidRPr="00271C78">
        <w:t>practical</w:t>
      </w:r>
      <w:r>
        <w:t xml:space="preserve"> </w:t>
      </w:r>
      <w:r w:rsidRPr="00271C78">
        <w:t>because</w:t>
      </w:r>
      <w:r>
        <w:t xml:space="preserve"> </w:t>
      </w:r>
      <w:r w:rsidRPr="00271C78">
        <w:t>of</w:t>
      </w:r>
      <w:r>
        <w:t xml:space="preserve"> </w:t>
      </w:r>
      <w:r w:rsidRPr="00271C78">
        <w:t>the</w:t>
      </w:r>
      <w:r>
        <w:t xml:space="preserve"> </w:t>
      </w:r>
      <w:r w:rsidRPr="00271C78">
        <w:t>physical</w:t>
      </w:r>
      <w:r>
        <w:t xml:space="preserve"> </w:t>
      </w:r>
      <w:r w:rsidRPr="00271C78">
        <w:t>design</w:t>
      </w:r>
      <w:r>
        <w:t xml:space="preserve"> </w:t>
      </w:r>
      <w:r w:rsidRPr="00271C78">
        <w:t>or</w:t>
      </w:r>
      <w:r>
        <w:t xml:space="preserve"> </w:t>
      </w:r>
      <w:r w:rsidRPr="00271C78">
        <w:t>construction</w:t>
      </w:r>
      <w:r>
        <w:t xml:space="preserve"> </w:t>
      </w:r>
      <w:r w:rsidRPr="00271C78">
        <w:t>of</w:t>
      </w:r>
      <w:r>
        <w:t xml:space="preserve"> </w:t>
      </w:r>
      <w:r w:rsidRPr="00271C78">
        <w:t>the</w:t>
      </w:r>
      <w:r>
        <w:t xml:space="preserve"> </w:t>
      </w:r>
      <w:r w:rsidRPr="00271C78">
        <w:t>property.</w:t>
      </w:r>
      <w:r>
        <w:t xml:space="preserve"> </w:t>
      </w:r>
      <w:r w:rsidRPr="00271C78">
        <w:t>Guidance</w:t>
      </w:r>
      <w:r>
        <w:t xml:space="preserve"> </w:t>
      </w:r>
      <w:r w:rsidRPr="00271C78">
        <w:t>is</w:t>
      </w:r>
      <w:r>
        <w:t xml:space="preserve"> </w:t>
      </w:r>
      <w:r w:rsidRPr="00271C78">
        <w:t>provided</w:t>
      </w:r>
      <w:r>
        <w:t xml:space="preserve"> </w:t>
      </w:r>
      <w:r w:rsidRPr="00271C78">
        <w:t>on</w:t>
      </w:r>
      <w:r>
        <w:t xml:space="preserve"> </w:t>
      </w:r>
      <w:r w:rsidRPr="00271C78">
        <w:t>what</w:t>
      </w:r>
      <w:r>
        <w:t xml:space="preserve"> </w:t>
      </w:r>
      <w:r w:rsidRPr="00271C78">
        <w:t>is</w:t>
      </w:r>
      <w:r>
        <w:t xml:space="preserve"> </w:t>
      </w:r>
      <w:r w:rsidRPr="00271C78">
        <w:t>‘practical’ and</w:t>
      </w:r>
      <w:r>
        <w:t xml:space="preserve"> </w:t>
      </w:r>
      <w:r w:rsidRPr="00271C78">
        <w:t>relates</w:t>
      </w:r>
      <w:r>
        <w:t xml:space="preserve"> </w:t>
      </w:r>
      <w:r w:rsidRPr="00271C78">
        <w:t xml:space="preserve">to: </w:t>
      </w:r>
    </w:p>
    <w:p w14:paraId="61767A73" w14:textId="77777777" w:rsidR="00676882" w:rsidRDefault="00676882" w:rsidP="00676882">
      <w:pPr>
        <w:pStyle w:val="ListBullet2"/>
      </w:pPr>
      <w:r w:rsidRPr="00271C78">
        <w:t>minimum</w:t>
      </w:r>
      <w:r>
        <w:t xml:space="preserve"> </w:t>
      </w:r>
      <w:r w:rsidRPr="00271C78">
        <w:t>clearance</w:t>
      </w:r>
      <w:r>
        <w:t xml:space="preserve"> </w:t>
      </w:r>
      <w:r w:rsidRPr="00271C78">
        <w:t>space</w:t>
      </w:r>
      <w:r>
        <w:t xml:space="preserve"> </w:t>
      </w:r>
    </w:p>
    <w:p w14:paraId="1944818B" w14:textId="77777777" w:rsidR="00676882" w:rsidRDefault="00676882" w:rsidP="00676882">
      <w:pPr>
        <w:pStyle w:val="ListBullet2"/>
      </w:pPr>
      <w:r w:rsidRPr="00271C78">
        <w:t>size</w:t>
      </w:r>
      <w:r>
        <w:t xml:space="preserve"> </w:t>
      </w:r>
      <w:r w:rsidRPr="00271C78">
        <w:t>of</w:t>
      </w:r>
      <w:r>
        <w:t xml:space="preserve"> </w:t>
      </w:r>
      <w:r w:rsidRPr="00271C78">
        <w:t>the</w:t>
      </w:r>
      <w:r>
        <w:t xml:space="preserve"> </w:t>
      </w:r>
      <w:r w:rsidRPr="00271C78">
        <w:t>access</w:t>
      </w:r>
      <w:r>
        <w:t xml:space="preserve"> </w:t>
      </w:r>
      <w:r w:rsidRPr="00271C78">
        <w:t>hole</w:t>
      </w:r>
      <w:r>
        <w:t xml:space="preserve"> </w:t>
      </w:r>
    </w:p>
    <w:p w14:paraId="742A7D52" w14:textId="77777777" w:rsidR="00676882" w:rsidRPr="00271C78" w:rsidRDefault="00676882" w:rsidP="00676882">
      <w:pPr>
        <w:pStyle w:val="ListBullet2"/>
      </w:pPr>
      <w:r w:rsidRPr="00271C78">
        <w:t>type</w:t>
      </w:r>
      <w:r>
        <w:t xml:space="preserve"> </w:t>
      </w:r>
      <w:r w:rsidRPr="00271C78">
        <w:t>of</w:t>
      </w:r>
      <w:r>
        <w:t xml:space="preserve"> </w:t>
      </w:r>
      <w:r w:rsidRPr="00271C78">
        <w:t>roof</w:t>
      </w:r>
    </w:p>
    <w:p w14:paraId="1D16AC1A" w14:textId="77777777" w:rsidR="00676882" w:rsidRDefault="00676882" w:rsidP="00676882">
      <w:pPr>
        <w:pStyle w:val="ListBullet"/>
      </w:pPr>
      <w:r>
        <w:t>w</w:t>
      </w:r>
      <w:r w:rsidRPr="00271C78">
        <w:t>ithin</w:t>
      </w:r>
      <w:r>
        <w:t xml:space="preserve"> </w:t>
      </w:r>
      <w:r w:rsidRPr="00271C78">
        <w:t>12</w:t>
      </w:r>
      <w:r>
        <w:t xml:space="preserve"> </w:t>
      </w:r>
      <w:r w:rsidRPr="00271C78">
        <w:t>months</w:t>
      </w:r>
      <w:r>
        <w:t xml:space="preserve"> </w:t>
      </w:r>
      <w:r w:rsidRPr="00271C78">
        <w:t>of</w:t>
      </w:r>
      <w:r>
        <w:t xml:space="preserve"> </w:t>
      </w:r>
      <w:r w:rsidRPr="00271C78">
        <w:t>the</w:t>
      </w:r>
      <w:r>
        <w:t xml:space="preserve"> </w:t>
      </w:r>
      <w:r w:rsidRPr="00271C78">
        <w:t>commencement</w:t>
      </w:r>
      <w:r>
        <w:t xml:space="preserve"> </w:t>
      </w:r>
      <w:r w:rsidRPr="00271C78">
        <w:t>of</w:t>
      </w:r>
      <w:r>
        <w:t xml:space="preserve"> </w:t>
      </w:r>
      <w:r w:rsidRPr="00271C78">
        <w:t>a</w:t>
      </w:r>
      <w:r>
        <w:t xml:space="preserve"> </w:t>
      </w:r>
      <w:r w:rsidRPr="00271C78">
        <w:t>tenancy,</w:t>
      </w:r>
      <w:r>
        <w:t xml:space="preserve"> </w:t>
      </w:r>
      <w:r w:rsidRPr="00271C78">
        <w:t>the</w:t>
      </w:r>
      <w:r>
        <w:t xml:space="preserve"> rental provider </w:t>
      </w:r>
      <w:r w:rsidRPr="00271C78">
        <w:t>intends</w:t>
      </w:r>
      <w:r>
        <w:t xml:space="preserve"> </w:t>
      </w:r>
      <w:r w:rsidRPr="00271C78">
        <w:t>to</w:t>
      </w:r>
      <w:r>
        <w:t xml:space="preserve"> </w:t>
      </w:r>
      <w:r w:rsidRPr="00271C78">
        <w:t>demolish</w:t>
      </w:r>
      <w:r>
        <w:t xml:space="preserve"> </w:t>
      </w:r>
      <w:r w:rsidRPr="00271C78">
        <w:t>or</w:t>
      </w:r>
      <w:r>
        <w:t xml:space="preserve"> </w:t>
      </w:r>
      <w:r w:rsidRPr="00271C78">
        <w:t>substantially</w:t>
      </w:r>
      <w:r>
        <w:t xml:space="preserve"> </w:t>
      </w:r>
      <w:r w:rsidRPr="00271C78">
        <w:t>rebuild</w:t>
      </w:r>
      <w:r>
        <w:t xml:space="preserve"> </w:t>
      </w:r>
      <w:r w:rsidRPr="00271C78">
        <w:t>all</w:t>
      </w:r>
      <w:r>
        <w:t xml:space="preserve"> </w:t>
      </w:r>
      <w:r w:rsidRPr="00271C78">
        <w:t>or</w:t>
      </w:r>
      <w:r>
        <w:t xml:space="preserve"> </w:t>
      </w:r>
      <w:r w:rsidRPr="00271C78">
        <w:t>part</w:t>
      </w:r>
      <w:r>
        <w:t xml:space="preserve"> </w:t>
      </w:r>
      <w:r w:rsidRPr="00271C78">
        <w:t>of</w:t>
      </w:r>
      <w:r>
        <w:t xml:space="preserve"> </w:t>
      </w:r>
      <w:r w:rsidRPr="00271C78">
        <w:t>the</w:t>
      </w:r>
      <w:r>
        <w:t xml:space="preserve"> </w:t>
      </w:r>
      <w:r w:rsidRPr="00271C78">
        <w:t>property</w:t>
      </w:r>
    </w:p>
    <w:p w14:paraId="09D517EC" w14:textId="77777777" w:rsidR="00676882" w:rsidRPr="00271C78" w:rsidRDefault="00676882" w:rsidP="00676882">
      <w:pPr>
        <w:pStyle w:val="ListBullet"/>
      </w:pPr>
      <w:r>
        <w:t>the rental provider is not the owner of the whole tenancy building, and upgrades would have to be installed in a part of the building not directly owned</w:t>
      </w:r>
    </w:p>
    <w:p w14:paraId="4F036E3C" w14:textId="77777777" w:rsidR="00676882" w:rsidRDefault="00676882" w:rsidP="00676882">
      <w:pPr>
        <w:pStyle w:val="ListBullet"/>
      </w:pPr>
      <w:r>
        <w:t xml:space="preserve">a </w:t>
      </w:r>
      <w:r w:rsidRPr="00271C78">
        <w:t>property</w:t>
      </w:r>
      <w:r>
        <w:t xml:space="preserve"> </w:t>
      </w:r>
      <w:r w:rsidRPr="00271C78">
        <w:t>is</w:t>
      </w:r>
      <w:r>
        <w:t xml:space="preserve"> </w:t>
      </w:r>
      <w:r w:rsidRPr="00271C78">
        <w:t>purchased</w:t>
      </w:r>
      <w:r>
        <w:t xml:space="preserve"> </w:t>
      </w:r>
      <w:r w:rsidRPr="00271C78">
        <w:t>and</w:t>
      </w:r>
      <w:r>
        <w:t xml:space="preserve"> </w:t>
      </w:r>
      <w:r w:rsidRPr="00271C78">
        <w:t>immediately</w:t>
      </w:r>
      <w:r>
        <w:t xml:space="preserve"> </w:t>
      </w:r>
      <w:r w:rsidRPr="00271C78">
        <w:t>rented</w:t>
      </w:r>
      <w:r>
        <w:t xml:space="preserve"> </w:t>
      </w:r>
      <w:r w:rsidRPr="00271C78">
        <w:t>back</w:t>
      </w:r>
      <w:r>
        <w:t xml:space="preserve"> </w:t>
      </w:r>
      <w:r w:rsidRPr="00271C78">
        <w:t>to</w:t>
      </w:r>
      <w:r>
        <w:t xml:space="preserve"> </w:t>
      </w:r>
      <w:r w:rsidRPr="00271C78">
        <w:t>the</w:t>
      </w:r>
      <w:r>
        <w:t xml:space="preserve"> </w:t>
      </w:r>
      <w:r w:rsidRPr="00271C78">
        <w:t>former</w:t>
      </w:r>
      <w:r>
        <w:t xml:space="preserve"> </w:t>
      </w:r>
      <w:r w:rsidRPr="00271C78">
        <w:t>owner-occupier,</w:t>
      </w:r>
      <w:r>
        <w:t xml:space="preserve"> </w:t>
      </w:r>
      <w:r w:rsidRPr="00271C78">
        <w:t>in</w:t>
      </w:r>
      <w:r>
        <w:t xml:space="preserve"> </w:t>
      </w:r>
      <w:r w:rsidRPr="00271C78">
        <w:t>which</w:t>
      </w:r>
      <w:r>
        <w:t xml:space="preserve"> </w:t>
      </w:r>
      <w:r w:rsidRPr="00271C78">
        <w:t>case</w:t>
      </w:r>
      <w:r>
        <w:t xml:space="preserve"> </w:t>
      </w:r>
      <w:r w:rsidRPr="00271C78">
        <w:t>a</w:t>
      </w:r>
      <w:r>
        <w:t xml:space="preserve"> </w:t>
      </w:r>
      <w:r w:rsidRPr="00271C78">
        <w:t>12-month</w:t>
      </w:r>
      <w:r>
        <w:t xml:space="preserve"> </w:t>
      </w:r>
      <w:r w:rsidRPr="00271C78">
        <w:t>exemption</w:t>
      </w:r>
      <w:r>
        <w:t xml:space="preserve"> </w:t>
      </w:r>
      <w:r w:rsidRPr="00271C78">
        <w:t>will</w:t>
      </w:r>
      <w:r>
        <w:t xml:space="preserve"> </w:t>
      </w:r>
      <w:r w:rsidRPr="00271C78">
        <w:t>apply</w:t>
      </w:r>
      <w:r>
        <w:t xml:space="preserve"> </w:t>
      </w:r>
      <w:r w:rsidRPr="00271C78">
        <w:t>from</w:t>
      </w:r>
      <w:r>
        <w:t xml:space="preserve"> </w:t>
      </w:r>
      <w:r w:rsidRPr="00271C78">
        <w:t>the</w:t>
      </w:r>
      <w:r>
        <w:t xml:space="preserve"> </w:t>
      </w:r>
      <w:r w:rsidRPr="00271C78">
        <w:t>date</w:t>
      </w:r>
      <w:r>
        <w:t xml:space="preserve"> </w:t>
      </w:r>
      <w:r w:rsidRPr="00271C78">
        <w:t>of</w:t>
      </w:r>
      <w:r>
        <w:t xml:space="preserve"> </w:t>
      </w:r>
      <w:r w:rsidRPr="00271C78">
        <w:t>purchase</w:t>
      </w:r>
    </w:p>
    <w:p w14:paraId="51A8C1CC" w14:textId="77777777" w:rsidR="00676882" w:rsidRPr="00271C78" w:rsidRDefault="00676882" w:rsidP="00676882">
      <w:pPr>
        <w:pStyle w:val="ListBullet"/>
      </w:pPr>
      <w:r>
        <w:t>for certified passive buildings.</w:t>
      </w:r>
    </w:p>
    <w:p w14:paraId="521F8C52" w14:textId="77777777" w:rsidR="00676882" w:rsidRDefault="00676882" w:rsidP="00676882">
      <w:pPr>
        <w:pStyle w:val="BodyText"/>
      </w:pPr>
      <w:r>
        <w:t>Like the regulation in England and Wales, the New Zealand regulation has a staged introduction with a considerable lead time. The exemptions provided for in the New Zealand regulation are also sensible from an economic perspective in that regulations should only apply if benefits exceed costs. Lastly, in New Zealand, a credible compliance mechanism has been put in place through the expansion of the Tenancy Tribunal’s enforcement powers and the sizeable sanctions that can be applied to rental providers for non-compliance.</w:t>
      </w:r>
    </w:p>
    <w:p w14:paraId="1F56FE22" w14:textId="77777777" w:rsidR="00676882" w:rsidRDefault="00676882" w:rsidP="00676882">
      <w:pPr>
        <w:pStyle w:val="Heading3AP"/>
      </w:pPr>
      <w:r>
        <w:t>Complementary measures</w:t>
      </w:r>
    </w:p>
    <w:p w14:paraId="676017BF" w14:textId="77777777" w:rsidR="00676882" w:rsidRDefault="00676882" w:rsidP="00676882">
      <w:pPr>
        <w:pStyle w:val="BodyText"/>
      </w:pPr>
      <w:r>
        <w:t xml:space="preserve">The new standards were introduced alongside widespread information and education campaigns to inform rental providers and tenants of their obligations and rights. </w:t>
      </w:r>
    </w:p>
    <w:p w14:paraId="6C7BD978" w14:textId="77777777" w:rsidR="00676882" w:rsidRDefault="00676882" w:rsidP="00676882">
      <w:pPr>
        <w:pStyle w:val="Heading3AP"/>
      </w:pPr>
      <w:r>
        <w:t>Impacts</w:t>
      </w:r>
    </w:p>
    <w:p w14:paraId="6652BDB0" w14:textId="77777777" w:rsidR="00676882" w:rsidRPr="00AE5CD5" w:rsidRDefault="00676882" w:rsidP="00676882">
      <w:pPr>
        <w:pStyle w:val="BodyText"/>
      </w:pPr>
      <w:r w:rsidRPr="00271C78">
        <w:t>A</w:t>
      </w:r>
      <w:r>
        <w:t xml:space="preserve"> </w:t>
      </w:r>
      <w:r w:rsidRPr="00271C78">
        <w:t>regulatory</w:t>
      </w:r>
      <w:r>
        <w:t xml:space="preserve"> </w:t>
      </w:r>
      <w:r w:rsidRPr="00271C78">
        <w:t>impact</w:t>
      </w:r>
      <w:r>
        <w:t xml:space="preserve"> </w:t>
      </w:r>
      <w:r w:rsidRPr="00271C78">
        <w:t>assessment</w:t>
      </w:r>
      <w:r>
        <w:t xml:space="preserve"> </w:t>
      </w:r>
      <w:r w:rsidRPr="00271C78">
        <w:t>of</w:t>
      </w:r>
      <w:r>
        <w:t xml:space="preserve"> </w:t>
      </w:r>
      <w:r w:rsidRPr="00271C78">
        <w:t>the</w:t>
      </w:r>
      <w:r>
        <w:t xml:space="preserve"> </w:t>
      </w:r>
      <w:r w:rsidRPr="00271C78">
        <w:t>new</w:t>
      </w:r>
      <w:r>
        <w:t xml:space="preserve"> </w:t>
      </w:r>
      <w:r w:rsidRPr="00271C78">
        <w:t>regulation</w:t>
      </w:r>
      <w:r>
        <w:t xml:space="preserve">, before its implementation, </w:t>
      </w:r>
      <w:r w:rsidRPr="00271C78">
        <w:t>estimated</w:t>
      </w:r>
      <w:r>
        <w:t xml:space="preserve"> </w:t>
      </w:r>
      <w:r w:rsidRPr="00271C78">
        <w:t>a</w:t>
      </w:r>
      <w:r>
        <w:t xml:space="preserve"> </w:t>
      </w:r>
      <w:r w:rsidRPr="00271C78">
        <w:t>benefit-cost</w:t>
      </w:r>
      <w:r>
        <w:t xml:space="preserve"> </w:t>
      </w:r>
      <w:r w:rsidRPr="00271C78">
        <w:t>ratio</w:t>
      </w:r>
      <w:r>
        <w:t xml:space="preserve"> (BCR) </w:t>
      </w:r>
      <w:r w:rsidRPr="00271C78">
        <w:t>of</w:t>
      </w:r>
      <w:r>
        <w:t xml:space="preserve"> </w:t>
      </w:r>
      <w:r w:rsidRPr="00271C78">
        <w:t>2.1.</w:t>
      </w:r>
      <w:r>
        <w:t xml:space="preserve"> This BCR applied to the broader proposed regulation, which includes the mandatory installation of smoke alarms in rental properties. As the standards are still to be phased-in completely, no analysis of the impacts was identified.</w:t>
      </w:r>
    </w:p>
    <w:p w14:paraId="0F43F4C3" w14:textId="77777777" w:rsidR="00676882" w:rsidRDefault="00676882" w:rsidP="00676882">
      <w:pPr>
        <w:pStyle w:val="Heading2AP"/>
      </w:pPr>
      <w:bookmarkStart w:id="355" w:name="_Toc80712607"/>
      <w:r>
        <w:t>Burlington, Vermont USA</w:t>
      </w:r>
      <w:bookmarkEnd w:id="355"/>
    </w:p>
    <w:p w14:paraId="3D119EED" w14:textId="77777777" w:rsidR="00676882" w:rsidRDefault="00676882" w:rsidP="00676882">
      <w:pPr>
        <w:pStyle w:val="Heading3AP"/>
      </w:pPr>
      <w:r>
        <w:t>Policy summary</w:t>
      </w:r>
    </w:p>
    <w:p w14:paraId="680ACBE1" w14:textId="77777777" w:rsidR="00676882" w:rsidRDefault="00676882" w:rsidP="00676882">
      <w:pPr>
        <w:pStyle w:val="BodyText"/>
      </w:pPr>
      <w:r>
        <w:t xml:space="preserve">The City of Burlington has a city ordinance aimed at dealing with the split-incentive problem related to the energy efficiency of rental properties. Limited vacancy rates, which deprive tenants of choices, are part of the justification of the policy intervention in the market. The ordinance forces rental providers, at the time of sale (TOS), to make investments into energy-saving measures, though they focus on ‘weatherisation improvements’, which are considered the cheapest option. </w:t>
      </w:r>
      <w:r>
        <w:lastRenderedPageBreak/>
        <w:t>This means that a rental property that has been owned for many years is unlikely to be as ‘invested in’ as a property that has been sold multiple times.</w:t>
      </w:r>
    </w:p>
    <w:p w14:paraId="013C5228" w14:textId="77777777" w:rsidR="00676882" w:rsidRDefault="00676882" w:rsidP="00676882">
      <w:pPr>
        <w:pStyle w:val="BodyText"/>
        <w:keepNext/>
      </w:pPr>
      <w:r>
        <w:t>The ordinance lists a series of standards, including:</w:t>
      </w:r>
    </w:p>
    <w:p w14:paraId="02286CBA" w14:textId="77777777" w:rsidR="00676882" w:rsidRDefault="00676882" w:rsidP="00676882">
      <w:pPr>
        <w:pStyle w:val="ListBullet"/>
      </w:pPr>
      <w:r>
        <w:t>insulation</w:t>
      </w:r>
    </w:p>
    <w:p w14:paraId="63DFC4C8" w14:textId="77777777" w:rsidR="00676882" w:rsidRDefault="00676882" w:rsidP="00676882">
      <w:pPr>
        <w:pStyle w:val="ListBullet"/>
      </w:pPr>
      <w:r>
        <w:t>electric water heaters</w:t>
      </w:r>
    </w:p>
    <w:p w14:paraId="1A8D0E40" w14:textId="77777777" w:rsidR="00676882" w:rsidRDefault="00676882" w:rsidP="00676882">
      <w:pPr>
        <w:pStyle w:val="ListBullet"/>
      </w:pPr>
      <w:r>
        <w:t>duct and pipe insulation</w:t>
      </w:r>
    </w:p>
    <w:p w14:paraId="30687376" w14:textId="77777777" w:rsidR="00676882" w:rsidRDefault="00676882" w:rsidP="00676882">
      <w:pPr>
        <w:pStyle w:val="ListBullet"/>
      </w:pPr>
      <w:r>
        <w:t>windows and door glazing</w:t>
      </w:r>
    </w:p>
    <w:p w14:paraId="322230E9" w14:textId="77777777" w:rsidR="00676882" w:rsidRDefault="00676882" w:rsidP="00676882">
      <w:pPr>
        <w:pStyle w:val="ListBullet"/>
      </w:pPr>
      <w:r>
        <w:t>heating and hot water appliances (recommended but not required) though there are separate ordinances around heating appliances.</w:t>
      </w:r>
    </w:p>
    <w:p w14:paraId="64BB3994" w14:textId="77777777" w:rsidR="00676882" w:rsidRDefault="00676882" w:rsidP="00676882">
      <w:pPr>
        <w:pStyle w:val="BodyText"/>
      </w:pPr>
      <w:r>
        <w:t xml:space="preserve">The ordinance requires rental units (focused on apartments where heating is paid for by tenants) to receive an investment of three per cent of the sales price or $1,300, whichever is less, at the time a rental property is sold. A price of investment limit is included to prevent burdensome costs from being passed onto tenants. Estimates are that average costs are between US$650-750. </w:t>
      </w:r>
    </w:p>
    <w:p w14:paraId="7D9CC1EC" w14:textId="77777777" w:rsidR="00676882" w:rsidRDefault="00676882" w:rsidP="00676882">
      <w:pPr>
        <w:pStyle w:val="BodyText"/>
      </w:pPr>
      <w:r>
        <w:t xml:space="preserve">Additionally, any investment is limited to a seven-year payback period. Therefore, if a standard requires a level of insulation that does not pay-off in seven years, it is not required for that property. The above cost-cap (and pay-off term) means that all standards </w:t>
      </w:r>
      <w:r>
        <w:rPr>
          <w:u w:val="single"/>
        </w:rPr>
        <w:t xml:space="preserve">do </w:t>
      </w:r>
      <w:r w:rsidRPr="008A7D6E">
        <w:rPr>
          <w:u w:val="single"/>
        </w:rPr>
        <w:t>not</w:t>
      </w:r>
      <w:r>
        <w:rPr>
          <w:u w:val="single"/>
        </w:rPr>
        <w:t xml:space="preserve"> </w:t>
      </w:r>
      <w:r>
        <w:t xml:space="preserve">need to be met. </w:t>
      </w:r>
      <w:r w:rsidRPr="008A7D6E">
        <w:t>The</w:t>
      </w:r>
      <w:r>
        <w:t xml:space="preserve">refore, the ordinance is primarily a spending threshold rather than an outcome threshold — that is neither feature-based nor performance-based — to incentivise rental providers to make investments that produce a return for both the tenant and the rental provider. </w:t>
      </w:r>
    </w:p>
    <w:p w14:paraId="01C86ECD" w14:textId="77777777" w:rsidR="00676882" w:rsidRDefault="00676882" w:rsidP="00676882">
      <w:pPr>
        <w:pStyle w:val="BodyText"/>
      </w:pPr>
      <w:r>
        <w:t>Burlington is currently extending the policy to all rental properties as part of a new minimum standards housing code. In this new form, the requirement would not just be triggered at the time of sale but rather be applied to all buildings, which would be inspected on a one- to five-year cycle. They also propose to simplify the spending limits to make compliance more straightforward.</w:t>
      </w:r>
    </w:p>
    <w:p w14:paraId="014F6FE4" w14:textId="77777777" w:rsidR="00676882" w:rsidRDefault="00676882" w:rsidP="00676882">
      <w:pPr>
        <w:pStyle w:val="Heading3AP"/>
      </w:pPr>
      <w:r>
        <w:t>Implementation and enforcement</w:t>
      </w:r>
    </w:p>
    <w:p w14:paraId="5F8420E5" w14:textId="77777777" w:rsidR="00676882" w:rsidRDefault="00676882" w:rsidP="00676882">
      <w:pPr>
        <w:pStyle w:val="BodyText"/>
      </w:pPr>
      <w:r>
        <w:t>The policy applies to rental properties at the time of sale for apartments or units where the tenants are required to pay for their own heating costs. Either the buyer or the seller can undertake the works, which can be negotiated.</w:t>
      </w:r>
    </w:p>
    <w:p w14:paraId="6AEEE253" w14:textId="77777777" w:rsidR="00676882" w:rsidRDefault="00676882" w:rsidP="00676882">
      <w:pPr>
        <w:pStyle w:val="BodyText"/>
      </w:pPr>
      <w:r>
        <w:t xml:space="preserve">There is a US$30 administration fee associated with a property inspection associated with installed appliances. There are lists of qualified weatherisation contractors who can undertake these upgrades. </w:t>
      </w:r>
    </w:p>
    <w:p w14:paraId="696D81E3" w14:textId="77777777" w:rsidR="00676882" w:rsidRDefault="00676882" w:rsidP="00676882">
      <w:pPr>
        <w:pStyle w:val="BodyText"/>
      </w:pPr>
      <w:r>
        <w:t>Exemptions to the policy include:</w:t>
      </w:r>
    </w:p>
    <w:p w14:paraId="291CC57F" w14:textId="77777777" w:rsidR="00676882" w:rsidRDefault="00676882" w:rsidP="00676882">
      <w:pPr>
        <w:pStyle w:val="ListBullet"/>
      </w:pPr>
      <w:r>
        <w:t>rental properties not rented between 1 November and 31 March (winter) each year</w:t>
      </w:r>
    </w:p>
    <w:p w14:paraId="4FD15F6B" w14:textId="77777777" w:rsidR="00676882" w:rsidRDefault="00676882" w:rsidP="00676882">
      <w:pPr>
        <w:pStyle w:val="ListBullet"/>
      </w:pPr>
      <w:r>
        <w:t>new constructions subject to other energy efficiency requirements</w:t>
      </w:r>
    </w:p>
    <w:p w14:paraId="2E46743F" w14:textId="77777777" w:rsidR="00676882" w:rsidRDefault="00676882" w:rsidP="00676882">
      <w:pPr>
        <w:pStyle w:val="ListBullet"/>
      </w:pPr>
      <w:r>
        <w:t xml:space="preserve">hotels and motels and other </w:t>
      </w:r>
    </w:p>
    <w:p w14:paraId="5FE66FB3" w14:textId="77777777" w:rsidR="00676882" w:rsidRPr="00712E97" w:rsidRDefault="00676882" w:rsidP="00676882">
      <w:pPr>
        <w:pStyle w:val="ListBullet"/>
      </w:pPr>
      <w:r>
        <w:t xml:space="preserve">buildings or apartments where heating costs are paid by the rental provider. </w:t>
      </w:r>
    </w:p>
    <w:p w14:paraId="26580590" w14:textId="77777777" w:rsidR="00676882" w:rsidRDefault="00676882" w:rsidP="00676882">
      <w:pPr>
        <w:pStyle w:val="Heading3AP"/>
      </w:pPr>
      <w:r>
        <w:t>Complementary measures</w:t>
      </w:r>
    </w:p>
    <w:p w14:paraId="19DA2F7F" w14:textId="77777777" w:rsidR="00676882" w:rsidRDefault="00676882" w:rsidP="00676882">
      <w:pPr>
        <w:pStyle w:val="BodyText"/>
      </w:pPr>
      <w:r>
        <w:t xml:space="preserve">The Burlington Electric Department, the monopoly utility in Burlington, provides </w:t>
      </w:r>
      <w:proofErr w:type="gramStart"/>
      <w:r>
        <w:t>a number of</w:t>
      </w:r>
      <w:proofErr w:type="gramEnd"/>
      <w:r>
        <w:t xml:space="preserve"> energy efficiency programs to help households become energy efficient. This includes information, rebates, technical assistance and electric metering devices. The Burlington Electric Department has programs designed specifically for both tenants and rental providers.</w:t>
      </w:r>
    </w:p>
    <w:p w14:paraId="625CC7DE" w14:textId="77777777" w:rsidR="00676882" w:rsidRDefault="00676882" w:rsidP="00676882">
      <w:pPr>
        <w:pStyle w:val="Heading3AP"/>
      </w:pPr>
      <w:r>
        <w:t>Impacts</w:t>
      </w:r>
    </w:p>
    <w:p w14:paraId="1C6C7A59" w14:textId="77777777" w:rsidR="00676882" w:rsidRDefault="00676882" w:rsidP="00676882">
      <w:pPr>
        <w:pStyle w:val="BodyText"/>
      </w:pPr>
      <w:r>
        <w:t>No analysis of the impacts of the program was identified.</w:t>
      </w:r>
    </w:p>
    <w:p w14:paraId="089E74FD" w14:textId="77777777" w:rsidR="00676882" w:rsidRDefault="00676882" w:rsidP="00676882">
      <w:pPr>
        <w:pStyle w:val="Heading2AP"/>
      </w:pPr>
      <w:bookmarkStart w:id="356" w:name="_Toc80712608"/>
      <w:r>
        <w:lastRenderedPageBreak/>
        <w:t>Boulder, Colorado USA</w:t>
      </w:r>
      <w:bookmarkEnd w:id="356"/>
    </w:p>
    <w:p w14:paraId="41FABA6B" w14:textId="77777777" w:rsidR="00676882" w:rsidRDefault="00676882" w:rsidP="00676882">
      <w:pPr>
        <w:pStyle w:val="Heading3AP"/>
      </w:pPr>
      <w:r>
        <w:t>Policy summary</w:t>
      </w:r>
    </w:p>
    <w:p w14:paraId="4ACE70AA" w14:textId="77777777" w:rsidR="00676882" w:rsidRDefault="00676882" w:rsidP="00676882">
      <w:pPr>
        <w:pStyle w:val="BodyText"/>
      </w:pPr>
      <w:r>
        <w:t>In 2011 “SmartRegs”, an updated form of licencing for rental properties, were introduced by the Boulder City Council. These SmartRegs obliged rental providers to meet a minimum energy efficiency rating using the existing rating system (Home Energy Rating Score) or according to a checklist inspection path, which is a quasi-</w:t>
      </w:r>
      <w:proofErr w:type="gramStart"/>
      <w:r>
        <w:t>feature based</w:t>
      </w:r>
      <w:proofErr w:type="gramEnd"/>
      <w:r>
        <w:t xml:space="preserve"> option for the purpose. The checklist inspection path includes minimums along with </w:t>
      </w:r>
      <w:proofErr w:type="gramStart"/>
      <w:r>
        <w:t>a number of</w:t>
      </w:r>
      <w:proofErr w:type="gramEnd"/>
      <w:r>
        <w:t xml:space="preserve"> aspects of the shell and inclusions, including:</w:t>
      </w:r>
    </w:p>
    <w:p w14:paraId="6CC502C5" w14:textId="77777777" w:rsidR="00676882" w:rsidRDefault="00676882" w:rsidP="00676882">
      <w:pPr>
        <w:pStyle w:val="ListBullet"/>
      </w:pPr>
      <w:r>
        <w:t>water conservation measures such as faucets and appliances</w:t>
      </w:r>
    </w:p>
    <w:p w14:paraId="5D0837AD" w14:textId="77777777" w:rsidR="00676882" w:rsidRDefault="00676882" w:rsidP="00676882">
      <w:pPr>
        <w:pStyle w:val="ListBullet"/>
      </w:pPr>
      <w:r>
        <w:t>wall insulation (R-value)</w:t>
      </w:r>
    </w:p>
    <w:p w14:paraId="1F4CC848" w14:textId="77777777" w:rsidR="00676882" w:rsidRDefault="00676882" w:rsidP="00676882">
      <w:pPr>
        <w:pStyle w:val="ListBullet"/>
      </w:pPr>
      <w:r>
        <w:t>windows</w:t>
      </w:r>
    </w:p>
    <w:p w14:paraId="5FAC433A" w14:textId="77777777" w:rsidR="00676882" w:rsidRDefault="00676882" w:rsidP="00676882">
      <w:pPr>
        <w:pStyle w:val="ListBullet"/>
      </w:pPr>
      <w:r>
        <w:t>ventilation infiltration</w:t>
      </w:r>
    </w:p>
    <w:p w14:paraId="6E9BF670" w14:textId="77777777" w:rsidR="00676882" w:rsidRDefault="00676882" w:rsidP="00676882">
      <w:pPr>
        <w:pStyle w:val="ListBullet"/>
      </w:pPr>
      <w:r>
        <w:t>ceiling insulation (R-value)</w:t>
      </w:r>
    </w:p>
    <w:p w14:paraId="704A15E1" w14:textId="77777777" w:rsidR="00676882" w:rsidRDefault="00676882" w:rsidP="00676882">
      <w:pPr>
        <w:pStyle w:val="ListBullet"/>
      </w:pPr>
      <w:r>
        <w:t>floor insulation (R-value)</w:t>
      </w:r>
    </w:p>
    <w:p w14:paraId="653647DB" w14:textId="77777777" w:rsidR="00676882" w:rsidRDefault="00676882" w:rsidP="00676882">
      <w:pPr>
        <w:pStyle w:val="ListBullet"/>
      </w:pPr>
      <w:r>
        <w:t>pipe/duct insulation</w:t>
      </w:r>
    </w:p>
    <w:p w14:paraId="6E6F84C8" w14:textId="77777777" w:rsidR="00676882" w:rsidRDefault="00676882" w:rsidP="00676882">
      <w:pPr>
        <w:pStyle w:val="ListBullet"/>
      </w:pPr>
      <w:r>
        <w:t>heating/cooling systems installed</w:t>
      </w:r>
    </w:p>
    <w:p w14:paraId="4745DFE5" w14:textId="77777777" w:rsidR="00676882" w:rsidRDefault="00676882" w:rsidP="00676882">
      <w:pPr>
        <w:pStyle w:val="ListBullet"/>
      </w:pPr>
      <w:r>
        <w:t>lighting</w:t>
      </w:r>
    </w:p>
    <w:p w14:paraId="5EAB3C1E" w14:textId="77777777" w:rsidR="00676882" w:rsidRDefault="00676882" w:rsidP="00676882">
      <w:pPr>
        <w:pStyle w:val="ListBullet"/>
      </w:pPr>
      <w:r>
        <w:t>hot water</w:t>
      </w:r>
    </w:p>
    <w:p w14:paraId="6A2E2243" w14:textId="77777777" w:rsidR="00676882" w:rsidRDefault="00676882" w:rsidP="00676882">
      <w:pPr>
        <w:pStyle w:val="ListBullet"/>
      </w:pPr>
      <w:r>
        <w:t>whole house fans</w:t>
      </w:r>
    </w:p>
    <w:p w14:paraId="06E55C9B" w14:textId="77777777" w:rsidR="00676882" w:rsidRDefault="00676882" w:rsidP="00676882">
      <w:pPr>
        <w:pStyle w:val="ListBullet"/>
      </w:pPr>
      <w:r>
        <w:t>refrigeration appliances supplied</w:t>
      </w:r>
    </w:p>
    <w:p w14:paraId="281E47E1" w14:textId="77777777" w:rsidR="00676882" w:rsidRDefault="00676882" w:rsidP="00676882">
      <w:pPr>
        <w:pStyle w:val="ListBullet"/>
      </w:pPr>
      <w:r>
        <w:t>solar thermal</w:t>
      </w:r>
    </w:p>
    <w:p w14:paraId="2CB8449A" w14:textId="77777777" w:rsidR="00676882" w:rsidRDefault="00676882" w:rsidP="00676882">
      <w:pPr>
        <w:pStyle w:val="ListBullet"/>
      </w:pPr>
      <w:r>
        <w:t>solar photovoltaics</w:t>
      </w:r>
    </w:p>
    <w:p w14:paraId="342C94D3" w14:textId="77777777" w:rsidR="00676882" w:rsidRDefault="00676882" w:rsidP="00676882">
      <w:pPr>
        <w:pStyle w:val="ListBullet"/>
      </w:pPr>
      <w:r>
        <w:t>energy management devices such as teal time monitoring devices or programable thermostats</w:t>
      </w:r>
    </w:p>
    <w:p w14:paraId="2D562411" w14:textId="77777777" w:rsidR="00676882" w:rsidRDefault="00676882" w:rsidP="00676882">
      <w:pPr>
        <w:pStyle w:val="ListBullet"/>
      </w:pPr>
      <w:r>
        <w:t xml:space="preserve">other discretionary features such as passive solar design, carbon offsets or innovative practice. </w:t>
      </w:r>
    </w:p>
    <w:p w14:paraId="5CB2699B" w14:textId="77777777" w:rsidR="00676882" w:rsidRDefault="00676882" w:rsidP="00676882">
      <w:pPr>
        <w:pStyle w:val="Heading3AP"/>
      </w:pPr>
      <w:r>
        <w:t>Implementation and enforcement</w:t>
      </w:r>
    </w:p>
    <w:p w14:paraId="438A3973" w14:textId="77777777" w:rsidR="00676882" w:rsidRDefault="00676882" w:rsidP="00676882">
      <w:pPr>
        <w:pStyle w:val="BodyText"/>
      </w:pPr>
      <w:r>
        <w:t xml:space="preserve">Rental providers in Boulder were previously required to obtain a four-year licence prior to renting their properties. As part of this, rental providers must pay for an inspection of the property for a small fee (initially $50, then $150 from 2018 onwards). The SmartRegs were introduced with a two-cycle grace period, meaning the regulation was fully implemented by the start of 2019. Non-compliant properties are subject to a series of increasing penalties, including a $250 investigation fee and fines varying from $150 for a first notice to up to $1,000 for a third notice. The program also allowed for a “Technically Impractical Exemption”, which allowed properties that have </w:t>
      </w:r>
      <w:r>
        <w:rPr>
          <w:i/>
          <w:iCs/>
        </w:rPr>
        <w:t xml:space="preserve">already failed </w:t>
      </w:r>
      <w:r>
        <w:t xml:space="preserve">an inspection to appeal penalties and allow a licence to be granted where it is not practical to meet the standards. </w:t>
      </w:r>
    </w:p>
    <w:p w14:paraId="28CAB7F6" w14:textId="77777777" w:rsidR="00676882" w:rsidRDefault="00676882" w:rsidP="00676882">
      <w:pPr>
        <w:pStyle w:val="Heading3AP"/>
      </w:pPr>
      <w:r>
        <w:t>Complementary measures</w:t>
      </w:r>
    </w:p>
    <w:p w14:paraId="04002147" w14:textId="77777777" w:rsidR="00676882" w:rsidRDefault="00676882" w:rsidP="00676882">
      <w:pPr>
        <w:pStyle w:val="BodyText"/>
      </w:pPr>
      <w:r>
        <w:t>There have been additional technical and financial support measures to support rental providers provided by the city and county. For example, the EnergySmart program provides both information, technical support, and rebates and financing to support owners and rental providers improve the energy efficiency of their properties.</w:t>
      </w:r>
    </w:p>
    <w:p w14:paraId="14094A28" w14:textId="77777777" w:rsidR="00676882" w:rsidRDefault="00676882" w:rsidP="00676882">
      <w:pPr>
        <w:pStyle w:val="Heading3AP"/>
      </w:pPr>
      <w:r>
        <w:lastRenderedPageBreak/>
        <w:t>Impacts</w:t>
      </w:r>
    </w:p>
    <w:p w14:paraId="436E9E33" w14:textId="77777777" w:rsidR="00676882" w:rsidRDefault="00676882" w:rsidP="00676882">
      <w:pPr>
        <w:pStyle w:val="BodyText"/>
      </w:pPr>
      <w:r>
        <w:t>By the end of 2018, 96.2 per cent of properties were compliant. By the end of 2019, at the end of the grace period, the policy had a 99 per cent compliance rate — this accounted for 22,487 rental properties, with only 230 properties not compliant at that time.</w:t>
      </w:r>
    </w:p>
    <w:p w14:paraId="05B7D0D0" w14:textId="77777777" w:rsidR="00676882" w:rsidRDefault="00676882" w:rsidP="00676882">
      <w:pPr>
        <w:pStyle w:val="BodyText"/>
      </w:pPr>
      <w:r>
        <w:t xml:space="preserve">Units that needed improvements to reach compliance took an average of two upgrades each. The most common upgrades were attic, underfloor and wall insulation. These upgrades costed an average of US$3,022 per unit and received US$579 in rebates on average — for a total cost of approximately US$2,450 to the rental providers. </w:t>
      </w:r>
    </w:p>
    <w:p w14:paraId="77D27D92" w14:textId="77777777" w:rsidR="00676882" w:rsidRPr="0007497B" w:rsidRDefault="00676882" w:rsidP="00676882">
      <w:pPr>
        <w:pStyle w:val="BodyText"/>
      </w:pPr>
      <w:r>
        <w:t>The city estimates that as a result of the measure, by the end of 2018, the city had saved approximately 1.9 million kWh of electricity, 460,000 therms of natural gas, US$520,000 in energy costs and 3,900 metric tons of carbon dioxide.</w:t>
      </w:r>
    </w:p>
    <w:p w14:paraId="61284B37" w14:textId="77777777" w:rsidR="00676882" w:rsidRPr="00872AF6" w:rsidRDefault="00676882" w:rsidP="00676882">
      <w:pPr>
        <w:pStyle w:val="Heading2AP"/>
      </w:pPr>
      <w:bookmarkStart w:id="357" w:name="_Toc80712609"/>
      <w:r>
        <w:t>Victoria, Australia</w:t>
      </w:r>
      <w:bookmarkEnd w:id="357"/>
    </w:p>
    <w:p w14:paraId="61DA5C83" w14:textId="77777777" w:rsidR="00676882" w:rsidRDefault="00676882" w:rsidP="00676882">
      <w:pPr>
        <w:pStyle w:val="Heading3AP"/>
      </w:pPr>
      <w:r>
        <w:t>Policy summary</w:t>
      </w:r>
    </w:p>
    <w:p w14:paraId="111BFE23" w14:textId="77777777" w:rsidR="00676882" w:rsidRDefault="00676882" w:rsidP="00676882">
      <w:pPr>
        <w:pStyle w:val="BodyText"/>
      </w:pPr>
      <w:r>
        <w:t xml:space="preserve">The Victorian Government is currently implementing minimum standards for rental properties as part of a suite of reforms to rental laws and property standards. The laws focus, </w:t>
      </w:r>
      <w:proofErr w:type="gramStart"/>
      <w:r>
        <w:t>with regard to</w:t>
      </w:r>
      <w:proofErr w:type="gramEnd"/>
      <w:r>
        <w:t xml:space="preserve"> energy efficiency, on installing energy-efficient heating appliances. </w:t>
      </w:r>
    </w:p>
    <w:p w14:paraId="79F13172" w14:textId="77777777" w:rsidR="00676882" w:rsidRPr="00CB46AA" w:rsidRDefault="00676882" w:rsidP="00676882">
      <w:pPr>
        <w:pStyle w:val="BodyText"/>
      </w:pPr>
      <w:r>
        <w:t>Other improvements, such as water-efficient fixtures, are also a part of the minimum standards.</w:t>
      </w:r>
    </w:p>
    <w:p w14:paraId="3502CD1D" w14:textId="77777777" w:rsidR="00676882" w:rsidRDefault="00676882" w:rsidP="00676882">
      <w:pPr>
        <w:pStyle w:val="BodyText"/>
      </w:pPr>
      <w:r>
        <w:t>In addition, the Victorian Government is currently investigating insulation standards and hot water systems to be included in the minimum standards. These standards have been delayed due to COVID-19.</w:t>
      </w:r>
    </w:p>
    <w:p w14:paraId="47839E30" w14:textId="77777777" w:rsidR="00676882" w:rsidRDefault="00676882" w:rsidP="00676882">
      <w:pPr>
        <w:pStyle w:val="Heading3AP"/>
      </w:pPr>
      <w:r>
        <w:t>Implementation and enforcement</w:t>
      </w:r>
    </w:p>
    <w:p w14:paraId="1F586A4F" w14:textId="77777777" w:rsidR="00676882" w:rsidRDefault="00676882" w:rsidP="00676882">
      <w:pPr>
        <w:pStyle w:val="BodyText"/>
      </w:pPr>
      <w:r>
        <w:t>Rental providers have a responsibility to ensure their property meets the minimum standards before they rent out the property. If a rental property does not meet the minimum standards, tenants can end the rental agreement immediately before moving in, or make an urgent repair request to improve the property up to standards any time after moving in.</w:t>
      </w:r>
    </w:p>
    <w:p w14:paraId="1DF32E7F" w14:textId="77777777" w:rsidR="00676882" w:rsidRDefault="00676882" w:rsidP="00676882">
      <w:pPr>
        <w:pStyle w:val="Heading3AP"/>
      </w:pPr>
      <w:r>
        <w:t>Complementary measures</w:t>
      </w:r>
    </w:p>
    <w:p w14:paraId="154B70CB" w14:textId="77777777" w:rsidR="00676882" w:rsidRDefault="00676882" w:rsidP="00676882">
      <w:pPr>
        <w:pStyle w:val="BodyText"/>
      </w:pPr>
      <w:r>
        <w:t>Over a three-year phase-in period:</w:t>
      </w:r>
    </w:p>
    <w:p w14:paraId="0A32C722" w14:textId="77777777" w:rsidR="00676882" w:rsidRDefault="00676882" w:rsidP="00676882">
      <w:pPr>
        <w:pStyle w:val="ListBullet"/>
      </w:pPr>
      <w:r>
        <w:t>From 29 March 2021, a heater must be installed in the main living area. If a heater is not already installed, it must be a 2-star minimum appliance.</w:t>
      </w:r>
    </w:p>
    <w:p w14:paraId="590E1D58" w14:textId="77777777" w:rsidR="00676882" w:rsidRDefault="00676882" w:rsidP="00676882">
      <w:pPr>
        <w:pStyle w:val="ListBullet"/>
      </w:pPr>
      <w:r>
        <w:t xml:space="preserve">From 29 March 2023, a 2-star minimum heater must be installed in the main living area. </w:t>
      </w:r>
    </w:p>
    <w:p w14:paraId="0D88A971" w14:textId="77777777" w:rsidR="00676882" w:rsidRDefault="00676882" w:rsidP="00676882">
      <w:pPr>
        <w:pStyle w:val="ListBullet"/>
        <w:numPr>
          <w:ilvl w:val="0"/>
          <w:numId w:val="0"/>
        </w:numPr>
      </w:pPr>
      <w:r>
        <w:t>For class 2 buildings, where an energy-efficient heater cannot be practically installed, any heater must be installed in the main living area.</w:t>
      </w:r>
    </w:p>
    <w:p w14:paraId="4ED8F9D0" w14:textId="77777777" w:rsidR="00676882" w:rsidRDefault="00676882" w:rsidP="00676882">
      <w:pPr>
        <w:pStyle w:val="BodyText"/>
      </w:pPr>
      <w:r>
        <w:t xml:space="preserve">The Victorian Government runs several complementary measures to assist Victorian households in becoming energy efficient. </w:t>
      </w:r>
      <w:proofErr w:type="gramStart"/>
      <w:r>
        <w:t>In particular, their</w:t>
      </w:r>
      <w:proofErr w:type="gramEnd"/>
      <w:r>
        <w:t xml:space="preserve"> Victorian Energy Upgrades (VEU) program acts much like the ACT’s EEIS, providing information and financial support to improve energy efficiency. Solar Victoria provides a specific rebate for installing solar panels on rental properties to address the split incentive problem with rooftop solar. The rebate is up to $1,850 and the option of interest-free loans until 30 June 2021.</w:t>
      </w:r>
    </w:p>
    <w:p w14:paraId="74F48F61" w14:textId="77777777" w:rsidR="00676882" w:rsidRDefault="00676882" w:rsidP="00676882">
      <w:pPr>
        <w:pStyle w:val="Heading3AP"/>
      </w:pPr>
      <w:r>
        <w:t>Impacts</w:t>
      </w:r>
    </w:p>
    <w:p w14:paraId="652D6EE0" w14:textId="77777777" w:rsidR="00676882" w:rsidRDefault="00676882" w:rsidP="00676882">
      <w:pPr>
        <w:pStyle w:val="BodyText"/>
      </w:pPr>
      <w:r>
        <w:t>No analysis of the impacts of the program was identified.</w:t>
      </w:r>
    </w:p>
    <w:p w14:paraId="1B038448" w14:textId="77777777" w:rsidR="00676882" w:rsidRDefault="00676882" w:rsidP="00676882">
      <w:pPr>
        <w:pStyle w:val="Heading2AP"/>
      </w:pPr>
      <w:bookmarkStart w:id="358" w:name="_Toc80712610"/>
      <w:r>
        <w:lastRenderedPageBreak/>
        <w:t>Flanders, Belgium</w:t>
      </w:r>
      <w:bookmarkEnd w:id="358"/>
    </w:p>
    <w:p w14:paraId="70F69020" w14:textId="77777777" w:rsidR="00676882" w:rsidRDefault="00676882" w:rsidP="00676882">
      <w:pPr>
        <w:pStyle w:val="Heading3AP"/>
      </w:pPr>
      <w:r>
        <w:t>Policy summary</w:t>
      </w:r>
    </w:p>
    <w:p w14:paraId="3E0410E3" w14:textId="77777777" w:rsidR="00676882" w:rsidRPr="005A7A67" w:rsidRDefault="00676882" w:rsidP="00676882">
      <w:pPr>
        <w:pStyle w:val="BodyText"/>
      </w:pPr>
      <w:r>
        <w:t xml:space="preserve">The housing code has included minimum roof insulation since 2015, which is being implemented through more holistic safety, health and habitability standards that apply to all rental properties. These standards also include a range of criteria, such as the condition of property and access to water. Insulation must meet a minimum R-value. An amendment in 2019 introduced double glazing to the code. </w:t>
      </w:r>
    </w:p>
    <w:p w14:paraId="3D08B8A5" w14:textId="77777777" w:rsidR="00676882" w:rsidRDefault="00676882" w:rsidP="00676882">
      <w:pPr>
        <w:pStyle w:val="Heading3AP"/>
      </w:pPr>
      <w:r>
        <w:t>Implementation and enforcement</w:t>
      </w:r>
    </w:p>
    <w:p w14:paraId="12A0662A" w14:textId="77777777" w:rsidR="00676882" w:rsidRDefault="00676882" w:rsidP="00676882">
      <w:pPr>
        <w:pStyle w:val="BodyText"/>
      </w:pPr>
      <w:r>
        <w:t>The 2015 amendment to include roof insulation had a five-year phase-in period. This means that all rental properties much have roof insulation as of 1 January 2020. The 2019 amendment to include double glazing on windows has a further five-year phase-in period.</w:t>
      </w:r>
    </w:p>
    <w:p w14:paraId="2E7C1307" w14:textId="77777777" w:rsidR="00676882" w:rsidRDefault="00676882" w:rsidP="00676882">
      <w:pPr>
        <w:pStyle w:val="BodyText"/>
      </w:pPr>
      <w:r>
        <w:t>The scheme runs through a penalty point system, where failure to comply with a range of minimum standards results in ‘points’ shown on a ‘conformity certificate’. These certificates are not required to be shared with tenants. Scoring 15 or higher penalty points legally prohibits the renting out of the property. While the conformity certificate is an obligation, in many cases, it is not strictly necessary at the time of renting out the property.</w:t>
      </w:r>
    </w:p>
    <w:p w14:paraId="68F2CF1A" w14:textId="77777777" w:rsidR="00676882" w:rsidRDefault="00676882" w:rsidP="00676882">
      <w:pPr>
        <w:pStyle w:val="BodyText"/>
      </w:pPr>
      <w:r>
        <w:t xml:space="preserve">The assessment is not strictly mandatory in all municipalities, so compliance is mixed. However, tenants can freely request an investigation at no charge. The result is that different municipalities have varying degrees of enforcement and compliance. However, the scheme does not include </w:t>
      </w:r>
      <w:r>
        <w:rPr>
          <w:i/>
          <w:iCs/>
        </w:rPr>
        <w:t xml:space="preserve">any </w:t>
      </w:r>
      <w:r>
        <w:t xml:space="preserve">exemptions. </w:t>
      </w:r>
    </w:p>
    <w:p w14:paraId="4600174D" w14:textId="77777777" w:rsidR="00676882" w:rsidRDefault="00676882" w:rsidP="00676882">
      <w:pPr>
        <w:pStyle w:val="Heading3AP"/>
      </w:pPr>
      <w:r>
        <w:t>Complementary measures</w:t>
      </w:r>
    </w:p>
    <w:p w14:paraId="0C8AAC4F" w14:textId="77777777" w:rsidR="00676882" w:rsidRDefault="00676882" w:rsidP="00676882">
      <w:pPr>
        <w:pStyle w:val="BodyText"/>
      </w:pPr>
      <w:r>
        <w:t>The scheme is supported by communications campaigns by individual municipalities, phased implementation and tax-based grants of up to €23 per m</w:t>
      </w:r>
      <w:r w:rsidRPr="00B04B40">
        <w:rPr>
          <w:vertAlign w:val="superscript"/>
        </w:rPr>
        <w:t>2</w:t>
      </w:r>
      <w:r>
        <w:rPr>
          <w:vertAlign w:val="superscript"/>
        </w:rPr>
        <w:t xml:space="preserve"> </w:t>
      </w:r>
      <w:r>
        <w:t>for dwellings occupied by vulnerable tenants.</w:t>
      </w:r>
    </w:p>
    <w:p w14:paraId="3F01032E" w14:textId="77777777" w:rsidR="00676882" w:rsidRDefault="00676882" w:rsidP="00676882">
      <w:pPr>
        <w:pStyle w:val="Heading3AP"/>
      </w:pPr>
      <w:r>
        <w:t>Impacts</w:t>
      </w:r>
    </w:p>
    <w:p w14:paraId="24E3C332" w14:textId="77777777" w:rsidR="00676882" w:rsidRPr="0010666D" w:rsidRDefault="00676882" w:rsidP="00676882">
      <w:pPr>
        <w:pStyle w:val="BodyText"/>
      </w:pPr>
      <w:r>
        <w:t>The impact of the measure is so far low due to the phase-in periods, low minimum requirements, and uneven enforcement between local authorities. No detailed information on the impacts of the standards were found.</w:t>
      </w:r>
    </w:p>
    <w:p w14:paraId="50C41394" w14:textId="77777777" w:rsidR="00676882" w:rsidRDefault="00676882" w:rsidP="00676882">
      <w:pPr>
        <w:pStyle w:val="Heading2AP"/>
      </w:pPr>
      <w:bookmarkStart w:id="359" w:name="_Toc80712611"/>
      <w:r>
        <w:t>European Union obligations of member states</w:t>
      </w:r>
      <w:bookmarkEnd w:id="359"/>
    </w:p>
    <w:p w14:paraId="0D2FFA5F" w14:textId="77777777" w:rsidR="00676882" w:rsidRDefault="00676882" w:rsidP="00676882">
      <w:pPr>
        <w:pStyle w:val="BodyText"/>
      </w:pPr>
      <w:r>
        <w:t>The European Union has taken measures to direct its member states to begin to deal with the split incentive problem and poorly performing housing. These policies do not enforce minimum standards but oblige action by their member states to investigate and propose action to address the problem. These include:</w:t>
      </w:r>
    </w:p>
    <w:p w14:paraId="04A4CDAE" w14:textId="77777777" w:rsidR="00676882" w:rsidRDefault="00676882" w:rsidP="00676882">
      <w:pPr>
        <w:pStyle w:val="ListBullet"/>
      </w:pPr>
      <w:r w:rsidRPr="00BC553F">
        <w:rPr>
          <w:b/>
          <w:bCs/>
        </w:rPr>
        <w:t>Article</w:t>
      </w:r>
      <w:r>
        <w:rPr>
          <w:b/>
          <w:bCs/>
        </w:rPr>
        <w:t xml:space="preserve"> </w:t>
      </w:r>
      <w:r w:rsidRPr="00BC553F">
        <w:rPr>
          <w:b/>
          <w:bCs/>
        </w:rPr>
        <w:t>19(1)(a) – Energy</w:t>
      </w:r>
      <w:r>
        <w:rPr>
          <w:b/>
          <w:bCs/>
        </w:rPr>
        <w:t xml:space="preserve"> </w:t>
      </w:r>
      <w:r w:rsidRPr="00BC553F">
        <w:rPr>
          <w:b/>
          <w:bCs/>
        </w:rPr>
        <w:t>efficiency</w:t>
      </w:r>
      <w:r>
        <w:rPr>
          <w:b/>
          <w:bCs/>
        </w:rPr>
        <w:t xml:space="preserve"> </w:t>
      </w:r>
      <w:r w:rsidRPr="00BC553F">
        <w:rPr>
          <w:b/>
          <w:bCs/>
        </w:rPr>
        <w:t>Directive:</w:t>
      </w:r>
      <w:r>
        <w:t xml:space="preserve"> “Member States shall evaluate and if necessary take appropriate measures to remove regulatory and nonregulatory barriers to energy efficiency… in particular as regards: (a) the split of incentives between the owner and the tenant of a building or among owners, with a view to ensuring that these parties are not deterred from making efficiency-improving investments that they would otherwise have made by the fact that they will not individually obtain the full benefits or by the absence of rules for dividing the costs and benefits between them, including national rules and measures regulating decision- making processes in multi-owner properties.”</w:t>
      </w:r>
    </w:p>
    <w:p w14:paraId="41734468" w14:textId="77777777" w:rsidR="00676882" w:rsidRDefault="00676882" w:rsidP="00676882">
      <w:pPr>
        <w:pStyle w:val="ListBullet"/>
      </w:pPr>
      <w:r>
        <w:rPr>
          <w:b/>
          <w:bCs/>
        </w:rPr>
        <w:lastRenderedPageBreak/>
        <w:t xml:space="preserve">Energy Performance of Building Directive 2018 recast: </w:t>
      </w:r>
      <w:r w:rsidRPr="008D5DE9">
        <w:t>“</w:t>
      </w:r>
      <w:r>
        <w:t>Member States should provide clear guidelines and outline measurable, targeted actions as well as promote equal access to financing, including for the worst performing segments of the national building stock, for energy-poor consumers, for social housing and for households subject to split-incentive dilemmas, while taking into consideration affordability. To further support the necessary improvements in their national rental stock, Member States should consider introducing or continuing to apply requirements for a certain level of energy performance for rental properties, in accordance with the energy performance certificates.”</w:t>
      </w:r>
    </w:p>
    <w:p w14:paraId="7E142C75" w14:textId="77777777" w:rsidR="00676882" w:rsidRDefault="00676882" w:rsidP="00676882">
      <w:pPr>
        <w:pStyle w:val="BodyText"/>
      </w:pPr>
      <w:r>
        <w:t>These directives occurred after 2019, and responses by member states are still largely forthcoming.</w:t>
      </w:r>
    </w:p>
    <w:p w14:paraId="66FA8D2C" w14:textId="77777777" w:rsidR="00676882" w:rsidRDefault="00676882" w:rsidP="00676882">
      <w:pPr>
        <w:pStyle w:val="BodyText"/>
      </w:pPr>
    </w:p>
    <w:p w14:paraId="3506B6D0" w14:textId="77777777" w:rsidR="00676882" w:rsidRDefault="00676882" w:rsidP="00676882">
      <w:pPr>
        <w:pStyle w:val="BodyText"/>
        <w:sectPr w:rsidR="00676882" w:rsidSect="00F32FCC">
          <w:headerReference w:type="even" r:id="rId99"/>
          <w:headerReference w:type="default" r:id="rId100"/>
          <w:footerReference w:type="even" r:id="rId101"/>
          <w:headerReference w:type="first" r:id="rId102"/>
          <w:footerReference w:type="first" r:id="rId103"/>
          <w:pgSz w:w="11906" w:h="16838" w:code="9"/>
          <w:pgMar w:top="1134" w:right="851" w:bottom="1134" w:left="3119" w:header="454" w:footer="374" w:gutter="0"/>
          <w:pgNumType w:start="1" w:chapStyle="9"/>
          <w:cols w:space="708"/>
          <w:docGrid w:linePitch="360"/>
        </w:sectPr>
      </w:pPr>
    </w:p>
    <w:tbl>
      <w:tblPr>
        <w:tblW w:w="0" w:type="auto"/>
        <w:tblLayout w:type="fixed"/>
        <w:tblCellMar>
          <w:left w:w="0" w:type="dxa"/>
          <w:right w:w="0" w:type="dxa"/>
        </w:tblCellMar>
        <w:tblLook w:val="0000" w:firstRow="0" w:lastRow="0" w:firstColumn="0" w:lastColumn="0" w:noHBand="0" w:noVBand="0"/>
        <w:tblCaption w:val="Appendix B"/>
        <w:tblDescription w:val="Impact analysis methodology"/>
      </w:tblPr>
      <w:tblGrid>
        <w:gridCol w:w="5570"/>
        <w:gridCol w:w="2366"/>
      </w:tblGrid>
      <w:tr w:rsidR="00676882" w14:paraId="545E8A2A" w14:textId="77777777" w:rsidTr="00DF45FA">
        <w:trPr>
          <w:trHeight w:hRule="exact" w:val="382"/>
        </w:trPr>
        <w:tc>
          <w:tcPr>
            <w:tcW w:w="5570" w:type="dxa"/>
          </w:tcPr>
          <w:p w14:paraId="5DA01DA1" w14:textId="77777777" w:rsidR="00676882" w:rsidRDefault="00676882" w:rsidP="00DF45FA">
            <w:pPr>
              <w:pStyle w:val="tagappendixChapter"/>
            </w:pPr>
            <w:r>
              <w:rPr>
                <w:noProof/>
              </w:rPr>
              <w:lastRenderedPageBreak/>
              <w:drawing>
                <wp:anchor distT="0" distB="0" distL="114300" distR="114300" simplePos="0" relativeHeight="251667456" behindDoc="1" locked="1" layoutInCell="1" allowOverlap="1" wp14:anchorId="286C55AC" wp14:editId="5F1F801F">
                  <wp:simplePos x="0" y="0"/>
                  <wp:positionH relativeFrom="page">
                    <wp:posOffset>0</wp:posOffset>
                  </wp:positionH>
                  <wp:positionV relativeFrom="page">
                    <wp:posOffset>0</wp:posOffset>
                  </wp:positionV>
                  <wp:extent cx="5039360" cy="1995170"/>
                  <wp:effectExtent l="0" t="0" r="8890" b="5080"/>
                  <wp:wrapNone/>
                  <wp:docPr id="78"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8"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629DA20C" w14:textId="77777777" w:rsidR="00676882" w:rsidRDefault="00676882" w:rsidP="00DF45FA">
            <w:pPr>
              <w:pStyle w:val="Heading9"/>
            </w:pPr>
          </w:p>
        </w:tc>
      </w:tr>
      <w:tr w:rsidR="00676882" w14:paraId="14DC3F91" w14:textId="77777777" w:rsidTr="00DF45FA">
        <w:trPr>
          <w:trHeight w:hRule="exact" w:val="2760"/>
        </w:trPr>
        <w:tc>
          <w:tcPr>
            <w:tcW w:w="5570" w:type="dxa"/>
            <w:vAlign w:val="bottom"/>
          </w:tcPr>
          <w:p w14:paraId="49E74500" w14:textId="77777777" w:rsidR="00676882" w:rsidRDefault="00676882" w:rsidP="00DF45FA">
            <w:pPr>
              <w:pStyle w:val="Heading1AP"/>
            </w:pPr>
            <w:bookmarkStart w:id="360" w:name="_Ref75766708"/>
            <w:bookmarkStart w:id="361" w:name="_Ref75769828"/>
            <w:bookmarkStart w:id="362" w:name="_Toc80712612"/>
            <w:r>
              <w:t>Impact analysis methodology</w:t>
            </w:r>
            <w:bookmarkEnd w:id="360"/>
            <w:bookmarkEnd w:id="361"/>
            <w:bookmarkEnd w:id="362"/>
          </w:p>
        </w:tc>
        <w:tc>
          <w:tcPr>
            <w:tcW w:w="2366" w:type="dxa"/>
            <w:tcMar>
              <w:right w:w="224" w:type="dxa"/>
            </w:tcMar>
            <w:vAlign w:val="bottom"/>
          </w:tcPr>
          <w:p w14:paraId="484EDF60" w14:textId="77777777" w:rsidR="00676882" w:rsidRDefault="00676882" w:rsidP="00DF45FA">
            <w:pPr>
              <w:pStyle w:val="HeadingAppendix"/>
            </w:pPr>
            <w:r>
              <w:fldChar w:fldCharType="begin"/>
            </w:r>
            <w:r>
              <w:instrText xml:space="preserve"> SEQ AppNum \* ALPHABETIC </w:instrText>
            </w:r>
            <w:r>
              <w:fldChar w:fldCharType="separate"/>
            </w:r>
            <w:r>
              <w:rPr>
                <w:noProof/>
              </w:rPr>
              <w:t>B</w:t>
            </w:r>
            <w:r>
              <w:rPr>
                <w:noProof/>
              </w:rPr>
              <w:fldChar w:fldCharType="end"/>
            </w:r>
          </w:p>
        </w:tc>
      </w:tr>
      <w:tr w:rsidR="00676882" w14:paraId="617DD1C4" w14:textId="77777777" w:rsidTr="00DF45FA">
        <w:trPr>
          <w:trHeight w:hRule="exact" w:val="228"/>
        </w:trPr>
        <w:tc>
          <w:tcPr>
            <w:tcW w:w="5570" w:type="dxa"/>
          </w:tcPr>
          <w:p w14:paraId="607F6169" w14:textId="77777777" w:rsidR="00676882" w:rsidRDefault="00676882" w:rsidP="00DF45FA">
            <w:pPr>
              <w:pStyle w:val="spacer"/>
            </w:pPr>
          </w:p>
        </w:tc>
        <w:tc>
          <w:tcPr>
            <w:tcW w:w="2366" w:type="dxa"/>
          </w:tcPr>
          <w:p w14:paraId="11C8DAC7" w14:textId="77777777" w:rsidR="00676882" w:rsidRDefault="00676882" w:rsidP="00DF45FA">
            <w:pPr>
              <w:pStyle w:val="spacer"/>
            </w:pPr>
          </w:p>
        </w:tc>
      </w:tr>
    </w:tbl>
    <w:p w14:paraId="32E5455D" w14:textId="77777777" w:rsidR="00676882" w:rsidRDefault="00676882" w:rsidP="00676882">
      <w:pPr>
        <w:pStyle w:val="BodyText"/>
      </w:pPr>
      <w:r>
        <w:t>The analysis has been conducted through a two-stage approach:</w:t>
      </w:r>
    </w:p>
    <w:p w14:paraId="20A2CF9D" w14:textId="77777777" w:rsidR="00676882" w:rsidRDefault="00676882" w:rsidP="00676882">
      <w:pPr>
        <w:pStyle w:val="ListBullet"/>
      </w:pPr>
      <w:r>
        <w:t>analysing the impact of a minimum standard on a sample of households</w:t>
      </w:r>
      <w:r>
        <w:rPr>
          <w:rStyle w:val="FootnoteReference"/>
        </w:rPr>
        <w:footnoteReference w:id="11"/>
      </w:r>
      <w:r>
        <w:t xml:space="preserve"> to which a minimum standard applies (described, in detail, in Appendix C), then </w:t>
      </w:r>
    </w:p>
    <w:p w14:paraId="210370CF" w14:textId="77777777" w:rsidR="00676882" w:rsidRDefault="00676882" w:rsidP="00676882">
      <w:pPr>
        <w:pStyle w:val="ListBullet"/>
      </w:pPr>
      <w:r>
        <w:t>aggregating up to an economy wide level, by summing across an estimate of the number of properties that the minimum standards will impact and incorporating economy-wide impacts in the more holistic CBA.</w:t>
      </w:r>
    </w:p>
    <w:p w14:paraId="1C0B8693" w14:textId="77777777" w:rsidR="00676882" w:rsidRDefault="00676882" w:rsidP="00676882">
      <w:pPr>
        <w:pStyle w:val="BodyText"/>
      </w:pPr>
      <w:r>
        <w:t xml:space="preserve">The broad structure of the analysis is given in </w:t>
      </w:r>
      <w:r w:rsidRPr="009E4AB1">
        <w:fldChar w:fldCharType="begin"/>
      </w:r>
      <w:r w:rsidRPr="009E4AB1">
        <w:instrText xml:space="preserve"> REF _Ref80699349 \h  \* MERGEFORMAT </w:instrText>
      </w:r>
      <w:r w:rsidRPr="009E4AB1">
        <w:fldChar w:fldCharType="separate"/>
      </w:r>
      <w:r w:rsidRPr="00F32FCC">
        <w:t>Figure B.1</w:t>
      </w:r>
      <w:r w:rsidRPr="009E4AB1">
        <w:fldChar w:fldCharType="end"/>
      </w:r>
      <w:r>
        <w:t>.</w:t>
      </w:r>
    </w:p>
    <w:p w14:paraId="013672EC" w14:textId="77777777" w:rsidR="00676882" w:rsidRDefault="00676882" w:rsidP="00676882">
      <w:pPr>
        <w:pStyle w:val="ListBullet"/>
        <w:numPr>
          <w:ilvl w:val="0"/>
          <w:numId w:val="0"/>
        </w:numPr>
        <w:ind w:left="-1560"/>
      </w:pPr>
      <w:bookmarkStart w:id="363" w:name="_Ref80699349"/>
      <w:bookmarkStart w:id="364" w:name="_Toc80719282"/>
      <w:r>
        <w:rPr>
          <w:rStyle w:val="CaptionLabel"/>
        </w:rPr>
        <w:t>Figure </w:t>
      </w:r>
      <w:r>
        <w:fldChar w:fldCharType="begin"/>
      </w:r>
      <w:r>
        <w:rPr>
          <w:rStyle w:val="CaptionLabel"/>
        </w:rPr>
        <w:instrText xml:space="preserve"> STYLEREF 9 \S \* MERGEFORMAT </w:instrText>
      </w:r>
      <w:r>
        <w:fldChar w:fldCharType="separate"/>
      </w:r>
      <w:r>
        <w:rPr>
          <w:rStyle w:val="CaptionLabel"/>
          <w:noProof/>
        </w:rPr>
        <w:t>B</w:t>
      </w:r>
      <w:r>
        <w:fldChar w:fldCharType="end"/>
      </w:r>
      <w:r>
        <w:rPr>
          <w:rStyle w:val="CaptionLabel"/>
        </w:rPr>
        <w:t>.</w:t>
      </w:r>
      <w:r>
        <w:fldChar w:fldCharType="begin"/>
      </w:r>
      <w:r>
        <w:rPr>
          <w:rStyle w:val="CaptionLabel"/>
        </w:rPr>
        <w:instrText xml:space="preserve"> SEQ Figure_AP \* ARABIC \S 9 \* MERGEFORMAT </w:instrText>
      </w:r>
      <w:r>
        <w:fldChar w:fldCharType="separate"/>
      </w:r>
      <w:r>
        <w:rPr>
          <w:rStyle w:val="CaptionLabel"/>
          <w:noProof/>
        </w:rPr>
        <w:t>1</w:t>
      </w:r>
      <w:r>
        <w:fldChar w:fldCharType="end"/>
      </w:r>
      <w:bookmarkEnd w:id="363"/>
      <w:r>
        <w:tab/>
        <w:t>Framework for analysis</w:t>
      </w:r>
      <w:bookmarkEnd w:id="364"/>
    </w:p>
    <w:p w14:paraId="20E38015" w14:textId="77777777" w:rsidR="00676882" w:rsidRDefault="00676882" w:rsidP="00676882">
      <w:pPr>
        <w:pStyle w:val="ListBullet"/>
        <w:numPr>
          <w:ilvl w:val="0"/>
          <w:numId w:val="0"/>
        </w:numPr>
        <w:ind w:left="-1560"/>
      </w:pPr>
      <w:r>
        <w:rPr>
          <w:noProof/>
        </w:rPr>
        <w:drawing>
          <wp:inline distT="0" distB="0" distL="0" distR="0" wp14:anchorId="568320E4" wp14:editId="7F91BFCA">
            <wp:extent cx="6192000" cy="2872373"/>
            <wp:effectExtent l="38100" t="38100" r="37465" b="42545"/>
            <wp:docPr id="121" name="Picture 121" descr="The framework includes a housing stock model with features such as number of households by class, costs of upgrades and impacts of households. &#10;The second component is the cost-benefit analysis, which builds on the housing stock model and includes economy-wide impa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1" descr="The framework includes a housing stock model with features such as number of households by class, costs of upgrades and impacts of households. &#10;The second component is the cost-benefit analysis, which builds on the housing stock model and includes economy-wide impacts."/>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6192000" cy="2872373"/>
                    </a:xfrm>
                    <a:prstGeom prst="rect">
                      <a:avLst/>
                    </a:prstGeom>
                    <a:noFill/>
                    <a:ln w="38100">
                      <a:solidFill>
                        <a:schemeClr val="bg1"/>
                      </a:solidFill>
                    </a:ln>
                  </pic:spPr>
                </pic:pic>
              </a:graphicData>
            </a:graphic>
          </wp:inline>
        </w:drawing>
      </w:r>
    </w:p>
    <w:p w14:paraId="52B56FE2" w14:textId="77777777" w:rsidR="00676882" w:rsidRDefault="00676882" w:rsidP="00676882">
      <w:pPr>
        <w:pStyle w:val="Figure"/>
        <w:tabs>
          <w:tab w:val="left" w:pos="1410"/>
        </w:tabs>
        <w:ind w:left="-1985"/>
        <w:rPr>
          <w:noProof/>
        </w:rPr>
      </w:pPr>
      <w:r>
        <w:rPr>
          <w:noProof/>
        </w:rPr>
        <w:t>* Health and comfort impacts partially analysed through sensitiviy analysis.</w:t>
      </w:r>
    </w:p>
    <w:p w14:paraId="159216AB" w14:textId="77777777" w:rsidR="00676882" w:rsidRPr="00A3484B" w:rsidRDefault="00676882" w:rsidP="00676882">
      <w:pPr>
        <w:pStyle w:val="ListBullet"/>
        <w:numPr>
          <w:ilvl w:val="0"/>
          <w:numId w:val="0"/>
        </w:numPr>
        <w:ind w:left="-1985"/>
        <w:rPr>
          <w:noProof/>
          <w:color w:val="000100"/>
          <w:sz w:val="16"/>
        </w:rPr>
      </w:pPr>
      <w:r w:rsidRPr="00A3484B">
        <w:rPr>
          <w:noProof/>
          <w:color w:val="000100"/>
          <w:sz w:val="16"/>
        </w:rPr>
        <w:t xml:space="preserve">Note: Household impacts describe the combined impact on tenants and rental providers. In realtiy, the minimum standard will represent a transfer between these two agents. For the analysis we have assumed that the costs are incurred by rental providers. Distributional impacts will be described as per section </w:t>
      </w:r>
      <w:r w:rsidRPr="00A3484B">
        <w:rPr>
          <w:noProof/>
          <w:color w:val="000100"/>
          <w:sz w:val="16"/>
        </w:rPr>
        <w:fldChar w:fldCharType="begin"/>
      </w:r>
      <w:r w:rsidRPr="00A3484B">
        <w:rPr>
          <w:noProof/>
          <w:color w:val="000100"/>
          <w:sz w:val="16"/>
        </w:rPr>
        <w:instrText xml:space="preserve"> REF _Ref76308283 \r \h  \* MERGEFORMAT </w:instrText>
      </w:r>
      <w:r w:rsidRPr="00A3484B">
        <w:rPr>
          <w:noProof/>
          <w:color w:val="000100"/>
          <w:sz w:val="16"/>
        </w:rPr>
      </w:r>
      <w:r w:rsidRPr="00A3484B">
        <w:rPr>
          <w:noProof/>
          <w:color w:val="000100"/>
          <w:sz w:val="16"/>
        </w:rPr>
        <w:fldChar w:fldCharType="separate"/>
      </w:r>
      <w:r>
        <w:rPr>
          <w:noProof/>
          <w:color w:val="000100"/>
          <w:sz w:val="16"/>
        </w:rPr>
        <w:t>5.2.3</w:t>
      </w:r>
      <w:r w:rsidRPr="00A3484B">
        <w:rPr>
          <w:noProof/>
          <w:color w:val="000100"/>
          <w:sz w:val="16"/>
        </w:rPr>
        <w:fldChar w:fldCharType="end"/>
      </w:r>
      <w:r w:rsidRPr="00A3484B">
        <w:rPr>
          <w:noProof/>
          <w:color w:val="000100"/>
          <w:sz w:val="16"/>
        </w:rPr>
        <w:t>.</w:t>
      </w:r>
    </w:p>
    <w:p w14:paraId="207C6CF3" w14:textId="77777777" w:rsidR="00676882" w:rsidRPr="00A3484B" w:rsidRDefault="00676882" w:rsidP="00676882">
      <w:pPr>
        <w:pStyle w:val="ListBullet"/>
        <w:numPr>
          <w:ilvl w:val="0"/>
          <w:numId w:val="0"/>
        </w:numPr>
        <w:ind w:left="-1985"/>
        <w:rPr>
          <w:i/>
          <w:iCs/>
          <w:noProof/>
          <w:color w:val="000100"/>
          <w:sz w:val="16"/>
        </w:rPr>
      </w:pPr>
      <w:r w:rsidRPr="00A3484B">
        <w:rPr>
          <w:i/>
          <w:iCs/>
          <w:noProof/>
          <w:color w:val="000100"/>
          <w:sz w:val="16"/>
        </w:rPr>
        <w:t>Source: ACIL Allen</w:t>
      </w:r>
    </w:p>
    <w:p w14:paraId="606C5D0C" w14:textId="77777777" w:rsidR="00676882" w:rsidRDefault="00676882" w:rsidP="00676882">
      <w:pPr>
        <w:pStyle w:val="BodyText"/>
      </w:pPr>
      <w:r>
        <w:t xml:space="preserve">The results of the household level analysis are aggregated at the economywide level using information about the existing rental dwelling stock, information/assumptions about the number of properties not currently compliant, the ‘churn’ within the rental market and other parameters and assumptions (detailed further in the following sections of this document). In effect, the results of the household level analysis are inputs into the economywide level CBA, which is the focus of this analysis. </w:t>
      </w:r>
    </w:p>
    <w:p w14:paraId="383A8D18" w14:textId="77777777" w:rsidR="00676882" w:rsidRDefault="00676882" w:rsidP="00676882">
      <w:pPr>
        <w:pStyle w:val="BodyText"/>
      </w:pPr>
      <w:r>
        <w:lastRenderedPageBreak/>
        <w:t xml:space="preserve">As is best practice for cost-benefit analyses, the overarching cost-benefit model (CBA model) developed for this study includes all quantifiable societal costs and benefits associated with the policy, including government and industry costs, and </w:t>
      </w:r>
      <w:r w:rsidRPr="002E4DC0">
        <w:t xml:space="preserve">societal benefits such are a reduced need for the ACT community to pay for renewable offsets. As noted in </w:t>
      </w:r>
      <w:r w:rsidRPr="006B0263">
        <w:t xml:space="preserve">Section </w:t>
      </w:r>
      <w:r w:rsidRPr="009E4AB1">
        <w:fldChar w:fldCharType="begin"/>
      </w:r>
      <w:r w:rsidRPr="009E4AB1">
        <w:instrText xml:space="preserve"> REF _Ref80291341 \r \h  \* MERGEFORMAT </w:instrText>
      </w:r>
      <w:r w:rsidRPr="009E4AB1">
        <w:fldChar w:fldCharType="separate"/>
      </w:r>
      <w:r>
        <w:t>5.3</w:t>
      </w:r>
      <w:r w:rsidRPr="009E4AB1">
        <w:fldChar w:fldCharType="end"/>
      </w:r>
      <w:r w:rsidRPr="002E4DC0">
        <w:t>, there</w:t>
      </w:r>
      <w:r>
        <w:t xml:space="preserve"> are a range of other societal impacts that the energy efficiency improvements may have which are not readily quantifiable. These have been qualitatively discussed. </w:t>
      </w:r>
    </w:p>
    <w:p w14:paraId="3943B599" w14:textId="77777777" w:rsidR="00676882" w:rsidRDefault="00676882" w:rsidP="00676882">
      <w:pPr>
        <w:pStyle w:val="BodyText"/>
      </w:pPr>
      <w:r>
        <w:t xml:space="preserve">The costs and benefits that are included in the CBA model are outlined in </w:t>
      </w:r>
      <w:r w:rsidRPr="009E4AB1">
        <w:fldChar w:fldCharType="begin"/>
      </w:r>
      <w:r w:rsidRPr="009E4AB1">
        <w:instrText xml:space="preserve"> REF _Ref80699373 \h  \* MERGEFORMAT </w:instrText>
      </w:r>
      <w:r w:rsidRPr="009E4AB1">
        <w:fldChar w:fldCharType="separate"/>
      </w:r>
      <w:r w:rsidRPr="00F32FCC">
        <w:t>Table B.1</w:t>
      </w:r>
      <w:r w:rsidRPr="009E4AB1">
        <w:fldChar w:fldCharType="end"/>
      </w:r>
      <w:r>
        <w:t xml:space="preserve">.The CBA model quantifies these costs and benefits separately for each scenario under consideration, year-on-year over the period of the analysis. </w:t>
      </w:r>
    </w:p>
    <w:p w14:paraId="759A8D4A" w14:textId="77777777" w:rsidR="00676882" w:rsidRDefault="00676882" w:rsidP="00676882">
      <w:pPr>
        <w:pStyle w:val="BodyText"/>
      </w:pPr>
      <w:r>
        <w:t xml:space="preserve">The analysis of costs and benefits have been guided by feedback and input received from stakeholders during consultations. </w:t>
      </w:r>
    </w:p>
    <w:p w14:paraId="452B4080" w14:textId="77777777" w:rsidR="00676882" w:rsidRDefault="00676882" w:rsidP="00676882">
      <w:pPr>
        <w:pStyle w:val="ListBullet"/>
        <w:numPr>
          <w:ilvl w:val="0"/>
          <w:numId w:val="0"/>
        </w:numPr>
        <w:ind w:left="-709"/>
      </w:pPr>
      <w:bookmarkStart w:id="365" w:name="_Ref80699373"/>
      <w:bookmarkStart w:id="366" w:name="_Toc80719338"/>
      <w:r>
        <w:rPr>
          <w:rStyle w:val="CaptionLabel"/>
        </w:rPr>
        <w:t>Table </w:t>
      </w:r>
      <w:r>
        <w:fldChar w:fldCharType="begin"/>
      </w:r>
      <w:r>
        <w:rPr>
          <w:rStyle w:val="CaptionLabel"/>
        </w:rPr>
        <w:instrText xml:space="preserve"> STYLEREF 9 \S \* MERGEFORMAT </w:instrText>
      </w:r>
      <w:r>
        <w:fldChar w:fldCharType="separate"/>
      </w:r>
      <w:r>
        <w:rPr>
          <w:rStyle w:val="CaptionLabel"/>
          <w:noProof/>
        </w:rPr>
        <w:t>B</w:t>
      </w:r>
      <w:r>
        <w:fldChar w:fldCharType="end"/>
      </w:r>
      <w:r>
        <w:rPr>
          <w:rStyle w:val="CaptionLabel"/>
        </w:rPr>
        <w:t>.</w:t>
      </w:r>
      <w:r>
        <w:fldChar w:fldCharType="begin"/>
      </w:r>
      <w:r>
        <w:rPr>
          <w:rStyle w:val="CaptionLabel"/>
        </w:rPr>
        <w:instrText xml:space="preserve"> SEQ Table_AP \* ARABIC \S 9 \* MERGEFORMAT </w:instrText>
      </w:r>
      <w:r>
        <w:fldChar w:fldCharType="separate"/>
      </w:r>
      <w:r>
        <w:rPr>
          <w:rStyle w:val="CaptionLabel"/>
          <w:noProof/>
        </w:rPr>
        <w:t>1</w:t>
      </w:r>
      <w:r>
        <w:fldChar w:fldCharType="end"/>
      </w:r>
      <w:bookmarkEnd w:id="365"/>
      <w:r>
        <w:tab/>
        <w:t>Costs and benefits included in the CBA model</w:t>
      </w:r>
      <w:bookmarkEnd w:id="366"/>
    </w:p>
    <w:tbl>
      <w:tblPr>
        <w:tblW w:w="10350" w:type="dxa"/>
        <w:tblInd w:w="-2417"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B.1"/>
        <w:tblDescription w:val="Costs and benefits included in the CBA model"/>
      </w:tblPr>
      <w:tblGrid>
        <w:gridCol w:w="454"/>
        <w:gridCol w:w="1396"/>
        <w:gridCol w:w="4250"/>
        <w:gridCol w:w="4250"/>
      </w:tblGrid>
      <w:tr w:rsidR="00676882" w14:paraId="4446DE1C" w14:textId="77777777" w:rsidTr="00DF45FA">
        <w:trPr>
          <w:tblHeader/>
        </w:trPr>
        <w:tc>
          <w:tcPr>
            <w:tcW w:w="1850" w:type="dxa"/>
            <w:gridSpan w:val="2"/>
            <w:tcBorders>
              <w:top w:val="nil"/>
              <w:left w:val="nil"/>
              <w:bottom w:val="nil"/>
              <w:right w:val="nil"/>
            </w:tcBorders>
            <w:shd w:val="clear" w:color="auto" w:fill="140034"/>
            <w:tcMar>
              <w:top w:w="0" w:type="dxa"/>
              <w:left w:w="454" w:type="dxa"/>
              <w:bottom w:w="40" w:type="dxa"/>
              <w:right w:w="0" w:type="dxa"/>
            </w:tcMar>
          </w:tcPr>
          <w:p w14:paraId="275648A4" w14:textId="77777777" w:rsidR="00676882" w:rsidRDefault="00676882" w:rsidP="00DF45FA">
            <w:pPr>
              <w:pStyle w:val="Tablecolumnheadings"/>
            </w:pPr>
          </w:p>
        </w:tc>
        <w:tc>
          <w:tcPr>
            <w:tcW w:w="4250" w:type="dxa"/>
            <w:tcBorders>
              <w:top w:val="nil"/>
              <w:left w:val="nil"/>
              <w:bottom w:val="nil"/>
              <w:right w:val="nil"/>
            </w:tcBorders>
            <w:shd w:val="clear" w:color="auto" w:fill="140034"/>
            <w:hideMark/>
          </w:tcPr>
          <w:p w14:paraId="342D82C3" w14:textId="77777777" w:rsidR="00676882" w:rsidRDefault="00676882" w:rsidP="00DF45FA">
            <w:pPr>
              <w:pStyle w:val="Tablecolumnheadings"/>
            </w:pPr>
            <w:r>
              <w:t>Costs</w:t>
            </w:r>
          </w:p>
        </w:tc>
        <w:tc>
          <w:tcPr>
            <w:tcW w:w="4250" w:type="dxa"/>
            <w:tcBorders>
              <w:top w:val="nil"/>
              <w:left w:val="nil"/>
              <w:bottom w:val="nil"/>
              <w:right w:val="single" w:sz="6" w:space="0" w:color="140034"/>
            </w:tcBorders>
            <w:shd w:val="clear" w:color="auto" w:fill="140034"/>
            <w:hideMark/>
          </w:tcPr>
          <w:p w14:paraId="50FE3BBF" w14:textId="77777777" w:rsidR="00676882" w:rsidRDefault="00676882" w:rsidP="00DF45FA">
            <w:pPr>
              <w:pStyle w:val="Tablecolumnheadings"/>
            </w:pPr>
            <w:r>
              <w:t>Benefits</w:t>
            </w:r>
          </w:p>
        </w:tc>
      </w:tr>
      <w:tr w:rsidR="00676882" w14:paraId="4C7293CE" w14:textId="77777777" w:rsidTr="00DF45FA">
        <w:trPr>
          <w:gridBefore w:val="1"/>
          <w:wBefore w:w="454" w:type="dxa"/>
        </w:trPr>
        <w:tc>
          <w:tcPr>
            <w:tcW w:w="1396" w:type="dxa"/>
            <w:tcBorders>
              <w:top w:val="nil"/>
              <w:left w:val="nil"/>
              <w:bottom w:val="single" w:sz="4" w:space="0" w:color="646464"/>
              <w:right w:val="nil"/>
            </w:tcBorders>
            <w:hideMark/>
          </w:tcPr>
          <w:p w14:paraId="6DC3BC33" w14:textId="77777777" w:rsidR="00676882" w:rsidRDefault="00676882" w:rsidP="00DF45FA">
            <w:pPr>
              <w:pStyle w:val="Tabletext"/>
            </w:pPr>
            <w:r>
              <w:rPr>
                <w:color w:val="auto"/>
              </w:rPr>
              <w:t>Households</w:t>
            </w:r>
          </w:p>
        </w:tc>
        <w:tc>
          <w:tcPr>
            <w:tcW w:w="4250" w:type="dxa"/>
            <w:tcBorders>
              <w:top w:val="nil"/>
              <w:left w:val="nil"/>
              <w:bottom w:val="single" w:sz="4" w:space="0" w:color="646464"/>
              <w:right w:val="nil"/>
            </w:tcBorders>
            <w:hideMark/>
          </w:tcPr>
          <w:p w14:paraId="0917DD2D"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Cost of energy efficiency upgrades</w:t>
            </w:r>
          </w:p>
          <w:p w14:paraId="738CC982"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 xml:space="preserve">Cost of maintenance/servicing the installed upgrades </w:t>
            </w:r>
          </w:p>
          <w:p w14:paraId="7B1B68F9"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Cost of safety or performance assessments</w:t>
            </w:r>
          </w:p>
          <w:p w14:paraId="65971642"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Householder time during energy assessment (under a performance-based policy)</w:t>
            </w:r>
          </w:p>
        </w:tc>
        <w:tc>
          <w:tcPr>
            <w:tcW w:w="4250" w:type="dxa"/>
            <w:tcBorders>
              <w:top w:val="nil"/>
              <w:left w:val="nil"/>
              <w:bottom w:val="single" w:sz="4" w:space="0" w:color="646464"/>
              <w:right w:val="nil"/>
            </w:tcBorders>
          </w:tcPr>
          <w:p w14:paraId="703DE147" w14:textId="77777777" w:rsidR="00676882" w:rsidRDefault="00676882" w:rsidP="00676882">
            <w:pPr>
              <w:pStyle w:val="Tablelistbullet"/>
              <w:numPr>
                <w:ilvl w:val="0"/>
                <w:numId w:val="46"/>
              </w:numPr>
              <w:tabs>
                <w:tab w:val="left" w:pos="720"/>
              </w:tabs>
              <w:spacing w:before="60" w:after="0"/>
              <w:ind w:right="120"/>
            </w:pPr>
            <w:r>
              <w:t>Energy savings accruing from reduced energy use</w:t>
            </w:r>
          </w:p>
          <w:p w14:paraId="10F851F0" w14:textId="77777777" w:rsidR="00676882" w:rsidRDefault="00676882" w:rsidP="00676882">
            <w:pPr>
              <w:pStyle w:val="Tablelistbullet"/>
              <w:numPr>
                <w:ilvl w:val="0"/>
                <w:numId w:val="46"/>
              </w:numPr>
              <w:tabs>
                <w:tab w:val="left" w:pos="720"/>
              </w:tabs>
              <w:spacing w:before="60" w:after="0"/>
              <w:ind w:right="120"/>
            </w:pPr>
            <w:r>
              <w:t>Health benefits from avoided domestic gas usage</w:t>
            </w:r>
          </w:p>
          <w:p w14:paraId="216C2275" w14:textId="77777777" w:rsidR="00676882" w:rsidRDefault="00676882" w:rsidP="00DF45FA">
            <w:pPr>
              <w:pStyle w:val="Tablelistbullet"/>
              <w:numPr>
                <w:ilvl w:val="0"/>
                <w:numId w:val="0"/>
              </w:numPr>
              <w:tabs>
                <w:tab w:val="left" w:pos="720"/>
              </w:tabs>
              <w:spacing w:before="60" w:after="0"/>
              <w:ind w:left="280" w:right="120"/>
            </w:pPr>
          </w:p>
        </w:tc>
      </w:tr>
      <w:tr w:rsidR="00676882" w14:paraId="2B58593A" w14:textId="77777777" w:rsidTr="00DF45FA">
        <w:trPr>
          <w:gridBefore w:val="1"/>
          <w:wBefore w:w="454" w:type="dxa"/>
        </w:trPr>
        <w:tc>
          <w:tcPr>
            <w:tcW w:w="1396" w:type="dxa"/>
            <w:tcBorders>
              <w:top w:val="single" w:sz="4" w:space="0" w:color="646464"/>
              <w:left w:val="nil"/>
              <w:bottom w:val="single" w:sz="4" w:space="0" w:color="646464"/>
              <w:right w:val="nil"/>
            </w:tcBorders>
            <w:hideMark/>
          </w:tcPr>
          <w:p w14:paraId="629D339B" w14:textId="77777777" w:rsidR="00676882" w:rsidRDefault="00676882" w:rsidP="00DF45FA">
            <w:pPr>
              <w:pStyle w:val="Tabletext"/>
            </w:pPr>
            <w:r>
              <w:rPr>
                <w:color w:val="auto"/>
              </w:rPr>
              <w:t>Industry</w:t>
            </w:r>
          </w:p>
        </w:tc>
        <w:tc>
          <w:tcPr>
            <w:tcW w:w="4250" w:type="dxa"/>
            <w:tcBorders>
              <w:top w:val="single" w:sz="4" w:space="0" w:color="646464"/>
              <w:left w:val="nil"/>
              <w:bottom w:val="single" w:sz="4" w:space="0" w:color="646464"/>
              <w:right w:val="nil"/>
            </w:tcBorders>
            <w:hideMark/>
          </w:tcPr>
          <w:p w14:paraId="43D19F1E" w14:textId="77777777" w:rsidR="00676882" w:rsidRDefault="00676882" w:rsidP="00676882">
            <w:pPr>
              <w:pStyle w:val="Tablelistbullet"/>
              <w:numPr>
                <w:ilvl w:val="0"/>
                <w:numId w:val="46"/>
              </w:numPr>
              <w:tabs>
                <w:tab w:val="left" w:pos="720"/>
              </w:tabs>
              <w:spacing w:before="60" w:after="0"/>
              <w:ind w:right="120"/>
            </w:pPr>
            <w:r>
              <w:t>Property manager time required to organise upgrades</w:t>
            </w:r>
          </w:p>
          <w:p w14:paraId="5BD22B9F" w14:textId="77777777" w:rsidR="00676882" w:rsidRDefault="00676882" w:rsidP="00676882">
            <w:pPr>
              <w:pStyle w:val="Tablelistbullet"/>
              <w:numPr>
                <w:ilvl w:val="0"/>
                <w:numId w:val="46"/>
              </w:numPr>
              <w:tabs>
                <w:tab w:val="left" w:pos="720"/>
              </w:tabs>
              <w:spacing w:before="60" w:after="0"/>
              <w:ind w:right="120"/>
            </w:pPr>
            <w:r>
              <w:t>Training time for performance assessors (performance-option)</w:t>
            </w:r>
          </w:p>
          <w:p w14:paraId="28E057EB" w14:textId="77777777" w:rsidR="00676882" w:rsidRDefault="00676882" w:rsidP="00676882">
            <w:pPr>
              <w:pStyle w:val="Tablelistbullet"/>
              <w:numPr>
                <w:ilvl w:val="0"/>
                <w:numId w:val="46"/>
              </w:numPr>
              <w:tabs>
                <w:tab w:val="left" w:pos="720"/>
              </w:tabs>
              <w:spacing w:before="60" w:after="0"/>
              <w:ind w:right="120"/>
            </w:pPr>
            <w:r>
              <w:t>Insurance required for performance assessors</w:t>
            </w:r>
          </w:p>
          <w:p w14:paraId="41998E17" w14:textId="77777777" w:rsidR="00676882" w:rsidRDefault="00676882" w:rsidP="00DF45FA">
            <w:pPr>
              <w:pStyle w:val="Tabletext"/>
            </w:pPr>
          </w:p>
        </w:tc>
        <w:tc>
          <w:tcPr>
            <w:tcW w:w="4250" w:type="dxa"/>
            <w:tcBorders>
              <w:top w:val="single" w:sz="4" w:space="0" w:color="646464"/>
              <w:left w:val="nil"/>
              <w:bottom w:val="single" w:sz="4" w:space="0" w:color="646464"/>
              <w:right w:val="nil"/>
            </w:tcBorders>
          </w:tcPr>
          <w:p w14:paraId="3AECD947" w14:textId="77777777" w:rsidR="00676882" w:rsidRDefault="00676882" w:rsidP="00DF45FA">
            <w:pPr>
              <w:pStyle w:val="Tabletext"/>
            </w:pPr>
          </w:p>
        </w:tc>
      </w:tr>
      <w:tr w:rsidR="00676882" w14:paraId="032F17DD" w14:textId="77777777" w:rsidTr="00DF45FA">
        <w:trPr>
          <w:gridBefore w:val="1"/>
          <w:wBefore w:w="454" w:type="dxa"/>
        </w:trPr>
        <w:tc>
          <w:tcPr>
            <w:tcW w:w="1396" w:type="dxa"/>
            <w:tcBorders>
              <w:top w:val="single" w:sz="4" w:space="0" w:color="646464"/>
              <w:left w:val="nil"/>
              <w:bottom w:val="single" w:sz="4" w:space="0" w:color="646464"/>
              <w:right w:val="nil"/>
            </w:tcBorders>
            <w:hideMark/>
          </w:tcPr>
          <w:p w14:paraId="7763D724" w14:textId="77777777" w:rsidR="00676882" w:rsidRDefault="00676882" w:rsidP="00DF45FA">
            <w:pPr>
              <w:pStyle w:val="Tabletext"/>
            </w:pPr>
            <w:r>
              <w:rPr>
                <w:color w:val="auto"/>
              </w:rPr>
              <w:t>Government</w:t>
            </w:r>
          </w:p>
        </w:tc>
        <w:tc>
          <w:tcPr>
            <w:tcW w:w="4250" w:type="dxa"/>
            <w:tcBorders>
              <w:top w:val="single" w:sz="4" w:space="0" w:color="646464"/>
              <w:left w:val="nil"/>
              <w:bottom w:val="single" w:sz="4" w:space="0" w:color="646464"/>
              <w:right w:val="nil"/>
            </w:tcBorders>
            <w:hideMark/>
          </w:tcPr>
          <w:p w14:paraId="4C416E72"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Administration and enforcement costs</w:t>
            </w:r>
          </w:p>
          <w:p w14:paraId="0536FAB0"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Cost of any complementary measures (</w:t>
            </w:r>
            <w:proofErr w:type="gramStart"/>
            <w:r>
              <w:rPr>
                <w:color w:val="auto"/>
              </w:rPr>
              <w:t>e.g.</w:t>
            </w:r>
            <w:proofErr w:type="gramEnd"/>
            <w:r>
              <w:rPr>
                <w:color w:val="auto"/>
              </w:rPr>
              <w:t xml:space="preserve"> information campaigns, etc. – but excluding rebates/subsidies)</w:t>
            </w:r>
          </w:p>
          <w:p w14:paraId="293BDB4D" w14:textId="77777777" w:rsidR="00676882" w:rsidRDefault="00676882" w:rsidP="00676882">
            <w:pPr>
              <w:pStyle w:val="Tablelistbullet"/>
              <w:numPr>
                <w:ilvl w:val="0"/>
                <w:numId w:val="46"/>
              </w:numPr>
              <w:tabs>
                <w:tab w:val="left" w:pos="720"/>
              </w:tabs>
              <w:spacing w:before="60" w:after="0"/>
              <w:ind w:right="120"/>
              <w:rPr>
                <w:color w:val="auto"/>
              </w:rPr>
            </w:pPr>
            <w:r>
              <w:rPr>
                <w:color w:val="auto"/>
              </w:rPr>
              <w:t xml:space="preserve">Costs associated with energy efficiency upgrades for public housing (Housing ACT) </w:t>
            </w:r>
          </w:p>
        </w:tc>
        <w:tc>
          <w:tcPr>
            <w:tcW w:w="4250" w:type="dxa"/>
            <w:tcBorders>
              <w:top w:val="single" w:sz="4" w:space="0" w:color="646464"/>
              <w:left w:val="nil"/>
              <w:bottom w:val="single" w:sz="4" w:space="0" w:color="646464"/>
              <w:right w:val="nil"/>
            </w:tcBorders>
          </w:tcPr>
          <w:p w14:paraId="7858D6A3" w14:textId="77777777" w:rsidR="00676882" w:rsidRDefault="00676882" w:rsidP="00DF45FA">
            <w:pPr>
              <w:pStyle w:val="Tabletext"/>
            </w:pPr>
          </w:p>
        </w:tc>
      </w:tr>
      <w:tr w:rsidR="00676882" w14:paraId="5A95A79B" w14:textId="77777777" w:rsidTr="00DF45FA">
        <w:trPr>
          <w:gridBefore w:val="1"/>
          <w:wBefore w:w="454" w:type="dxa"/>
        </w:trPr>
        <w:tc>
          <w:tcPr>
            <w:tcW w:w="1396" w:type="dxa"/>
            <w:tcBorders>
              <w:top w:val="single" w:sz="4" w:space="0" w:color="646464"/>
              <w:left w:val="nil"/>
              <w:bottom w:val="single" w:sz="4" w:space="0" w:color="646464"/>
              <w:right w:val="nil"/>
            </w:tcBorders>
            <w:hideMark/>
          </w:tcPr>
          <w:p w14:paraId="40B33B72" w14:textId="77777777" w:rsidR="00676882" w:rsidRDefault="00676882" w:rsidP="00DF45FA">
            <w:pPr>
              <w:pStyle w:val="Tabletext"/>
            </w:pPr>
            <w:r>
              <w:rPr>
                <w:color w:val="auto"/>
              </w:rPr>
              <w:t>Society</w:t>
            </w:r>
          </w:p>
        </w:tc>
        <w:tc>
          <w:tcPr>
            <w:tcW w:w="4250" w:type="dxa"/>
            <w:tcBorders>
              <w:top w:val="single" w:sz="4" w:space="0" w:color="646464"/>
              <w:left w:val="nil"/>
              <w:bottom w:val="single" w:sz="4" w:space="0" w:color="646464"/>
              <w:right w:val="nil"/>
            </w:tcBorders>
          </w:tcPr>
          <w:p w14:paraId="36FC6D2B" w14:textId="77777777" w:rsidR="00676882" w:rsidRDefault="00676882" w:rsidP="00DF45FA">
            <w:pPr>
              <w:pStyle w:val="Tabletext"/>
            </w:pPr>
          </w:p>
        </w:tc>
        <w:tc>
          <w:tcPr>
            <w:tcW w:w="4250" w:type="dxa"/>
            <w:tcBorders>
              <w:top w:val="single" w:sz="4" w:space="0" w:color="646464"/>
              <w:left w:val="nil"/>
              <w:bottom w:val="single" w:sz="4" w:space="0" w:color="646464"/>
              <w:right w:val="nil"/>
            </w:tcBorders>
            <w:hideMark/>
          </w:tcPr>
          <w:p w14:paraId="0CF4D28E" w14:textId="77777777" w:rsidR="00676882" w:rsidRDefault="00676882" w:rsidP="00676882">
            <w:pPr>
              <w:pStyle w:val="Tablelistbullet"/>
              <w:numPr>
                <w:ilvl w:val="0"/>
                <w:numId w:val="46"/>
              </w:numPr>
              <w:tabs>
                <w:tab w:val="left" w:pos="720"/>
              </w:tabs>
              <w:spacing w:before="60" w:after="0"/>
              <w:ind w:right="120"/>
            </w:pPr>
            <w:r>
              <w:t xml:space="preserve">Reduced greenhouse gas emissions from household gas use </w:t>
            </w:r>
          </w:p>
          <w:p w14:paraId="273E5373" w14:textId="77777777" w:rsidR="00676882" w:rsidRDefault="00676882" w:rsidP="00676882">
            <w:pPr>
              <w:pStyle w:val="Tablelistbullet"/>
              <w:numPr>
                <w:ilvl w:val="0"/>
                <w:numId w:val="46"/>
              </w:numPr>
              <w:tabs>
                <w:tab w:val="left" w:pos="720"/>
              </w:tabs>
              <w:spacing w:before="60" w:after="0"/>
              <w:ind w:right="120"/>
            </w:pPr>
            <w:r>
              <w:t>Reduced renewable energy offsets for the ACT</w:t>
            </w:r>
          </w:p>
          <w:p w14:paraId="1D142FA8" w14:textId="77777777" w:rsidR="00676882" w:rsidRDefault="00676882" w:rsidP="00676882">
            <w:pPr>
              <w:pStyle w:val="Tablelistbullet"/>
              <w:numPr>
                <w:ilvl w:val="0"/>
                <w:numId w:val="46"/>
              </w:numPr>
              <w:tabs>
                <w:tab w:val="left" w:pos="720"/>
              </w:tabs>
              <w:spacing w:before="60" w:after="0"/>
              <w:ind w:right="120"/>
            </w:pPr>
            <w:r>
              <w:t xml:space="preserve">Avoided electricity network costs </w:t>
            </w:r>
          </w:p>
          <w:p w14:paraId="2A750172" w14:textId="77777777" w:rsidR="00676882" w:rsidRDefault="00676882" w:rsidP="00676882">
            <w:pPr>
              <w:pStyle w:val="Tablelistbullet"/>
              <w:numPr>
                <w:ilvl w:val="0"/>
                <w:numId w:val="46"/>
              </w:numPr>
              <w:tabs>
                <w:tab w:val="left" w:pos="720"/>
              </w:tabs>
              <w:spacing w:before="60" w:after="0"/>
              <w:ind w:right="120"/>
            </w:pPr>
            <w:r>
              <w:t>Improved air quality benefits from carbon and gas generated electricity (not attributable to ACT residents) and from reduced gas use.</w:t>
            </w:r>
          </w:p>
          <w:p w14:paraId="65C53BD8" w14:textId="77777777" w:rsidR="00676882" w:rsidRDefault="00676882" w:rsidP="00DF45FA">
            <w:pPr>
              <w:pStyle w:val="Tablelistbullet"/>
              <w:numPr>
                <w:ilvl w:val="0"/>
                <w:numId w:val="0"/>
              </w:numPr>
              <w:tabs>
                <w:tab w:val="left" w:pos="720"/>
              </w:tabs>
              <w:spacing w:before="60" w:after="0"/>
              <w:ind w:right="120"/>
            </w:pPr>
          </w:p>
        </w:tc>
      </w:tr>
      <w:tr w:rsidR="00676882" w14:paraId="09E4E478" w14:textId="77777777" w:rsidTr="00DF45FA">
        <w:trPr>
          <w:gridBefore w:val="1"/>
          <w:wBefore w:w="454" w:type="dxa"/>
        </w:trPr>
        <w:tc>
          <w:tcPr>
            <w:tcW w:w="9896" w:type="dxa"/>
            <w:gridSpan w:val="3"/>
            <w:tcBorders>
              <w:top w:val="single" w:sz="4" w:space="0" w:color="646464"/>
              <w:left w:val="nil"/>
              <w:bottom w:val="single" w:sz="4" w:space="0" w:color="646464"/>
              <w:right w:val="nil"/>
            </w:tcBorders>
            <w:hideMark/>
          </w:tcPr>
          <w:p w14:paraId="3A4BD2DB" w14:textId="77777777" w:rsidR="00676882" w:rsidRDefault="00676882" w:rsidP="00DF45FA">
            <w:pPr>
              <w:pStyle w:val="Source"/>
            </w:pPr>
            <w:r>
              <w:t>Source: ACIL Allen</w:t>
            </w:r>
          </w:p>
        </w:tc>
      </w:tr>
      <w:tr w:rsidR="00676882" w14:paraId="5EB60CAB" w14:textId="77777777" w:rsidTr="00DF45FA">
        <w:trPr>
          <w:gridBefore w:val="1"/>
          <w:wBefore w:w="454" w:type="dxa"/>
          <w:trHeight w:val="160"/>
        </w:trPr>
        <w:tc>
          <w:tcPr>
            <w:tcW w:w="9896" w:type="dxa"/>
            <w:gridSpan w:val="3"/>
            <w:tcBorders>
              <w:top w:val="single" w:sz="4" w:space="0" w:color="646464"/>
              <w:left w:val="nil"/>
              <w:bottom w:val="nil"/>
              <w:right w:val="nil"/>
            </w:tcBorders>
          </w:tcPr>
          <w:p w14:paraId="2D1D78F5" w14:textId="77777777" w:rsidR="00676882" w:rsidRDefault="00676882" w:rsidP="00DF45FA">
            <w:pPr>
              <w:pStyle w:val="spacer"/>
            </w:pPr>
          </w:p>
        </w:tc>
      </w:tr>
    </w:tbl>
    <w:p w14:paraId="0910E8C5" w14:textId="77777777" w:rsidR="00676882" w:rsidRDefault="00676882" w:rsidP="00676882">
      <w:pPr>
        <w:pStyle w:val="BodyText"/>
      </w:pPr>
      <w:r>
        <w:t xml:space="preserve">As noted above, standard practice is to undertake cost-benefit analysis of the policy options from the perspective of the broader ACT community, with impacts that are transfers between stakeholders (such as between the ACT Government and rental providers and between rental providers and tenants) netted out. Nevertheless, it is important to consider the implications of some of these transfers on each type of stakeholder. These distributional impacts have been separately analysed in the RIS. </w:t>
      </w:r>
    </w:p>
    <w:p w14:paraId="68BE8F93" w14:textId="77777777" w:rsidR="00676882" w:rsidRDefault="00676882" w:rsidP="00676882">
      <w:pPr>
        <w:pStyle w:val="BodyText"/>
      </w:pPr>
      <w:r>
        <w:t xml:space="preserve">Additional details about our proposed analysis of costs, benefits and distributional impacts </w:t>
      </w:r>
      <w:proofErr w:type="gramStart"/>
      <w:r>
        <w:t>is</w:t>
      </w:r>
      <w:proofErr w:type="gramEnd"/>
      <w:r>
        <w:t xml:space="preserve"> provided in the sections below. </w:t>
      </w:r>
    </w:p>
    <w:p w14:paraId="7196FB93" w14:textId="77777777" w:rsidR="00676882" w:rsidRDefault="00676882" w:rsidP="00676882">
      <w:pPr>
        <w:pStyle w:val="BodyText"/>
      </w:pPr>
      <w:r>
        <w:lastRenderedPageBreak/>
        <w:t xml:space="preserve">Further detail on the assumptions and data is included in appendix section </w:t>
      </w:r>
      <w:r w:rsidRPr="009E4AB1">
        <w:fldChar w:fldCharType="begin"/>
      </w:r>
      <w:r w:rsidRPr="009E4AB1">
        <w:instrText xml:space="preserve"> REF _Ref80716592 \r \h  \* MERGEFORMAT </w:instrText>
      </w:r>
      <w:r w:rsidRPr="009E4AB1">
        <w:fldChar w:fldCharType="separate"/>
      </w:r>
      <w:r>
        <w:t>B.5</w:t>
      </w:r>
      <w:r w:rsidRPr="009E4AB1">
        <w:fldChar w:fldCharType="end"/>
      </w:r>
      <w:r>
        <w:t xml:space="preserve">. Assumptions underlying the housing stock model are given in Appendix </w:t>
      </w:r>
      <w:r w:rsidRPr="009E4AB1">
        <w:fldChar w:fldCharType="begin"/>
      </w:r>
      <w:r w:rsidRPr="009E4AB1">
        <w:instrText xml:space="preserve"> REF _Ref75909177 \r \h  \* MERGEFORMAT </w:instrText>
      </w:r>
      <w:r w:rsidRPr="009E4AB1">
        <w:fldChar w:fldCharType="separate"/>
      </w:r>
      <w:r>
        <w:t>C</w:t>
      </w:r>
      <w:r w:rsidRPr="009E4AB1">
        <w:fldChar w:fldCharType="end"/>
      </w:r>
      <w:r>
        <w:t>.</w:t>
      </w:r>
    </w:p>
    <w:p w14:paraId="483E3C4D" w14:textId="77777777" w:rsidR="00676882" w:rsidRDefault="00676882" w:rsidP="00676882">
      <w:pPr>
        <w:pStyle w:val="Heading2AP"/>
        <w:numPr>
          <w:ilvl w:val="1"/>
          <w:numId w:val="45"/>
        </w:numPr>
      </w:pPr>
      <w:bookmarkStart w:id="367" w:name="_Toc80281735"/>
      <w:bookmarkStart w:id="368" w:name="_Toc80712613"/>
      <w:r>
        <w:t>Analysis of benefits</w:t>
      </w:r>
      <w:bookmarkEnd w:id="367"/>
      <w:bookmarkEnd w:id="368"/>
    </w:p>
    <w:p w14:paraId="169C203B" w14:textId="77777777" w:rsidR="00676882" w:rsidRDefault="00676882" w:rsidP="00676882">
      <w:pPr>
        <w:pStyle w:val="Heading3AP"/>
        <w:numPr>
          <w:ilvl w:val="2"/>
          <w:numId w:val="45"/>
        </w:numPr>
      </w:pPr>
      <w:bookmarkStart w:id="369" w:name="_Ref80461159"/>
      <w:r>
        <w:t>Quantifiable benefits</w:t>
      </w:r>
      <w:bookmarkEnd w:id="369"/>
    </w:p>
    <w:p w14:paraId="7E8D2B21" w14:textId="77777777" w:rsidR="00676882" w:rsidRDefault="00676882" w:rsidP="00676882">
      <w:pPr>
        <w:pStyle w:val="BodyText"/>
      </w:pPr>
      <w:r>
        <w:t xml:space="preserve">As noted in section </w:t>
      </w:r>
      <w:r w:rsidRPr="009E4AB1">
        <w:fldChar w:fldCharType="begin"/>
      </w:r>
      <w:r w:rsidRPr="009E4AB1">
        <w:instrText xml:space="preserve"> REF _Ref76309240 \r \h  \* MERGEFORMAT </w:instrText>
      </w:r>
      <w:r w:rsidRPr="009E4AB1">
        <w:fldChar w:fldCharType="separate"/>
      </w:r>
      <w:r>
        <w:t>5.1</w:t>
      </w:r>
      <w:r w:rsidRPr="009E4AB1">
        <w:fldChar w:fldCharType="end"/>
      </w:r>
      <w:r>
        <w:t>, the following benefits have been quantified in the RIS as part of the CBA:</w:t>
      </w:r>
    </w:p>
    <w:p w14:paraId="08BC9DEF" w14:textId="77777777" w:rsidR="00676882" w:rsidRDefault="00676882" w:rsidP="00676882">
      <w:pPr>
        <w:pStyle w:val="ListBullet"/>
      </w:pPr>
      <w:r w:rsidRPr="000A751F">
        <w:rPr>
          <w:b/>
          <w:bCs/>
        </w:rPr>
        <w:t>Energy</w:t>
      </w:r>
      <w:r>
        <w:rPr>
          <w:b/>
          <w:bCs/>
        </w:rPr>
        <w:t xml:space="preserve"> </w:t>
      </w:r>
      <w:r w:rsidRPr="000A751F">
        <w:rPr>
          <w:b/>
          <w:bCs/>
        </w:rPr>
        <w:t>benefits</w:t>
      </w:r>
      <w:r>
        <w:rPr>
          <w:b/>
          <w:bCs/>
        </w:rPr>
        <w:t xml:space="preserve"> </w:t>
      </w:r>
      <w:r>
        <w:t>– these are benefits from the saved cost of supplying energy. This is the most certain measure of benefits available and includes:</w:t>
      </w:r>
    </w:p>
    <w:p w14:paraId="47038090" w14:textId="77777777" w:rsidR="00676882" w:rsidRDefault="00676882" w:rsidP="00676882">
      <w:pPr>
        <w:pStyle w:val="ListBullet2"/>
      </w:pPr>
      <w:r w:rsidRPr="000A751F">
        <w:rPr>
          <w:i/>
          <w:iCs/>
        </w:rPr>
        <w:t>Reduced</w:t>
      </w:r>
      <w:r>
        <w:rPr>
          <w:i/>
          <w:iCs/>
        </w:rPr>
        <w:t xml:space="preserve"> </w:t>
      </w:r>
      <w:r w:rsidRPr="000A751F">
        <w:rPr>
          <w:i/>
          <w:iCs/>
        </w:rPr>
        <w:t>energy</w:t>
      </w:r>
      <w:r>
        <w:rPr>
          <w:i/>
          <w:iCs/>
        </w:rPr>
        <w:t xml:space="preserve"> </w:t>
      </w:r>
      <w:r w:rsidRPr="000A751F">
        <w:rPr>
          <w:i/>
          <w:iCs/>
        </w:rPr>
        <w:t>costs</w:t>
      </w:r>
      <w:r>
        <w:rPr>
          <w:i/>
          <w:iCs/>
        </w:rPr>
        <w:t xml:space="preserve"> </w:t>
      </w:r>
      <w:r>
        <w:t xml:space="preserve">– the primary benefit of minimum standards for residential rental properties is reduced energy costs. These are realised through lower electricity, gas or firewood use by tenants. For a small subset of households, this is supplemented by offsetting rooftop solar — and, when considering impacts on tenants, exports to the electricity grid. </w:t>
      </w:r>
    </w:p>
    <w:p w14:paraId="6C67EAA1" w14:textId="77777777" w:rsidR="00676882" w:rsidRDefault="00676882" w:rsidP="00676882">
      <w:pPr>
        <w:pStyle w:val="ListBullet2"/>
      </w:pPr>
      <w:r w:rsidRPr="000A751F">
        <w:rPr>
          <w:i/>
          <w:iCs/>
        </w:rPr>
        <w:t>Reduced</w:t>
      </w:r>
      <w:r>
        <w:rPr>
          <w:i/>
          <w:iCs/>
        </w:rPr>
        <w:t xml:space="preserve"> </w:t>
      </w:r>
      <w:r w:rsidRPr="000A751F">
        <w:rPr>
          <w:i/>
          <w:iCs/>
        </w:rPr>
        <w:t>network</w:t>
      </w:r>
      <w:r>
        <w:rPr>
          <w:i/>
          <w:iCs/>
        </w:rPr>
        <w:t xml:space="preserve"> </w:t>
      </w:r>
      <w:r w:rsidRPr="000A751F">
        <w:rPr>
          <w:i/>
          <w:iCs/>
        </w:rPr>
        <w:t>costs</w:t>
      </w:r>
      <w:r>
        <w:rPr>
          <w:i/>
          <w:iCs/>
        </w:rPr>
        <w:t xml:space="preserve"> </w:t>
      </w:r>
      <w:r>
        <w:t xml:space="preserve">– the electricity network is built to provide electricity at peak usage. A reduction in the ACT’s peak electrical usage will marginally lower network costs associated with investments in additional transmission and distribution network capacity. </w:t>
      </w:r>
    </w:p>
    <w:p w14:paraId="69A105EA" w14:textId="77777777" w:rsidR="00676882" w:rsidRDefault="00676882" w:rsidP="00676882">
      <w:pPr>
        <w:pStyle w:val="ListBullet2"/>
      </w:pPr>
      <w:r w:rsidRPr="000A751F">
        <w:rPr>
          <w:i/>
          <w:iCs/>
        </w:rPr>
        <w:t>Reduced</w:t>
      </w:r>
      <w:r>
        <w:rPr>
          <w:i/>
          <w:iCs/>
        </w:rPr>
        <w:t xml:space="preserve"> </w:t>
      </w:r>
      <w:r w:rsidRPr="000A751F">
        <w:rPr>
          <w:i/>
          <w:iCs/>
        </w:rPr>
        <w:t>renewable</w:t>
      </w:r>
      <w:r>
        <w:rPr>
          <w:i/>
          <w:iCs/>
        </w:rPr>
        <w:t xml:space="preserve"> </w:t>
      </w:r>
      <w:r w:rsidRPr="000A751F">
        <w:rPr>
          <w:i/>
          <w:iCs/>
        </w:rPr>
        <w:t>energy</w:t>
      </w:r>
      <w:r>
        <w:rPr>
          <w:i/>
          <w:iCs/>
        </w:rPr>
        <w:t xml:space="preserve"> </w:t>
      </w:r>
      <w:r w:rsidRPr="000A751F">
        <w:rPr>
          <w:i/>
          <w:iCs/>
        </w:rPr>
        <w:t>offsets</w:t>
      </w:r>
      <w:r>
        <w:rPr>
          <w:i/>
          <w:iCs/>
        </w:rPr>
        <w:t xml:space="preserve"> </w:t>
      </w:r>
      <w:r>
        <w:t>– the ACT has a 100 per cent renewable energy target. It contracts with renewable energy suppliers to ensure that this target is met., effectively offsetting electricity that is sourced from fossil fuels. The renewable energy suppliers are paid a feed-in support payment that reflects the difference between their costs and the revenue received through the wholesale electricity market. Reducing electricity use in the ACT thereby reduces the amount that is paid to offset the amount that would otherwise be paid to offset electricity that is sourced from fossil fuels.</w:t>
      </w:r>
    </w:p>
    <w:p w14:paraId="616CE3B5" w14:textId="77777777" w:rsidR="00676882" w:rsidRDefault="00676882" w:rsidP="00676882">
      <w:pPr>
        <w:pStyle w:val="ListBullet"/>
      </w:pPr>
      <w:r w:rsidRPr="000A751F">
        <w:rPr>
          <w:b/>
          <w:bCs/>
        </w:rPr>
        <w:t>Benefits</w:t>
      </w:r>
      <w:r>
        <w:rPr>
          <w:b/>
          <w:bCs/>
        </w:rPr>
        <w:t xml:space="preserve"> </w:t>
      </w:r>
      <w:r w:rsidRPr="000A751F">
        <w:rPr>
          <w:b/>
          <w:bCs/>
        </w:rPr>
        <w:t>from</w:t>
      </w:r>
      <w:r>
        <w:rPr>
          <w:b/>
          <w:bCs/>
        </w:rPr>
        <w:t xml:space="preserve"> </w:t>
      </w:r>
      <w:r w:rsidRPr="000A751F">
        <w:rPr>
          <w:b/>
          <w:bCs/>
        </w:rPr>
        <w:t>reduced</w:t>
      </w:r>
      <w:r>
        <w:rPr>
          <w:b/>
          <w:bCs/>
        </w:rPr>
        <w:t xml:space="preserve"> </w:t>
      </w:r>
      <w:r w:rsidRPr="000A751F">
        <w:rPr>
          <w:b/>
          <w:bCs/>
        </w:rPr>
        <w:t>domestic</w:t>
      </w:r>
      <w:r>
        <w:rPr>
          <w:b/>
          <w:bCs/>
        </w:rPr>
        <w:t xml:space="preserve"> </w:t>
      </w:r>
      <w:r w:rsidRPr="000A751F">
        <w:rPr>
          <w:b/>
          <w:bCs/>
        </w:rPr>
        <w:t>greenhouse</w:t>
      </w:r>
      <w:r>
        <w:rPr>
          <w:b/>
          <w:bCs/>
        </w:rPr>
        <w:t xml:space="preserve"> </w:t>
      </w:r>
      <w:r w:rsidRPr="000A751F">
        <w:rPr>
          <w:b/>
          <w:bCs/>
        </w:rPr>
        <w:t>gas</w:t>
      </w:r>
      <w:r>
        <w:rPr>
          <w:b/>
          <w:bCs/>
        </w:rPr>
        <w:t xml:space="preserve"> </w:t>
      </w:r>
      <w:r w:rsidRPr="000A751F">
        <w:rPr>
          <w:b/>
          <w:bCs/>
        </w:rPr>
        <w:t>emissions</w:t>
      </w:r>
      <w:r>
        <w:rPr>
          <w:b/>
          <w:bCs/>
        </w:rPr>
        <w:t xml:space="preserve"> </w:t>
      </w:r>
      <w:r>
        <w:t xml:space="preserve">– domestic burning of natural gas and firewood contributes to the ACT’s greenhouse gas emissions. Where rental households burn less of either of these energy types, it will reduce greenhouse gas emissions. Because the ACT offsets its electricity sourced from fossil fuels, there is no greenhouse gas emissions benefit attributable to reducing electricity use. This is a somewhat more uncertain measure of benefit. </w:t>
      </w:r>
      <w:proofErr w:type="gramStart"/>
      <w:r>
        <w:t>It is clear that greenhouse</w:t>
      </w:r>
      <w:proofErr w:type="gramEnd"/>
      <w:r>
        <w:t xml:space="preserve"> gas emissions represent a cost to society, and that reducing these emissions therefore represents a benefit. However, since the removal of Australia’s carbon pricing mechanism in 2014, there is no universally agreed transparent price which can be assigned to these emissions. </w:t>
      </w:r>
    </w:p>
    <w:p w14:paraId="296880B4" w14:textId="77777777" w:rsidR="00676882" w:rsidRDefault="00676882" w:rsidP="00676882">
      <w:pPr>
        <w:pStyle w:val="ListBullet"/>
      </w:pPr>
      <w:r w:rsidRPr="000A751F">
        <w:rPr>
          <w:b/>
          <w:bCs/>
        </w:rPr>
        <w:t>Health</w:t>
      </w:r>
      <w:r>
        <w:rPr>
          <w:b/>
          <w:bCs/>
        </w:rPr>
        <w:t xml:space="preserve"> </w:t>
      </w:r>
      <w:r w:rsidRPr="000A751F">
        <w:rPr>
          <w:b/>
          <w:bCs/>
        </w:rPr>
        <w:t>benefits</w:t>
      </w:r>
      <w:r>
        <w:rPr>
          <w:b/>
          <w:bCs/>
        </w:rPr>
        <w:t xml:space="preserve"> </w:t>
      </w:r>
      <w:r w:rsidRPr="00020982">
        <w:t>— two</w:t>
      </w:r>
      <w:r>
        <w:t xml:space="preserve"> </w:t>
      </w:r>
      <w:r w:rsidRPr="00020982">
        <w:t>types</w:t>
      </w:r>
      <w:r>
        <w:t xml:space="preserve"> </w:t>
      </w:r>
      <w:r w:rsidRPr="00020982">
        <w:t>of</w:t>
      </w:r>
      <w:r>
        <w:t xml:space="preserve"> </w:t>
      </w:r>
      <w:r w:rsidRPr="00020982">
        <w:t>health</w:t>
      </w:r>
      <w:r>
        <w:t xml:space="preserve"> </w:t>
      </w:r>
      <w:r w:rsidRPr="00020982">
        <w:t>benefits</w:t>
      </w:r>
      <w:r>
        <w:t xml:space="preserve"> </w:t>
      </w:r>
      <w:r w:rsidRPr="00020982">
        <w:t>are</w:t>
      </w:r>
      <w:r>
        <w:t xml:space="preserve"> </w:t>
      </w:r>
      <w:r w:rsidRPr="00020982">
        <w:t>modelled</w:t>
      </w:r>
      <w:r>
        <w:t xml:space="preserve"> as outlined below (one of these in the central case and the other as part of the sensitivity analysis). While </w:t>
      </w:r>
      <w:proofErr w:type="gramStart"/>
      <w:r>
        <w:t>it is clear that reduced</w:t>
      </w:r>
      <w:proofErr w:type="gramEnd"/>
      <w:r>
        <w:t xml:space="preserve"> energy consumption can improve health in different ways, these benefits are generally regarded as highly uncertain and speculative and should be interpreted as an indicative potential value of the wellbeing that could be generated through energy efficiency upgrades. </w:t>
      </w:r>
    </w:p>
    <w:p w14:paraId="291E4D16" w14:textId="77777777" w:rsidR="00676882" w:rsidRDefault="00676882" w:rsidP="00676882">
      <w:pPr>
        <w:pStyle w:val="ListBullet2"/>
      </w:pPr>
      <w:r w:rsidRPr="000A751F">
        <w:rPr>
          <w:i/>
          <w:iCs/>
        </w:rPr>
        <w:t>Health</w:t>
      </w:r>
      <w:r>
        <w:rPr>
          <w:i/>
          <w:iCs/>
        </w:rPr>
        <w:t xml:space="preserve"> </w:t>
      </w:r>
      <w:r w:rsidRPr="000A751F">
        <w:rPr>
          <w:i/>
          <w:iCs/>
        </w:rPr>
        <w:t>benefits</w:t>
      </w:r>
      <w:r>
        <w:rPr>
          <w:i/>
          <w:iCs/>
        </w:rPr>
        <w:t xml:space="preserve"> </w:t>
      </w:r>
      <w:r w:rsidRPr="000A751F">
        <w:rPr>
          <w:i/>
          <w:iCs/>
        </w:rPr>
        <w:t>related</w:t>
      </w:r>
      <w:r>
        <w:rPr>
          <w:i/>
          <w:iCs/>
        </w:rPr>
        <w:t xml:space="preserve"> </w:t>
      </w:r>
      <w:r w:rsidRPr="000A751F">
        <w:rPr>
          <w:i/>
          <w:iCs/>
        </w:rPr>
        <w:t>to</w:t>
      </w:r>
      <w:r>
        <w:rPr>
          <w:i/>
          <w:iCs/>
        </w:rPr>
        <w:t xml:space="preserve"> </w:t>
      </w:r>
      <w:r w:rsidRPr="000A751F">
        <w:rPr>
          <w:i/>
          <w:iCs/>
        </w:rPr>
        <w:t>improved</w:t>
      </w:r>
      <w:r>
        <w:rPr>
          <w:i/>
          <w:iCs/>
        </w:rPr>
        <w:t xml:space="preserve"> </w:t>
      </w:r>
      <w:r w:rsidRPr="000A751F">
        <w:rPr>
          <w:i/>
          <w:iCs/>
        </w:rPr>
        <w:t>air</w:t>
      </w:r>
      <w:r>
        <w:rPr>
          <w:i/>
          <w:iCs/>
        </w:rPr>
        <w:t xml:space="preserve"> </w:t>
      </w:r>
      <w:r w:rsidRPr="000A751F">
        <w:rPr>
          <w:i/>
          <w:iCs/>
        </w:rPr>
        <w:t>quality</w:t>
      </w:r>
      <w:r>
        <w:rPr>
          <w:i/>
          <w:iCs/>
        </w:rPr>
        <w:t xml:space="preserve"> </w:t>
      </w:r>
      <w:r>
        <w:t>– two types of air quality health benefits are explored in the analysis:</w:t>
      </w:r>
    </w:p>
    <w:p w14:paraId="0A801AB7" w14:textId="77777777" w:rsidR="00676882" w:rsidRDefault="00676882" w:rsidP="00676882">
      <w:pPr>
        <w:pStyle w:val="ListBullet3"/>
      </w:pPr>
      <w:r>
        <w:t>health benefits associated with improved air quality due to reductions in domestic gas burning</w:t>
      </w:r>
    </w:p>
    <w:p w14:paraId="6F8D8A29" w14:textId="77777777" w:rsidR="00676882" w:rsidRDefault="00676882" w:rsidP="00676882">
      <w:pPr>
        <w:pStyle w:val="ListBullet3"/>
      </w:pPr>
      <w:r>
        <w:t xml:space="preserve">health benefits associated with improved air quality due to reductions in coal and gas generated electricity. Even though the ACT offsets its electricity sourced from fossil fuel, part of its electricity use is associated with coal or natural gas plants (predominantly in New South Wales). Burning fossil fuels in these power plants produces particulate matter which is harmful to the health of surrounding residents. Despite not being a benefit attributable to the ACT, it is an auxiliary benefit of reduced electricity use. </w:t>
      </w:r>
    </w:p>
    <w:p w14:paraId="23FA4321" w14:textId="77777777" w:rsidR="00676882" w:rsidRDefault="00676882" w:rsidP="00676882">
      <w:pPr>
        <w:pStyle w:val="ListBullet3"/>
      </w:pPr>
      <w:r w:rsidRPr="000A751F">
        <w:rPr>
          <w:i/>
          <w:iCs/>
        </w:rPr>
        <w:lastRenderedPageBreak/>
        <w:t>Tenant</w:t>
      </w:r>
      <w:r>
        <w:rPr>
          <w:i/>
          <w:iCs/>
        </w:rPr>
        <w:t xml:space="preserve"> </w:t>
      </w:r>
      <w:r w:rsidRPr="000A751F">
        <w:rPr>
          <w:i/>
          <w:iCs/>
        </w:rPr>
        <w:t>health</w:t>
      </w:r>
      <w:r>
        <w:rPr>
          <w:i/>
          <w:iCs/>
        </w:rPr>
        <w:t xml:space="preserve"> </w:t>
      </w:r>
      <w:r w:rsidRPr="000A751F">
        <w:rPr>
          <w:i/>
          <w:iCs/>
        </w:rPr>
        <w:t>benefits</w:t>
      </w:r>
      <w:r>
        <w:rPr>
          <w:i/>
          <w:iCs/>
        </w:rPr>
        <w:t xml:space="preserve"> </w:t>
      </w:r>
      <w:r w:rsidRPr="000A751F">
        <w:rPr>
          <w:i/>
          <w:iCs/>
        </w:rPr>
        <w:t>–</w:t>
      </w:r>
      <w:r>
        <w:t xml:space="preserve"> as noted in section </w:t>
      </w:r>
      <w:r w:rsidRPr="009E4AB1">
        <w:fldChar w:fldCharType="begin"/>
      </w:r>
      <w:r w:rsidRPr="009E4AB1">
        <w:instrText xml:space="preserve"> REF _Ref75770057 \r \h  \* MERGEFORMAT </w:instrText>
      </w:r>
      <w:r w:rsidRPr="009E4AB1">
        <w:fldChar w:fldCharType="separate"/>
      </w:r>
      <w:r>
        <w:t>2.3.1</w:t>
      </w:r>
      <w:r w:rsidRPr="009E4AB1">
        <w:fldChar w:fldCharType="end"/>
      </w:r>
      <w:r>
        <w:t>, poor thermal control has impacts on the health of tenants. These health benefits have been explored through sensitivity analysis only, where they are modelled as a substitute for reduced energy use.</w:t>
      </w:r>
    </w:p>
    <w:p w14:paraId="52EE02C2" w14:textId="77777777" w:rsidR="00676882" w:rsidRDefault="00676882" w:rsidP="00676882">
      <w:pPr>
        <w:pStyle w:val="BodyText"/>
      </w:pPr>
      <w:r>
        <w:t xml:space="preserve">More details about our approach to measure these benefits are provided in the sections below. </w:t>
      </w:r>
    </w:p>
    <w:p w14:paraId="0FECA80B" w14:textId="77777777" w:rsidR="00676882" w:rsidRDefault="00676882" w:rsidP="00676882">
      <w:pPr>
        <w:pStyle w:val="Heading4AP"/>
        <w:numPr>
          <w:ilvl w:val="3"/>
          <w:numId w:val="45"/>
        </w:numPr>
      </w:pPr>
      <w:r>
        <w:t xml:space="preserve">Reduced energy costs </w:t>
      </w:r>
    </w:p>
    <w:p w14:paraId="04F76021" w14:textId="77777777" w:rsidR="00676882" w:rsidRDefault="00676882" w:rsidP="00676882">
      <w:pPr>
        <w:pStyle w:val="BodyText"/>
      </w:pPr>
      <w:r>
        <w:t xml:space="preserve">One of the main benefits of the proposed minimum rental standards will be a reduction in energy consumption in rental properties, which will translate into reduced energy bills for households. </w:t>
      </w:r>
    </w:p>
    <w:p w14:paraId="212F72F5" w14:textId="77777777" w:rsidR="00676882" w:rsidRDefault="00676882" w:rsidP="00676882">
      <w:pPr>
        <w:pStyle w:val="BodyText"/>
      </w:pPr>
      <w:r>
        <w:t>As noted above, the estimated reductions in energy consumption will generate benefits to households in the form of reduced expenditure in energy bills. In calculating the value of energy savings, it is critical to not confuse benefits with distributional impacts. For example, the benefits of energy efficiency are often misconstrued to include the reduction in electricity bills experienced by the customer as a result of their decreased energy usage. It is true that from the customer’s point of view, this reduction represents a benefit. However, there is a similar and opposite reaction with some of the reductions in costs for these customers redistributed to other customers. For example, total network costs will only be reduced if network augmentation can be deferred or avoided. Many of the retail costs of energy (such as costs associated with call centres, revenue and billing collection, customer acquisition and retention, and IT systems) are driven by the number of customers, not by energy consumption. From the perspective of energy efficiency, these costs are ‘fixed’. The benefits to society of a decrease in energy usage are not found in the changing amounts that customers pay their energy retailers, but in avoided marginal electricity supply chain costs.</w:t>
      </w:r>
    </w:p>
    <w:p w14:paraId="3459F7D9" w14:textId="77777777" w:rsidR="00676882" w:rsidRDefault="00676882" w:rsidP="00676882">
      <w:pPr>
        <w:pStyle w:val="BodyText"/>
      </w:pPr>
      <w:r>
        <w:t xml:space="preserve">The retail energy price broadly comprises four components as illustrated in </w:t>
      </w:r>
      <w:r w:rsidRPr="009E4AB1">
        <w:fldChar w:fldCharType="begin"/>
      </w:r>
      <w:r w:rsidRPr="009E4AB1">
        <w:instrText xml:space="preserve"> REF _Ref80699386 \h  \* MERGEFORMAT </w:instrText>
      </w:r>
      <w:r w:rsidRPr="009E4AB1">
        <w:fldChar w:fldCharType="separate"/>
      </w:r>
      <w:r w:rsidRPr="00F32FCC">
        <w:t>Figure B.2</w:t>
      </w:r>
      <w:r w:rsidRPr="009E4AB1">
        <w:fldChar w:fldCharType="end"/>
      </w:r>
      <w:r>
        <w:t xml:space="preserve">. </w:t>
      </w:r>
    </w:p>
    <w:p w14:paraId="7A86074F" w14:textId="77777777" w:rsidR="00676882" w:rsidRDefault="00676882" w:rsidP="00676882">
      <w:pPr>
        <w:pStyle w:val="Caption"/>
      </w:pPr>
      <w:bookmarkStart w:id="370" w:name="_Ref80699386"/>
      <w:bookmarkStart w:id="371" w:name="_Toc80719283"/>
      <w:r w:rsidRPr="006B0263">
        <w:rPr>
          <w:rStyle w:val="CaptionLabel"/>
        </w:rPr>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2</w:t>
      </w:r>
      <w:r w:rsidRPr="006B0263">
        <w:rPr>
          <w:rStyle w:val="CaptionLabel"/>
        </w:rPr>
        <w:fldChar w:fldCharType="end"/>
      </w:r>
      <w:bookmarkEnd w:id="370"/>
      <w:r>
        <w:tab/>
        <w:t>Components of the retail energy price</w:t>
      </w:r>
      <w:bookmarkEnd w:id="371"/>
    </w:p>
    <w:p w14:paraId="02D36CD8" w14:textId="77777777" w:rsidR="00676882" w:rsidRDefault="00676882" w:rsidP="00676882">
      <w:pPr>
        <w:pStyle w:val="BodyText"/>
        <w:spacing w:after="0" w:line="0" w:lineRule="atLeast"/>
        <w:jc w:val="center"/>
      </w:pPr>
      <w:r>
        <w:rPr>
          <w:noProof/>
          <w:lang w:val="en-US"/>
        </w:rPr>
        <w:drawing>
          <wp:inline distT="0" distB="0" distL="0" distR="0" wp14:anchorId="157796FB" wp14:editId="27E7D28F">
            <wp:extent cx="3505200" cy="2221874"/>
            <wp:effectExtent l="0" t="0" r="0" b="6985"/>
            <wp:docPr id="558" name="Picture 558" descr="A stylised breakdown of retail energy prices, with about half comprised of the network and metering costs, a fifth made up of retailer costs and energy costs each, and the remainder from environmental scheme co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Picture 558" descr="A stylised breakdown of retail energy prices, with about half comprised of the network and metering costs, a fifth made up of retailer costs and energy costs each, and the remainder from environmental scheme costs."/>
                    <pic:cNvPicPr/>
                  </pic:nvPicPr>
                  <pic:blipFill rotWithShape="1">
                    <a:blip r:embed="rId105" cstate="print">
                      <a:extLst>
                        <a:ext uri="{28A0092B-C50C-407E-A947-70E740481C1C}">
                          <a14:useLocalDpi xmlns:a14="http://schemas.microsoft.com/office/drawing/2010/main" val="0"/>
                        </a:ext>
                      </a:extLst>
                    </a:blip>
                    <a:srcRect t="3501"/>
                    <a:stretch/>
                  </pic:blipFill>
                  <pic:spPr bwMode="auto">
                    <a:xfrm>
                      <a:off x="0" y="0"/>
                      <a:ext cx="3505200" cy="2221874"/>
                    </a:xfrm>
                    <a:prstGeom prst="rect">
                      <a:avLst/>
                    </a:prstGeom>
                    <a:ln>
                      <a:noFill/>
                    </a:ln>
                    <a:extLst>
                      <a:ext uri="{53640926-AAD7-44D8-BBD7-CCE9431645EC}">
                        <a14:shadowObscured xmlns:a14="http://schemas.microsoft.com/office/drawing/2010/main"/>
                      </a:ext>
                    </a:extLst>
                  </pic:spPr>
                </pic:pic>
              </a:graphicData>
            </a:graphic>
          </wp:inline>
        </w:drawing>
      </w:r>
    </w:p>
    <w:p w14:paraId="040359CA" w14:textId="77777777" w:rsidR="00676882" w:rsidRPr="006B0263" w:rsidRDefault="00676882" w:rsidP="00676882">
      <w:pPr>
        <w:pStyle w:val="BodyText"/>
        <w:spacing w:after="0" w:line="0" w:lineRule="atLeast"/>
        <w:rPr>
          <w:i/>
          <w:iCs/>
          <w:sz w:val="16"/>
          <w:szCs w:val="16"/>
        </w:rPr>
      </w:pPr>
      <w:r w:rsidRPr="006B0263">
        <w:rPr>
          <w:i/>
          <w:iCs/>
          <w:sz w:val="16"/>
          <w:szCs w:val="16"/>
          <w:lang w:val="en-US"/>
        </w:rPr>
        <w:t>Source: ACIL Allen</w:t>
      </w:r>
    </w:p>
    <w:p w14:paraId="0F983A28" w14:textId="77777777" w:rsidR="00676882" w:rsidRPr="00EC42E5" w:rsidRDefault="00676882" w:rsidP="00676882">
      <w:pPr>
        <w:pStyle w:val="BodyText"/>
      </w:pPr>
      <w:r>
        <w:rPr>
          <w:lang w:val="en-US"/>
        </w:rPr>
        <w:t xml:space="preserve">The </w:t>
      </w:r>
      <w:r w:rsidRPr="0024586D">
        <w:rPr>
          <w:b/>
          <w:bCs/>
          <w:lang w:val="en-US"/>
        </w:rPr>
        <w:t>energy</w:t>
      </w:r>
      <w:r>
        <w:rPr>
          <w:b/>
          <w:bCs/>
          <w:lang w:val="en-US"/>
        </w:rPr>
        <w:t xml:space="preserve"> </w:t>
      </w:r>
      <w:r w:rsidRPr="0024586D">
        <w:rPr>
          <w:b/>
          <w:bCs/>
          <w:lang w:val="en-US"/>
        </w:rPr>
        <w:t>cost</w:t>
      </w:r>
      <w:r>
        <w:rPr>
          <w:b/>
          <w:bCs/>
          <w:lang w:val="en-US"/>
        </w:rPr>
        <w:t xml:space="preserve"> </w:t>
      </w:r>
      <w:r w:rsidRPr="0024586D">
        <w:rPr>
          <w:b/>
          <w:bCs/>
          <w:lang w:val="en-US"/>
        </w:rPr>
        <w:t>component</w:t>
      </w:r>
      <w:r>
        <w:rPr>
          <w:b/>
          <w:bCs/>
          <w:lang w:val="en-US"/>
        </w:rPr>
        <w:t xml:space="preserve"> </w:t>
      </w:r>
      <w:r>
        <w:rPr>
          <w:lang w:val="en-US"/>
        </w:rPr>
        <w:t xml:space="preserve">comprises </w:t>
      </w:r>
      <w:r w:rsidRPr="00EC42E5">
        <w:rPr>
          <w:lang w:val="en-US"/>
        </w:rPr>
        <w:t>a</w:t>
      </w:r>
      <w:r>
        <w:rPr>
          <w:lang w:val="en-US"/>
        </w:rPr>
        <w:t xml:space="preserve"> </w:t>
      </w:r>
      <w:r w:rsidRPr="00EC42E5">
        <w:rPr>
          <w:lang w:val="en-US"/>
        </w:rPr>
        <w:t>fixed</w:t>
      </w:r>
      <w:r>
        <w:rPr>
          <w:lang w:val="en-US"/>
        </w:rPr>
        <w:t xml:space="preserve"> </w:t>
      </w:r>
      <w:r w:rsidRPr="00EC42E5">
        <w:rPr>
          <w:lang w:val="en-US"/>
        </w:rPr>
        <w:t>component</w:t>
      </w:r>
      <w:r>
        <w:rPr>
          <w:lang w:val="en-US"/>
        </w:rPr>
        <w:t xml:space="preserve"> </w:t>
      </w:r>
      <w:r w:rsidRPr="00EC42E5">
        <w:rPr>
          <w:lang w:val="en-US"/>
        </w:rPr>
        <w:t>(capital</w:t>
      </w:r>
      <w:r>
        <w:rPr>
          <w:lang w:val="en-US"/>
        </w:rPr>
        <w:t xml:space="preserve"> </w:t>
      </w:r>
      <w:r w:rsidRPr="00EC42E5">
        <w:rPr>
          <w:lang w:val="en-US"/>
        </w:rPr>
        <w:t>and</w:t>
      </w:r>
      <w:r>
        <w:rPr>
          <w:lang w:val="en-US"/>
        </w:rPr>
        <w:t xml:space="preserve"> </w:t>
      </w:r>
      <w:r w:rsidRPr="00EC42E5">
        <w:rPr>
          <w:lang w:val="en-US"/>
        </w:rPr>
        <w:t>fixed</w:t>
      </w:r>
      <w:r>
        <w:rPr>
          <w:lang w:val="en-US"/>
        </w:rPr>
        <w:t xml:space="preserve"> </w:t>
      </w:r>
      <w:r w:rsidRPr="00EC42E5">
        <w:rPr>
          <w:lang w:val="en-US"/>
        </w:rPr>
        <w:t>operating</w:t>
      </w:r>
      <w:r>
        <w:rPr>
          <w:lang w:val="en-US"/>
        </w:rPr>
        <w:t xml:space="preserve"> </w:t>
      </w:r>
      <w:r w:rsidRPr="00EC42E5">
        <w:rPr>
          <w:lang w:val="en-US"/>
        </w:rPr>
        <w:t>and</w:t>
      </w:r>
      <w:r>
        <w:rPr>
          <w:lang w:val="en-US"/>
        </w:rPr>
        <w:t xml:space="preserve"> </w:t>
      </w:r>
      <w:r w:rsidRPr="00EC42E5">
        <w:rPr>
          <w:lang w:val="en-US"/>
        </w:rPr>
        <w:t>maintenance</w:t>
      </w:r>
      <w:r>
        <w:rPr>
          <w:lang w:val="en-US"/>
        </w:rPr>
        <w:t xml:space="preserve"> </w:t>
      </w:r>
      <w:r w:rsidRPr="00EC42E5">
        <w:rPr>
          <w:lang w:val="en-US"/>
        </w:rPr>
        <w:t>costs) and</w:t>
      </w:r>
      <w:r>
        <w:rPr>
          <w:lang w:val="en-US"/>
        </w:rPr>
        <w:t xml:space="preserve"> </w:t>
      </w:r>
      <w:r w:rsidRPr="00EC42E5">
        <w:rPr>
          <w:lang w:val="en-US"/>
        </w:rPr>
        <w:t>a</w:t>
      </w:r>
      <w:r>
        <w:rPr>
          <w:lang w:val="en-US"/>
        </w:rPr>
        <w:t xml:space="preserve"> </w:t>
      </w:r>
      <w:r w:rsidRPr="00EC42E5">
        <w:rPr>
          <w:lang w:val="en-US"/>
        </w:rPr>
        <w:t>variable</w:t>
      </w:r>
      <w:r>
        <w:rPr>
          <w:lang w:val="en-US"/>
        </w:rPr>
        <w:t xml:space="preserve"> </w:t>
      </w:r>
      <w:r w:rsidRPr="00EC42E5">
        <w:rPr>
          <w:lang w:val="en-US"/>
        </w:rPr>
        <w:t>component</w:t>
      </w:r>
      <w:r>
        <w:rPr>
          <w:lang w:val="en-US"/>
        </w:rPr>
        <w:t xml:space="preserve"> </w:t>
      </w:r>
      <w:r w:rsidRPr="00EC42E5">
        <w:rPr>
          <w:lang w:val="en-US"/>
        </w:rPr>
        <w:t>(fuel</w:t>
      </w:r>
      <w:r>
        <w:rPr>
          <w:lang w:val="en-US"/>
        </w:rPr>
        <w:t xml:space="preserve"> </w:t>
      </w:r>
      <w:r w:rsidRPr="00EC42E5">
        <w:rPr>
          <w:lang w:val="en-US"/>
        </w:rPr>
        <w:t>and</w:t>
      </w:r>
      <w:r>
        <w:rPr>
          <w:lang w:val="en-US"/>
        </w:rPr>
        <w:t xml:space="preserve"> </w:t>
      </w:r>
      <w:r w:rsidRPr="00EC42E5">
        <w:rPr>
          <w:lang w:val="en-US"/>
        </w:rPr>
        <w:t>variable</w:t>
      </w:r>
      <w:r>
        <w:rPr>
          <w:lang w:val="en-US"/>
        </w:rPr>
        <w:t xml:space="preserve"> </w:t>
      </w:r>
      <w:r w:rsidRPr="00EC42E5">
        <w:rPr>
          <w:lang w:val="en-US"/>
        </w:rPr>
        <w:t>operating</w:t>
      </w:r>
      <w:r>
        <w:rPr>
          <w:lang w:val="en-US"/>
        </w:rPr>
        <w:t xml:space="preserve"> </w:t>
      </w:r>
      <w:r w:rsidRPr="00EC42E5">
        <w:rPr>
          <w:lang w:val="en-US"/>
        </w:rPr>
        <w:t>and</w:t>
      </w:r>
      <w:r>
        <w:rPr>
          <w:lang w:val="en-US"/>
        </w:rPr>
        <w:t xml:space="preserve"> </w:t>
      </w:r>
      <w:r w:rsidRPr="00EC42E5">
        <w:rPr>
          <w:lang w:val="en-US"/>
        </w:rPr>
        <w:t>maintenance</w:t>
      </w:r>
      <w:r>
        <w:rPr>
          <w:lang w:val="en-US"/>
        </w:rPr>
        <w:t xml:space="preserve"> </w:t>
      </w:r>
      <w:r w:rsidRPr="00EC42E5">
        <w:rPr>
          <w:lang w:val="en-US"/>
        </w:rPr>
        <w:t>costs).</w:t>
      </w:r>
      <w:r>
        <w:rPr>
          <w:lang w:val="en-US"/>
        </w:rPr>
        <w:t xml:space="preserve"> </w:t>
      </w:r>
      <w:r w:rsidRPr="00EC42E5">
        <w:t>In</w:t>
      </w:r>
      <w:r>
        <w:t xml:space="preserve"> </w:t>
      </w:r>
      <w:r w:rsidRPr="00EC42E5">
        <w:t>the</w:t>
      </w:r>
      <w:r>
        <w:t xml:space="preserve"> </w:t>
      </w:r>
      <w:r w:rsidRPr="00EC42E5">
        <w:t>short</w:t>
      </w:r>
      <w:r>
        <w:t xml:space="preserve"> </w:t>
      </w:r>
      <w:r w:rsidRPr="00EC42E5">
        <w:t>run,</w:t>
      </w:r>
      <w:r>
        <w:t xml:space="preserve"> the variable </w:t>
      </w:r>
      <w:r w:rsidRPr="00EC42E5">
        <w:t>fuel</w:t>
      </w:r>
      <w:r>
        <w:t xml:space="preserve"> </w:t>
      </w:r>
      <w:r w:rsidRPr="00EC42E5">
        <w:t>and</w:t>
      </w:r>
      <w:r>
        <w:t xml:space="preserve"> </w:t>
      </w:r>
      <w:r w:rsidRPr="00EC42E5">
        <w:t>operating</w:t>
      </w:r>
      <w:r>
        <w:t xml:space="preserve"> </w:t>
      </w:r>
      <w:r w:rsidRPr="00EC42E5">
        <w:t>costs</w:t>
      </w:r>
      <w:r>
        <w:t xml:space="preserve"> </w:t>
      </w:r>
      <w:r w:rsidRPr="00EC42E5">
        <w:t>are</w:t>
      </w:r>
      <w:r>
        <w:t xml:space="preserve"> </w:t>
      </w:r>
      <w:r w:rsidRPr="00EC42E5">
        <w:t>avoided</w:t>
      </w:r>
      <w:r>
        <w:t xml:space="preserve"> when energy usage is </w:t>
      </w:r>
      <w:r w:rsidRPr="00EC42E5">
        <w:t>reduced.</w:t>
      </w:r>
      <w:r>
        <w:t xml:space="preserve"> </w:t>
      </w:r>
      <w:r w:rsidRPr="00EC42E5">
        <w:t>Wholesale</w:t>
      </w:r>
      <w:r>
        <w:t xml:space="preserve"> </w:t>
      </w:r>
      <w:r w:rsidRPr="00EC42E5">
        <w:t>energy</w:t>
      </w:r>
      <w:r>
        <w:t xml:space="preserve"> </w:t>
      </w:r>
      <w:r w:rsidRPr="00EC42E5">
        <w:t>price</w:t>
      </w:r>
      <w:r>
        <w:t xml:space="preserve"> </w:t>
      </w:r>
      <w:r w:rsidRPr="00EC42E5">
        <w:t>projections</w:t>
      </w:r>
      <w:r>
        <w:t xml:space="preserve"> </w:t>
      </w:r>
      <w:r w:rsidRPr="00EC42E5">
        <w:t>are</w:t>
      </w:r>
      <w:r>
        <w:t xml:space="preserve"> </w:t>
      </w:r>
      <w:r w:rsidRPr="00EC42E5">
        <w:t>used</w:t>
      </w:r>
      <w:r>
        <w:t xml:space="preserve"> </w:t>
      </w:r>
      <w:r w:rsidRPr="00EC42E5">
        <w:t>as</w:t>
      </w:r>
      <w:r>
        <w:t xml:space="preserve"> </w:t>
      </w:r>
      <w:r w:rsidRPr="00EC42E5">
        <w:t>a</w:t>
      </w:r>
      <w:r>
        <w:t xml:space="preserve"> </w:t>
      </w:r>
      <w:r w:rsidRPr="00EC42E5">
        <w:t>proxy</w:t>
      </w:r>
      <w:r>
        <w:t xml:space="preserve"> </w:t>
      </w:r>
      <w:r w:rsidRPr="00EC42E5">
        <w:t>representing</w:t>
      </w:r>
      <w:r>
        <w:t xml:space="preserve"> </w:t>
      </w:r>
      <w:r w:rsidRPr="00EC42E5">
        <w:t>the</w:t>
      </w:r>
      <w:r>
        <w:t xml:space="preserve"> </w:t>
      </w:r>
      <w:r w:rsidRPr="00EC42E5">
        <w:t>marginal</w:t>
      </w:r>
      <w:r>
        <w:t xml:space="preserve"> </w:t>
      </w:r>
      <w:r w:rsidRPr="00EC42E5">
        <w:t>cost</w:t>
      </w:r>
      <w:r>
        <w:t xml:space="preserve"> </w:t>
      </w:r>
      <w:r w:rsidRPr="00EC42E5">
        <w:t>saving</w:t>
      </w:r>
      <w:r>
        <w:t xml:space="preserve"> </w:t>
      </w:r>
      <w:r w:rsidRPr="00EC42E5">
        <w:t>associated</w:t>
      </w:r>
      <w:r>
        <w:t xml:space="preserve"> </w:t>
      </w:r>
      <w:r w:rsidRPr="00EC42E5">
        <w:t>with</w:t>
      </w:r>
      <w:r>
        <w:t xml:space="preserve"> </w:t>
      </w:r>
      <w:r w:rsidRPr="00EC42E5">
        <w:t>the</w:t>
      </w:r>
      <w:r>
        <w:t xml:space="preserve"> reduced energy from investments in energy efficiency measures in the existing residential building stock. </w:t>
      </w:r>
    </w:p>
    <w:p w14:paraId="5DFBDB99" w14:textId="77777777" w:rsidR="00676882" w:rsidRDefault="00676882" w:rsidP="00676882">
      <w:pPr>
        <w:pStyle w:val="BodyText"/>
      </w:pPr>
      <w:r>
        <w:t xml:space="preserve">In the long run, investment in new generation capacity may be deferred or avoided. However, new generation capacity is currently driven by a range of policy initiatives that are incentivising additional new energy supply and reductions in the demand for energy from centralised generation. </w:t>
      </w:r>
      <w:r>
        <w:lastRenderedPageBreak/>
        <w:t>The impact of minimum energy efficiency standards on rental properties in the ACT on the capacity of generation in the wholesale electricity market is not material relative to these policy initiatives.</w:t>
      </w:r>
      <w:r>
        <w:rPr>
          <w:rStyle w:val="FootnoteReference"/>
        </w:rPr>
        <w:footnoteReference w:id="12"/>
      </w:r>
    </w:p>
    <w:p w14:paraId="22246DB0" w14:textId="77777777" w:rsidR="00676882" w:rsidRDefault="00676882" w:rsidP="00676882">
      <w:pPr>
        <w:pStyle w:val="BodyText"/>
        <w:rPr>
          <w:lang w:val="en-US"/>
        </w:rPr>
      </w:pPr>
      <w:r>
        <w:rPr>
          <w:lang w:val="en-US"/>
        </w:rPr>
        <w:t>T</w:t>
      </w:r>
      <w:r w:rsidRPr="00974434">
        <w:rPr>
          <w:lang w:val="en-US"/>
        </w:rPr>
        <w:t>he</w:t>
      </w:r>
      <w:r>
        <w:rPr>
          <w:lang w:val="en-US"/>
        </w:rPr>
        <w:t xml:space="preserve"> </w:t>
      </w:r>
      <w:r w:rsidRPr="0024586D">
        <w:rPr>
          <w:b/>
          <w:bCs/>
          <w:lang w:val="en-US"/>
        </w:rPr>
        <w:t>network</w:t>
      </w:r>
      <w:r>
        <w:rPr>
          <w:b/>
          <w:bCs/>
          <w:lang w:val="en-US"/>
        </w:rPr>
        <w:t xml:space="preserve"> </w:t>
      </w:r>
      <w:r w:rsidRPr="0024586D">
        <w:rPr>
          <w:b/>
          <w:bCs/>
          <w:lang w:val="en-US"/>
        </w:rPr>
        <w:t>costs</w:t>
      </w:r>
      <w:r>
        <w:rPr>
          <w:b/>
          <w:bCs/>
          <w:lang w:val="en-US"/>
        </w:rPr>
        <w:t xml:space="preserve"> </w:t>
      </w:r>
      <w:r w:rsidRPr="00974434">
        <w:rPr>
          <w:lang w:val="en-US"/>
        </w:rPr>
        <w:t>are</w:t>
      </w:r>
      <w:r>
        <w:rPr>
          <w:lang w:val="en-US"/>
        </w:rPr>
        <w:t xml:space="preserve"> </w:t>
      </w:r>
      <w:r w:rsidRPr="00974434">
        <w:rPr>
          <w:lang w:val="en-US"/>
        </w:rPr>
        <w:t>driven</w:t>
      </w:r>
      <w:r>
        <w:rPr>
          <w:lang w:val="en-US"/>
        </w:rPr>
        <w:t xml:space="preserve"> </w:t>
      </w:r>
      <w:r w:rsidRPr="00974434">
        <w:rPr>
          <w:lang w:val="en-US"/>
        </w:rPr>
        <w:t>by</w:t>
      </w:r>
      <w:r>
        <w:rPr>
          <w:lang w:val="en-US"/>
        </w:rPr>
        <w:t xml:space="preserve"> </w:t>
      </w:r>
      <w:r w:rsidRPr="00974434">
        <w:rPr>
          <w:lang w:val="en-US"/>
        </w:rPr>
        <w:t>the</w:t>
      </w:r>
      <w:r>
        <w:rPr>
          <w:lang w:val="en-US"/>
        </w:rPr>
        <w:t xml:space="preserve"> </w:t>
      </w:r>
      <w:r w:rsidRPr="00974434">
        <w:rPr>
          <w:lang w:val="en-US"/>
        </w:rPr>
        <w:t>size</w:t>
      </w:r>
      <w:r>
        <w:rPr>
          <w:lang w:val="en-US"/>
        </w:rPr>
        <w:t xml:space="preserve"> </w:t>
      </w:r>
      <w:r w:rsidRPr="00974434">
        <w:rPr>
          <w:lang w:val="en-US"/>
        </w:rPr>
        <w:t>(capacity) of</w:t>
      </w:r>
      <w:r>
        <w:rPr>
          <w:lang w:val="en-US"/>
        </w:rPr>
        <w:t xml:space="preserve"> </w:t>
      </w:r>
      <w:r w:rsidRPr="00974434">
        <w:rPr>
          <w:lang w:val="en-US"/>
        </w:rPr>
        <w:t>the</w:t>
      </w:r>
      <w:r>
        <w:rPr>
          <w:lang w:val="en-US"/>
        </w:rPr>
        <w:t xml:space="preserve"> </w:t>
      </w:r>
      <w:r w:rsidRPr="00974434">
        <w:rPr>
          <w:lang w:val="en-US"/>
        </w:rPr>
        <w:t>network</w:t>
      </w:r>
      <w:r>
        <w:rPr>
          <w:lang w:val="en-US"/>
        </w:rPr>
        <w:t xml:space="preserve"> </w:t>
      </w:r>
      <w:r w:rsidRPr="00974434">
        <w:rPr>
          <w:lang w:val="en-US"/>
        </w:rPr>
        <w:t>and</w:t>
      </w:r>
      <w:r>
        <w:rPr>
          <w:lang w:val="en-US"/>
        </w:rPr>
        <w:t xml:space="preserve"> </w:t>
      </w:r>
      <w:r w:rsidRPr="00974434">
        <w:rPr>
          <w:lang w:val="en-US"/>
        </w:rPr>
        <w:t>the</w:t>
      </w:r>
      <w:r>
        <w:rPr>
          <w:lang w:val="en-US"/>
        </w:rPr>
        <w:t xml:space="preserve"> </w:t>
      </w:r>
      <w:r w:rsidRPr="00974434">
        <w:rPr>
          <w:lang w:val="en-US"/>
        </w:rPr>
        <w:t>metering</w:t>
      </w:r>
      <w:r>
        <w:rPr>
          <w:lang w:val="en-US"/>
        </w:rPr>
        <w:t xml:space="preserve"> </w:t>
      </w:r>
      <w:r w:rsidRPr="00974434">
        <w:rPr>
          <w:lang w:val="en-US"/>
        </w:rPr>
        <w:t>costs</w:t>
      </w:r>
      <w:r>
        <w:rPr>
          <w:lang w:val="en-US"/>
        </w:rPr>
        <w:t xml:space="preserve"> </w:t>
      </w:r>
      <w:r w:rsidRPr="00974434">
        <w:rPr>
          <w:lang w:val="en-US"/>
        </w:rPr>
        <w:t>are</w:t>
      </w:r>
      <w:r>
        <w:rPr>
          <w:lang w:val="en-US"/>
        </w:rPr>
        <w:t xml:space="preserve"> </w:t>
      </w:r>
      <w:r w:rsidRPr="00974434">
        <w:rPr>
          <w:lang w:val="en-US"/>
        </w:rPr>
        <w:t>driven</w:t>
      </w:r>
      <w:r>
        <w:rPr>
          <w:lang w:val="en-US"/>
        </w:rPr>
        <w:t xml:space="preserve"> </w:t>
      </w:r>
      <w:r w:rsidRPr="00974434">
        <w:rPr>
          <w:lang w:val="en-US"/>
        </w:rPr>
        <w:t>by</w:t>
      </w:r>
      <w:r>
        <w:rPr>
          <w:lang w:val="en-US"/>
        </w:rPr>
        <w:t xml:space="preserve"> </w:t>
      </w:r>
      <w:r w:rsidRPr="00974434">
        <w:rPr>
          <w:lang w:val="en-US"/>
        </w:rPr>
        <w:t>the</w:t>
      </w:r>
      <w:r>
        <w:rPr>
          <w:lang w:val="en-US"/>
        </w:rPr>
        <w:t xml:space="preserve"> </w:t>
      </w:r>
      <w:r w:rsidRPr="00974434">
        <w:rPr>
          <w:lang w:val="en-US"/>
        </w:rPr>
        <w:t>number</w:t>
      </w:r>
      <w:r>
        <w:rPr>
          <w:lang w:val="en-US"/>
        </w:rPr>
        <w:t xml:space="preserve"> </w:t>
      </w:r>
      <w:r w:rsidRPr="00974434">
        <w:rPr>
          <w:lang w:val="en-US"/>
        </w:rPr>
        <w:t>of</w:t>
      </w:r>
      <w:r>
        <w:rPr>
          <w:lang w:val="en-US"/>
        </w:rPr>
        <w:t xml:space="preserve"> </w:t>
      </w:r>
      <w:r w:rsidRPr="00974434">
        <w:rPr>
          <w:lang w:val="en-US"/>
        </w:rPr>
        <w:t>customers; they</w:t>
      </w:r>
      <w:r>
        <w:rPr>
          <w:lang w:val="en-US"/>
        </w:rPr>
        <w:t xml:space="preserve"> </w:t>
      </w:r>
      <w:r w:rsidRPr="00974434">
        <w:rPr>
          <w:lang w:val="en-US"/>
        </w:rPr>
        <w:t>are</w:t>
      </w:r>
      <w:r>
        <w:rPr>
          <w:lang w:val="en-US"/>
        </w:rPr>
        <w:t xml:space="preserve"> </w:t>
      </w:r>
      <w:r w:rsidRPr="00974434">
        <w:rPr>
          <w:lang w:val="en-US"/>
        </w:rPr>
        <w:t>not</w:t>
      </w:r>
      <w:r>
        <w:rPr>
          <w:lang w:val="en-US"/>
        </w:rPr>
        <w:t xml:space="preserve"> </w:t>
      </w:r>
      <w:r w:rsidRPr="00974434">
        <w:rPr>
          <w:lang w:val="en-US"/>
        </w:rPr>
        <w:t>driven</w:t>
      </w:r>
      <w:r>
        <w:rPr>
          <w:lang w:val="en-US"/>
        </w:rPr>
        <w:t xml:space="preserve"> </w:t>
      </w:r>
      <w:r w:rsidRPr="00974434">
        <w:rPr>
          <w:lang w:val="en-US"/>
        </w:rPr>
        <w:t>by</w:t>
      </w:r>
      <w:r>
        <w:rPr>
          <w:lang w:val="en-US"/>
        </w:rPr>
        <w:t xml:space="preserve"> </w:t>
      </w:r>
      <w:r w:rsidRPr="00974434">
        <w:rPr>
          <w:lang w:val="en-US"/>
        </w:rPr>
        <w:t>energy</w:t>
      </w:r>
      <w:r>
        <w:rPr>
          <w:lang w:val="en-US"/>
        </w:rPr>
        <w:t xml:space="preserve"> </w:t>
      </w:r>
      <w:r w:rsidRPr="00974434">
        <w:rPr>
          <w:lang w:val="en-US"/>
        </w:rPr>
        <w:t>usage</w:t>
      </w:r>
      <w:r>
        <w:rPr>
          <w:lang w:val="en-US"/>
        </w:rPr>
        <w:t xml:space="preserve"> unless that energy usage occurs at the time of peak demand in a location where the network is constrained</w:t>
      </w:r>
      <w:r w:rsidRPr="00974434">
        <w:rPr>
          <w:lang w:val="en-US"/>
        </w:rPr>
        <w:t>.</w:t>
      </w:r>
      <w:r>
        <w:rPr>
          <w:lang w:val="en-US"/>
        </w:rPr>
        <w:t xml:space="preserve"> </w:t>
      </w:r>
    </w:p>
    <w:p w14:paraId="6A90C6B6" w14:textId="77777777" w:rsidR="00676882" w:rsidRDefault="00676882" w:rsidP="00676882">
      <w:pPr>
        <w:pStyle w:val="BodyText"/>
        <w:rPr>
          <w:lang w:val="en-US"/>
        </w:rPr>
      </w:pPr>
      <w:r w:rsidRPr="00974434">
        <w:rPr>
          <w:lang w:val="en-US"/>
        </w:rPr>
        <w:t>The</w:t>
      </w:r>
      <w:r>
        <w:rPr>
          <w:lang w:val="en-US"/>
        </w:rPr>
        <w:t xml:space="preserve"> </w:t>
      </w:r>
      <w:r w:rsidRPr="00974434">
        <w:rPr>
          <w:lang w:val="en-US"/>
        </w:rPr>
        <w:t>electricity</w:t>
      </w:r>
      <w:r>
        <w:rPr>
          <w:lang w:val="en-US"/>
        </w:rPr>
        <w:t xml:space="preserve"> </w:t>
      </w:r>
      <w:r w:rsidRPr="00974434">
        <w:rPr>
          <w:lang w:val="en-US"/>
        </w:rPr>
        <w:t>distributors’ revenues</w:t>
      </w:r>
      <w:r>
        <w:rPr>
          <w:lang w:val="en-US"/>
        </w:rPr>
        <w:t xml:space="preserve"> </w:t>
      </w:r>
      <w:r w:rsidRPr="00974434">
        <w:rPr>
          <w:lang w:val="en-US"/>
        </w:rPr>
        <w:t>are</w:t>
      </w:r>
      <w:r>
        <w:rPr>
          <w:lang w:val="en-US"/>
        </w:rPr>
        <w:t xml:space="preserve"> </w:t>
      </w:r>
      <w:r w:rsidRPr="00974434">
        <w:rPr>
          <w:lang w:val="en-US"/>
        </w:rPr>
        <w:t>regulated</w:t>
      </w:r>
      <w:r>
        <w:rPr>
          <w:lang w:val="en-US"/>
        </w:rPr>
        <w:t xml:space="preserve"> </w:t>
      </w:r>
      <w:r w:rsidRPr="00974434">
        <w:rPr>
          <w:lang w:val="en-US"/>
        </w:rPr>
        <w:t>in</w:t>
      </w:r>
      <w:r>
        <w:rPr>
          <w:lang w:val="en-US"/>
        </w:rPr>
        <w:t xml:space="preserve"> </w:t>
      </w:r>
      <w:r w:rsidRPr="00974434">
        <w:rPr>
          <w:lang w:val="en-US"/>
        </w:rPr>
        <w:t>accordance</w:t>
      </w:r>
      <w:r>
        <w:rPr>
          <w:lang w:val="en-US"/>
        </w:rPr>
        <w:t xml:space="preserve"> </w:t>
      </w:r>
      <w:r w:rsidRPr="00974434">
        <w:rPr>
          <w:lang w:val="en-US"/>
        </w:rPr>
        <w:t>with</w:t>
      </w:r>
      <w:r>
        <w:rPr>
          <w:lang w:val="en-US"/>
        </w:rPr>
        <w:t xml:space="preserve"> </w:t>
      </w:r>
      <w:r w:rsidRPr="00974434">
        <w:rPr>
          <w:lang w:val="en-US"/>
        </w:rPr>
        <w:t>a</w:t>
      </w:r>
      <w:r>
        <w:rPr>
          <w:lang w:val="en-US"/>
        </w:rPr>
        <w:t xml:space="preserve"> </w:t>
      </w:r>
      <w:r w:rsidRPr="00974434">
        <w:rPr>
          <w:lang w:val="en-US"/>
        </w:rPr>
        <w:t>revenue</w:t>
      </w:r>
      <w:r>
        <w:rPr>
          <w:lang w:val="en-US"/>
        </w:rPr>
        <w:t xml:space="preserve"> </w:t>
      </w:r>
      <w:r w:rsidRPr="00974434">
        <w:rPr>
          <w:lang w:val="en-US"/>
        </w:rPr>
        <w:t>cap</w:t>
      </w:r>
      <w:r>
        <w:rPr>
          <w:lang w:val="en-US"/>
        </w:rPr>
        <w:t xml:space="preserve"> – that is, the revenue is fixed in the short term</w:t>
      </w:r>
      <w:r w:rsidRPr="00974434">
        <w:rPr>
          <w:lang w:val="en-US"/>
        </w:rPr>
        <w:t>.</w:t>
      </w:r>
      <w:r>
        <w:rPr>
          <w:lang w:val="en-US"/>
        </w:rPr>
        <w:t xml:space="preserve"> In the longer term, </w:t>
      </w:r>
      <w:r w:rsidRPr="00974434">
        <w:rPr>
          <w:lang w:val="en-US"/>
        </w:rPr>
        <w:t>total</w:t>
      </w:r>
      <w:r>
        <w:rPr>
          <w:lang w:val="en-US"/>
        </w:rPr>
        <w:t xml:space="preserve"> </w:t>
      </w:r>
      <w:r w:rsidRPr="00974434">
        <w:rPr>
          <w:lang w:val="en-US"/>
        </w:rPr>
        <w:t>network</w:t>
      </w:r>
      <w:r>
        <w:rPr>
          <w:lang w:val="en-US"/>
        </w:rPr>
        <w:t xml:space="preserve"> </w:t>
      </w:r>
      <w:r w:rsidRPr="00974434">
        <w:rPr>
          <w:lang w:val="en-US"/>
        </w:rPr>
        <w:t>costs</w:t>
      </w:r>
      <w:r>
        <w:rPr>
          <w:lang w:val="en-US"/>
        </w:rPr>
        <w:t xml:space="preserve"> would </w:t>
      </w:r>
      <w:r w:rsidRPr="00974434">
        <w:rPr>
          <w:lang w:val="en-US"/>
        </w:rPr>
        <w:t>only</w:t>
      </w:r>
      <w:r>
        <w:rPr>
          <w:lang w:val="en-US"/>
        </w:rPr>
        <w:t xml:space="preserve"> </w:t>
      </w:r>
      <w:r w:rsidRPr="00974434">
        <w:rPr>
          <w:lang w:val="en-US"/>
        </w:rPr>
        <w:t>reduce</w:t>
      </w:r>
      <w:r>
        <w:rPr>
          <w:lang w:val="en-US"/>
        </w:rPr>
        <w:t xml:space="preserve"> </w:t>
      </w:r>
      <w:r w:rsidRPr="00974434">
        <w:rPr>
          <w:lang w:val="en-US"/>
        </w:rPr>
        <w:t>if</w:t>
      </w:r>
      <w:r>
        <w:rPr>
          <w:lang w:val="en-US"/>
        </w:rPr>
        <w:t>:</w:t>
      </w:r>
    </w:p>
    <w:p w14:paraId="4F2422C9" w14:textId="77777777" w:rsidR="00676882" w:rsidRPr="00974434" w:rsidRDefault="00676882" w:rsidP="00676882">
      <w:pPr>
        <w:pStyle w:val="ListBullet"/>
      </w:pPr>
      <w:r w:rsidRPr="00974434">
        <w:rPr>
          <w:lang w:val="en-US"/>
        </w:rPr>
        <w:t>there</w:t>
      </w:r>
      <w:r>
        <w:rPr>
          <w:lang w:val="en-US"/>
        </w:rPr>
        <w:t xml:space="preserve"> </w:t>
      </w:r>
      <w:r w:rsidRPr="00974434">
        <w:rPr>
          <w:lang w:val="en-US"/>
        </w:rPr>
        <w:t>is</w:t>
      </w:r>
      <w:r>
        <w:rPr>
          <w:lang w:val="en-US"/>
        </w:rPr>
        <w:t xml:space="preserve"> </w:t>
      </w:r>
      <w:r w:rsidRPr="00974434">
        <w:rPr>
          <w:lang w:val="en-US"/>
        </w:rPr>
        <w:t>a</w:t>
      </w:r>
      <w:r>
        <w:rPr>
          <w:lang w:val="en-US"/>
        </w:rPr>
        <w:t xml:space="preserve"> </w:t>
      </w:r>
      <w:r w:rsidRPr="00974434">
        <w:rPr>
          <w:lang w:val="en-US"/>
        </w:rPr>
        <w:t>deferral</w:t>
      </w:r>
      <w:r>
        <w:rPr>
          <w:lang w:val="en-US"/>
        </w:rPr>
        <w:t xml:space="preserve"> </w:t>
      </w:r>
      <w:r w:rsidRPr="00974434">
        <w:rPr>
          <w:lang w:val="en-US"/>
        </w:rPr>
        <w:t>in</w:t>
      </w:r>
      <w:r>
        <w:rPr>
          <w:lang w:val="en-US"/>
        </w:rPr>
        <w:t xml:space="preserve"> </w:t>
      </w:r>
      <w:r w:rsidRPr="00974434">
        <w:rPr>
          <w:lang w:val="en-US"/>
        </w:rPr>
        <w:t>the</w:t>
      </w:r>
      <w:r>
        <w:rPr>
          <w:lang w:val="en-US"/>
        </w:rPr>
        <w:t xml:space="preserve"> </w:t>
      </w:r>
      <w:r w:rsidRPr="00974434">
        <w:rPr>
          <w:lang w:val="en-US"/>
        </w:rPr>
        <w:t>augmentation</w:t>
      </w:r>
      <w:r>
        <w:rPr>
          <w:lang w:val="en-US"/>
        </w:rPr>
        <w:t xml:space="preserve"> </w:t>
      </w:r>
      <w:r w:rsidRPr="00974434">
        <w:rPr>
          <w:lang w:val="en-US"/>
        </w:rPr>
        <w:t>of</w:t>
      </w:r>
      <w:r>
        <w:rPr>
          <w:lang w:val="en-US"/>
        </w:rPr>
        <w:t xml:space="preserve"> </w:t>
      </w:r>
      <w:r w:rsidRPr="00974434">
        <w:rPr>
          <w:lang w:val="en-US"/>
        </w:rPr>
        <w:t>the</w:t>
      </w:r>
      <w:r>
        <w:rPr>
          <w:lang w:val="en-US"/>
        </w:rPr>
        <w:t xml:space="preserve"> </w:t>
      </w:r>
      <w:r w:rsidRPr="00974434">
        <w:rPr>
          <w:lang w:val="en-US"/>
        </w:rPr>
        <w:t>network,</w:t>
      </w:r>
      <w:r>
        <w:rPr>
          <w:lang w:val="en-US"/>
        </w:rPr>
        <w:t xml:space="preserve"> </w:t>
      </w:r>
      <w:r w:rsidRPr="00974434">
        <w:rPr>
          <w:lang w:val="en-US"/>
        </w:rPr>
        <w:t>which</w:t>
      </w:r>
      <w:r>
        <w:rPr>
          <w:lang w:val="en-US"/>
        </w:rPr>
        <w:t xml:space="preserve"> would </w:t>
      </w:r>
      <w:r w:rsidRPr="00974434">
        <w:rPr>
          <w:lang w:val="en-US"/>
        </w:rPr>
        <w:t>only</w:t>
      </w:r>
      <w:r>
        <w:rPr>
          <w:lang w:val="en-US"/>
        </w:rPr>
        <w:t xml:space="preserve"> </w:t>
      </w:r>
      <w:r w:rsidRPr="00974434">
        <w:rPr>
          <w:lang w:val="en-US"/>
        </w:rPr>
        <w:t>occur</w:t>
      </w:r>
      <w:r>
        <w:rPr>
          <w:lang w:val="en-US"/>
        </w:rPr>
        <w:t xml:space="preserve"> </w:t>
      </w:r>
      <w:r w:rsidRPr="00974434">
        <w:rPr>
          <w:lang w:val="en-US"/>
        </w:rPr>
        <w:t>if</w:t>
      </w:r>
      <w:r>
        <w:rPr>
          <w:lang w:val="en-US"/>
        </w:rPr>
        <w:t xml:space="preserve"> </w:t>
      </w:r>
      <w:r w:rsidRPr="00974434">
        <w:rPr>
          <w:lang w:val="en-US"/>
        </w:rPr>
        <w:t>the</w:t>
      </w:r>
      <w:r>
        <w:rPr>
          <w:lang w:val="en-US"/>
        </w:rPr>
        <w:t xml:space="preserve"> </w:t>
      </w:r>
      <w:r w:rsidRPr="00974434">
        <w:rPr>
          <w:lang w:val="en-US"/>
        </w:rPr>
        <w:t>reduction</w:t>
      </w:r>
      <w:r>
        <w:rPr>
          <w:lang w:val="en-US"/>
        </w:rPr>
        <w:t xml:space="preserve"> </w:t>
      </w:r>
      <w:r w:rsidRPr="00974434">
        <w:rPr>
          <w:lang w:val="en-US"/>
        </w:rPr>
        <w:t>in</w:t>
      </w:r>
      <w:r>
        <w:rPr>
          <w:lang w:val="en-US"/>
        </w:rPr>
        <w:t xml:space="preserve"> </w:t>
      </w:r>
      <w:r w:rsidRPr="00974434">
        <w:rPr>
          <w:lang w:val="en-US"/>
        </w:rPr>
        <w:t>energy</w:t>
      </w:r>
      <w:r>
        <w:rPr>
          <w:lang w:val="en-US"/>
        </w:rPr>
        <w:t xml:space="preserve"> </w:t>
      </w:r>
      <w:r w:rsidRPr="00974434">
        <w:rPr>
          <w:lang w:val="en-US"/>
        </w:rPr>
        <w:t>is</w:t>
      </w:r>
      <w:r>
        <w:rPr>
          <w:lang w:val="en-US"/>
        </w:rPr>
        <w:t xml:space="preserve"> </w:t>
      </w:r>
      <w:r w:rsidRPr="00974434">
        <w:rPr>
          <w:lang w:val="en-US"/>
        </w:rPr>
        <w:t>at</w:t>
      </w:r>
      <w:r>
        <w:rPr>
          <w:lang w:val="en-US"/>
        </w:rPr>
        <w:t xml:space="preserve"> </w:t>
      </w:r>
      <w:r w:rsidRPr="00974434">
        <w:rPr>
          <w:lang w:val="en-US"/>
        </w:rPr>
        <w:t>the</w:t>
      </w:r>
      <w:r>
        <w:rPr>
          <w:lang w:val="en-US"/>
        </w:rPr>
        <w:t xml:space="preserve"> </w:t>
      </w:r>
      <w:r w:rsidRPr="00974434">
        <w:rPr>
          <w:lang w:val="en-US"/>
        </w:rPr>
        <w:t>time</w:t>
      </w:r>
      <w:r>
        <w:rPr>
          <w:lang w:val="en-US"/>
        </w:rPr>
        <w:t xml:space="preserve"> </w:t>
      </w:r>
      <w:r w:rsidRPr="00974434">
        <w:rPr>
          <w:lang w:val="en-US"/>
        </w:rPr>
        <w:t>of</w:t>
      </w:r>
      <w:r>
        <w:rPr>
          <w:lang w:val="en-US"/>
        </w:rPr>
        <w:t xml:space="preserve"> </w:t>
      </w:r>
      <w:r w:rsidRPr="00974434">
        <w:rPr>
          <w:lang w:val="en-US"/>
        </w:rPr>
        <w:t>peak</w:t>
      </w:r>
      <w:r>
        <w:rPr>
          <w:lang w:val="en-US"/>
        </w:rPr>
        <w:t xml:space="preserve"> </w:t>
      </w:r>
      <w:r w:rsidRPr="00974434">
        <w:rPr>
          <w:lang w:val="en-US"/>
        </w:rPr>
        <w:t>demand</w:t>
      </w:r>
      <w:r>
        <w:rPr>
          <w:lang w:val="en-US"/>
        </w:rPr>
        <w:t xml:space="preserve"> on the network </w:t>
      </w:r>
      <w:r w:rsidRPr="00974434">
        <w:rPr>
          <w:lang w:val="en-US"/>
        </w:rPr>
        <w:t>and</w:t>
      </w:r>
      <w:r>
        <w:rPr>
          <w:lang w:val="en-US"/>
        </w:rPr>
        <w:t xml:space="preserve"> </w:t>
      </w:r>
      <w:r w:rsidRPr="00974434">
        <w:rPr>
          <w:lang w:val="en-US"/>
        </w:rPr>
        <w:t>in</w:t>
      </w:r>
      <w:r>
        <w:rPr>
          <w:lang w:val="en-US"/>
        </w:rPr>
        <w:t xml:space="preserve"> </w:t>
      </w:r>
      <w:r w:rsidRPr="00974434">
        <w:rPr>
          <w:lang w:val="en-US"/>
        </w:rPr>
        <w:t>the</w:t>
      </w:r>
      <w:r>
        <w:rPr>
          <w:lang w:val="en-US"/>
        </w:rPr>
        <w:t xml:space="preserve"> </w:t>
      </w:r>
      <w:r w:rsidRPr="00974434">
        <w:rPr>
          <w:lang w:val="en-US"/>
        </w:rPr>
        <w:t>location</w:t>
      </w:r>
      <w:r>
        <w:rPr>
          <w:lang w:val="en-US"/>
        </w:rPr>
        <w:t xml:space="preserve"> </w:t>
      </w:r>
      <w:r w:rsidRPr="00974434">
        <w:rPr>
          <w:lang w:val="en-US"/>
        </w:rPr>
        <w:t>where</w:t>
      </w:r>
      <w:r>
        <w:rPr>
          <w:lang w:val="en-US"/>
        </w:rPr>
        <w:t xml:space="preserve"> </w:t>
      </w:r>
      <w:r w:rsidRPr="00974434">
        <w:rPr>
          <w:lang w:val="en-US"/>
        </w:rPr>
        <w:t>the</w:t>
      </w:r>
      <w:r>
        <w:rPr>
          <w:lang w:val="en-US"/>
        </w:rPr>
        <w:t xml:space="preserve"> </w:t>
      </w:r>
      <w:r w:rsidRPr="00974434">
        <w:rPr>
          <w:lang w:val="en-US"/>
        </w:rPr>
        <w:t>network</w:t>
      </w:r>
      <w:r>
        <w:rPr>
          <w:lang w:val="en-US"/>
        </w:rPr>
        <w:t xml:space="preserve"> </w:t>
      </w:r>
      <w:r w:rsidRPr="00974434">
        <w:rPr>
          <w:lang w:val="en-US"/>
        </w:rPr>
        <w:t>is</w:t>
      </w:r>
      <w:r>
        <w:rPr>
          <w:lang w:val="en-US"/>
        </w:rPr>
        <w:t xml:space="preserve"> </w:t>
      </w:r>
      <w:r w:rsidRPr="00974434">
        <w:rPr>
          <w:lang w:val="en-US"/>
        </w:rPr>
        <w:t>constrained</w:t>
      </w:r>
    </w:p>
    <w:p w14:paraId="38575DB9" w14:textId="77777777" w:rsidR="00676882" w:rsidRDefault="00676882" w:rsidP="00676882">
      <w:pPr>
        <w:pStyle w:val="ListBullet"/>
      </w:pPr>
      <w:r>
        <w:t xml:space="preserve">the expenditure for replacing the network can be reduced by replacing network components with lower capacity components. </w:t>
      </w:r>
    </w:p>
    <w:p w14:paraId="0AB360D8" w14:textId="77777777" w:rsidR="00676882" w:rsidRDefault="00676882" w:rsidP="00676882">
      <w:pPr>
        <w:pStyle w:val="BodyText"/>
        <w:rPr>
          <w:lang w:val="en-US"/>
        </w:rPr>
      </w:pPr>
      <w:r>
        <w:rPr>
          <w:lang w:val="en-US"/>
        </w:rPr>
        <w:t>Reductions in network costs as a result of the proposed standards have been included in the analysis.</w:t>
      </w:r>
    </w:p>
    <w:p w14:paraId="1E9701C2" w14:textId="77777777" w:rsidR="00676882" w:rsidRPr="00974434" w:rsidRDefault="00676882" w:rsidP="00676882">
      <w:pPr>
        <w:pStyle w:val="BodyText"/>
      </w:pPr>
      <w:r>
        <w:rPr>
          <w:lang w:val="en-US"/>
        </w:rPr>
        <w:t xml:space="preserve">The </w:t>
      </w:r>
      <w:r w:rsidRPr="00E55B7B">
        <w:rPr>
          <w:b/>
          <w:bCs/>
          <w:lang w:val="en-US"/>
        </w:rPr>
        <w:t>retailer</w:t>
      </w:r>
      <w:r>
        <w:rPr>
          <w:b/>
          <w:bCs/>
          <w:lang w:val="en-US"/>
        </w:rPr>
        <w:t xml:space="preserve"> </w:t>
      </w:r>
      <w:r w:rsidRPr="00E55B7B">
        <w:rPr>
          <w:b/>
          <w:bCs/>
          <w:lang w:val="en-US"/>
        </w:rPr>
        <w:t>costs</w:t>
      </w:r>
      <w:r>
        <w:rPr>
          <w:b/>
          <w:bCs/>
          <w:lang w:val="en-US"/>
        </w:rPr>
        <w:t xml:space="preserve"> </w:t>
      </w:r>
      <w:r>
        <w:rPr>
          <w:lang w:val="en-US"/>
        </w:rPr>
        <w:t xml:space="preserve">comprise the retailer’s operating costs and margin. The retailer’s </w:t>
      </w:r>
      <w:r w:rsidRPr="00974434">
        <w:rPr>
          <w:lang w:val="en-US"/>
        </w:rPr>
        <w:t>operating</w:t>
      </w:r>
      <w:r>
        <w:rPr>
          <w:lang w:val="en-US"/>
        </w:rPr>
        <w:t xml:space="preserve"> </w:t>
      </w:r>
      <w:r w:rsidRPr="00974434">
        <w:rPr>
          <w:lang w:val="en-US"/>
        </w:rPr>
        <w:t>costs</w:t>
      </w:r>
      <w:r>
        <w:rPr>
          <w:lang w:val="en-US"/>
        </w:rPr>
        <w:t xml:space="preserve"> </w:t>
      </w:r>
      <w:r w:rsidRPr="00974434">
        <w:rPr>
          <w:lang w:val="en-US"/>
        </w:rPr>
        <w:t>(</w:t>
      </w:r>
      <w:r w:rsidRPr="00CF47F3">
        <w:t>call</w:t>
      </w:r>
      <w:r>
        <w:t xml:space="preserve"> </w:t>
      </w:r>
      <w:r w:rsidRPr="00CF47F3">
        <w:t>centres,</w:t>
      </w:r>
      <w:r>
        <w:t xml:space="preserve"> </w:t>
      </w:r>
      <w:r w:rsidRPr="00CF47F3">
        <w:t>revenue</w:t>
      </w:r>
      <w:r>
        <w:t xml:space="preserve"> </w:t>
      </w:r>
      <w:r w:rsidRPr="00CF47F3">
        <w:t>and</w:t>
      </w:r>
      <w:r>
        <w:t xml:space="preserve"> </w:t>
      </w:r>
      <w:r w:rsidRPr="00CF47F3">
        <w:t>billing</w:t>
      </w:r>
      <w:r>
        <w:t xml:space="preserve"> </w:t>
      </w:r>
      <w:r w:rsidRPr="00CF47F3">
        <w:t>collection,</w:t>
      </w:r>
      <w:r>
        <w:t xml:space="preserve"> </w:t>
      </w:r>
      <w:r w:rsidRPr="00CF47F3">
        <w:t>customer</w:t>
      </w:r>
      <w:r>
        <w:t xml:space="preserve"> </w:t>
      </w:r>
      <w:r w:rsidRPr="00CF47F3">
        <w:t>acquisition</w:t>
      </w:r>
      <w:r>
        <w:t xml:space="preserve"> </w:t>
      </w:r>
      <w:r w:rsidRPr="00CF47F3">
        <w:t>and</w:t>
      </w:r>
      <w:r>
        <w:t xml:space="preserve"> </w:t>
      </w:r>
      <w:r w:rsidRPr="00CF47F3">
        <w:t>retention,</w:t>
      </w:r>
      <w:r>
        <w:t xml:space="preserve"> </w:t>
      </w:r>
      <w:r w:rsidRPr="00CF47F3">
        <w:t>and</w:t>
      </w:r>
      <w:r>
        <w:t xml:space="preserve"> </w:t>
      </w:r>
      <w:r w:rsidRPr="00CF47F3">
        <w:t>IT</w:t>
      </w:r>
      <w:r>
        <w:t xml:space="preserve"> </w:t>
      </w:r>
      <w:r w:rsidRPr="00CF47F3">
        <w:t>systems</w:t>
      </w:r>
      <w:r w:rsidRPr="00974434">
        <w:rPr>
          <w:lang w:val="en-US"/>
        </w:rPr>
        <w:t>) are</w:t>
      </w:r>
      <w:r>
        <w:rPr>
          <w:lang w:val="en-US"/>
        </w:rPr>
        <w:t xml:space="preserve"> </w:t>
      </w:r>
      <w:r w:rsidRPr="00974434">
        <w:rPr>
          <w:lang w:val="en-US"/>
        </w:rPr>
        <w:t>driven</w:t>
      </w:r>
      <w:r>
        <w:rPr>
          <w:lang w:val="en-US"/>
        </w:rPr>
        <w:t xml:space="preserve"> </w:t>
      </w:r>
      <w:r w:rsidRPr="00974434">
        <w:rPr>
          <w:lang w:val="en-US"/>
        </w:rPr>
        <w:t>by</w:t>
      </w:r>
      <w:r>
        <w:rPr>
          <w:lang w:val="en-US"/>
        </w:rPr>
        <w:t xml:space="preserve"> </w:t>
      </w:r>
      <w:r w:rsidRPr="00974434">
        <w:rPr>
          <w:lang w:val="en-US"/>
        </w:rPr>
        <w:t>the</w:t>
      </w:r>
      <w:r>
        <w:rPr>
          <w:lang w:val="en-US"/>
        </w:rPr>
        <w:t xml:space="preserve"> </w:t>
      </w:r>
      <w:r w:rsidRPr="00974434">
        <w:rPr>
          <w:lang w:val="en-US"/>
        </w:rPr>
        <w:t>number</w:t>
      </w:r>
      <w:r>
        <w:rPr>
          <w:lang w:val="en-US"/>
        </w:rPr>
        <w:t xml:space="preserve"> </w:t>
      </w:r>
      <w:r w:rsidRPr="00974434">
        <w:rPr>
          <w:lang w:val="en-US"/>
        </w:rPr>
        <w:t>of</w:t>
      </w:r>
      <w:r>
        <w:rPr>
          <w:lang w:val="en-US"/>
        </w:rPr>
        <w:t xml:space="preserve"> </w:t>
      </w:r>
      <w:r w:rsidRPr="00974434">
        <w:rPr>
          <w:lang w:val="en-US"/>
        </w:rPr>
        <w:t>customers</w:t>
      </w:r>
      <w:r>
        <w:rPr>
          <w:lang w:val="en-US"/>
        </w:rPr>
        <w:t xml:space="preserve"> </w:t>
      </w:r>
      <w:r w:rsidRPr="00974434">
        <w:rPr>
          <w:lang w:val="en-US"/>
        </w:rPr>
        <w:t>rather</w:t>
      </w:r>
      <w:r>
        <w:rPr>
          <w:lang w:val="en-US"/>
        </w:rPr>
        <w:t xml:space="preserve"> </w:t>
      </w:r>
      <w:r w:rsidRPr="00974434">
        <w:rPr>
          <w:lang w:val="en-US"/>
        </w:rPr>
        <w:t>than</w:t>
      </w:r>
      <w:r>
        <w:rPr>
          <w:lang w:val="en-US"/>
        </w:rPr>
        <w:t xml:space="preserve"> </w:t>
      </w:r>
      <w:r w:rsidRPr="00974434">
        <w:rPr>
          <w:lang w:val="en-US"/>
        </w:rPr>
        <w:t>the</w:t>
      </w:r>
      <w:r>
        <w:rPr>
          <w:lang w:val="en-US"/>
        </w:rPr>
        <w:t xml:space="preserve"> </w:t>
      </w:r>
      <w:r w:rsidRPr="00974434">
        <w:rPr>
          <w:lang w:val="en-US"/>
        </w:rPr>
        <w:t>energy</w:t>
      </w:r>
      <w:r>
        <w:rPr>
          <w:lang w:val="en-US"/>
        </w:rPr>
        <w:t xml:space="preserve"> </w:t>
      </w:r>
      <w:r w:rsidRPr="00974434">
        <w:rPr>
          <w:lang w:val="en-US"/>
        </w:rPr>
        <w:t>used.</w:t>
      </w:r>
      <w:r>
        <w:rPr>
          <w:lang w:val="en-US"/>
        </w:rPr>
        <w:t xml:space="preserve"> </w:t>
      </w:r>
      <w:r w:rsidRPr="00974434">
        <w:rPr>
          <w:lang w:val="en-US"/>
        </w:rPr>
        <w:t>These</w:t>
      </w:r>
      <w:r>
        <w:rPr>
          <w:lang w:val="en-US"/>
        </w:rPr>
        <w:t xml:space="preserve"> </w:t>
      </w:r>
      <w:r w:rsidRPr="00974434">
        <w:rPr>
          <w:lang w:val="en-US"/>
        </w:rPr>
        <w:t>costs</w:t>
      </w:r>
      <w:r>
        <w:rPr>
          <w:lang w:val="en-US"/>
        </w:rPr>
        <w:t xml:space="preserve"> would </w:t>
      </w:r>
      <w:r w:rsidRPr="00974434">
        <w:rPr>
          <w:lang w:val="en-US"/>
        </w:rPr>
        <w:t>not</w:t>
      </w:r>
      <w:r>
        <w:rPr>
          <w:lang w:val="en-US"/>
        </w:rPr>
        <w:t xml:space="preserve"> </w:t>
      </w:r>
      <w:r w:rsidRPr="00974434">
        <w:rPr>
          <w:lang w:val="en-US"/>
        </w:rPr>
        <w:t>change</w:t>
      </w:r>
      <w:r>
        <w:rPr>
          <w:lang w:val="en-US"/>
        </w:rPr>
        <w:t xml:space="preserve"> </w:t>
      </w:r>
      <w:r w:rsidRPr="00974434">
        <w:rPr>
          <w:lang w:val="en-US"/>
        </w:rPr>
        <w:t>as</w:t>
      </w:r>
      <w:r>
        <w:rPr>
          <w:lang w:val="en-US"/>
        </w:rPr>
        <w:t xml:space="preserve"> </w:t>
      </w:r>
      <w:r w:rsidRPr="00974434">
        <w:rPr>
          <w:lang w:val="en-US"/>
        </w:rPr>
        <w:t>energy</w:t>
      </w:r>
      <w:r>
        <w:rPr>
          <w:lang w:val="en-US"/>
        </w:rPr>
        <w:t xml:space="preserve"> </w:t>
      </w:r>
      <w:r w:rsidRPr="00974434">
        <w:rPr>
          <w:lang w:val="en-US"/>
        </w:rPr>
        <w:t>usage</w:t>
      </w:r>
      <w:r>
        <w:rPr>
          <w:lang w:val="en-US"/>
        </w:rPr>
        <w:t xml:space="preserve"> </w:t>
      </w:r>
      <w:r w:rsidRPr="00974434">
        <w:rPr>
          <w:lang w:val="en-US"/>
        </w:rPr>
        <w:t>decreases</w:t>
      </w:r>
      <w:r>
        <w:rPr>
          <w:lang w:val="en-US"/>
        </w:rPr>
        <w:t xml:space="preserve"> through the additional energy efficiency investments driven by the minimum standards</w:t>
      </w:r>
      <w:r w:rsidRPr="00974434">
        <w:rPr>
          <w:lang w:val="en-US"/>
        </w:rPr>
        <w:t>.</w:t>
      </w:r>
    </w:p>
    <w:p w14:paraId="222B274D" w14:textId="77777777" w:rsidR="00676882" w:rsidRDefault="00676882" w:rsidP="00676882">
      <w:pPr>
        <w:pStyle w:val="BodyText"/>
        <w:rPr>
          <w:lang w:val="en-US"/>
        </w:rPr>
      </w:pPr>
      <w:r w:rsidRPr="00974434">
        <w:rPr>
          <w:lang w:val="en-US"/>
        </w:rPr>
        <w:t>It</w:t>
      </w:r>
      <w:r>
        <w:rPr>
          <w:lang w:val="en-US"/>
        </w:rPr>
        <w:t xml:space="preserve"> </w:t>
      </w:r>
      <w:r w:rsidRPr="00974434">
        <w:rPr>
          <w:lang w:val="en-US"/>
        </w:rPr>
        <w:t>is</w:t>
      </w:r>
      <w:r>
        <w:rPr>
          <w:lang w:val="en-US"/>
        </w:rPr>
        <w:t xml:space="preserve"> </w:t>
      </w:r>
      <w:r w:rsidRPr="00974434">
        <w:rPr>
          <w:lang w:val="en-US"/>
        </w:rPr>
        <w:t>generally</w:t>
      </w:r>
      <w:r>
        <w:rPr>
          <w:lang w:val="en-US"/>
        </w:rPr>
        <w:t xml:space="preserve"> </w:t>
      </w:r>
      <w:r w:rsidRPr="00974434">
        <w:rPr>
          <w:lang w:val="en-US"/>
        </w:rPr>
        <w:t>assumed</w:t>
      </w:r>
      <w:r>
        <w:rPr>
          <w:lang w:val="en-US"/>
        </w:rPr>
        <w:t xml:space="preserve"> </w:t>
      </w:r>
      <w:r w:rsidRPr="00974434">
        <w:rPr>
          <w:lang w:val="en-US"/>
        </w:rPr>
        <w:t>that</w:t>
      </w:r>
      <w:r>
        <w:rPr>
          <w:lang w:val="en-US"/>
        </w:rPr>
        <w:t xml:space="preserve"> </w:t>
      </w:r>
      <w:r w:rsidRPr="00974434">
        <w:rPr>
          <w:lang w:val="en-US"/>
        </w:rPr>
        <w:t>the</w:t>
      </w:r>
      <w:r>
        <w:rPr>
          <w:lang w:val="en-US"/>
        </w:rPr>
        <w:t xml:space="preserve"> </w:t>
      </w:r>
      <w:r w:rsidRPr="00974434">
        <w:rPr>
          <w:lang w:val="en-US"/>
        </w:rPr>
        <w:t>margin</w:t>
      </w:r>
      <w:r>
        <w:rPr>
          <w:lang w:val="en-US"/>
        </w:rPr>
        <w:t xml:space="preserve"> </w:t>
      </w:r>
      <w:r w:rsidRPr="00974434">
        <w:rPr>
          <w:lang w:val="en-US"/>
        </w:rPr>
        <w:t>is</w:t>
      </w:r>
      <w:r>
        <w:rPr>
          <w:lang w:val="en-US"/>
        </w:rPr>
        <w:t xml:space="preserve"> </w:t>
      </w:r>
      <w:r w:rsidRPr="00974434">
        <w:rPr>
          <w:lang w:val="en-US"/>
        </w:rPr>
        <w:t>a</w:t>
      </w:r>
      <w:r>
        <w:rPr>
          <w:lang w:val="en-US"/>
        </w:rPr>
        <w:t xml:space="preserve"> </w:t>
      </w:r>
      <w:r w:rsidRPr="00974434">
        <w:rPr>
          <w:lang w:val="en-US"/>
        </w:rPr>
        <w:t>percentage</w:t>
      </w:r>
      <w:r>
        <w:rPr>
          <w:lang w:val="en-US"/>
        </w:rPr>
        <w:t xml:space="preserve"> </w:t>
      </w:r>
      <w:r w:rsidRPr="00974434">
        <w:rPr>
          <w:lang w:val="en-US"/>
        </w:rPr>
        <w:t>applied</w:t>
      </w:r>
      <w:r>
        <w:rPr>
          <w:lang w:val="en-US"/>
        </w:rPr>
        <w:t xml:space="preserve"> </w:t>
      </w:r>
      <w:r w:rsidRPr="00974434">
        <w:rPr>
          <w:lang w:val="en-US"/>
        </w:rPr>
        <w:t>to</w:t>
      </w:r>
      <w:r>
        <w:rPr>
          <w:lang w:val="en-US"/>
        </w:rPr>
        <w:t xml:space="preserve"> </w:t>
      </w:r>
      <w:r w:rsidRPr="00974434">
        <w:rPr>
          <w:lang w:val="en-US"/>
        </w:rPr>
        <w:t>the</w:t>
      </w:r>
      <w:r>
        <w:rPr>
          <w:lang w:val="en-US"/>
        </w:rPr>
        <w:t xml:space="preserve"> </w:t>
      </w:r>
      <w:r w:rsidRPr="00974434">
        <w:rPr>
          <w:lang w:val="en-US"/>
        </w:rPr>
        <w:t>other</w:t>
      </w:r>
      <w:r>
        <w:rPr>
          <w:lang w:val="en-US"/>
        </w:rPr>
        <w:t xml:space="preserve"> </w:t>
      </w:r>
      <w:r w:rsidRPr="00974434">
        <w:rPr>
          <w:lang w:val="en-US"/>
        </w:rPr>
        <w:t>costs.</w:t>
      </w:r>
      <w:r>
        <w:rPr>
          <w:lang w:val="en-US"/>
        </w:rPr>
        <w:t xml:space="preserve"> </w:t>
      </w:r>
      <w:r w:rsidRPr="00974434">
        <w:rPr>
          <w:lang w:val="en-US"/>
        </w:rPr>
        <w:t>If</w:t>
      </w:r>
      <w:r>
        <w:rPr>
          <w:lang w:val="en-US"/>
        </w:rPr>
        <w:t xml:space="preserve"> </w:t>
      </w:r>
      <w:r w:rsidRPr="00974434">
        <w:rPr>
          <w:lang w:val="en-US"/>
        </w:rPr>
        <w:t>energy</w:t>
      </w:r>
      <w:r>
        <w:rPr>
          <w:lang w:val="en-US"/>
        </w:rPr>
        <w:t xml:space="preserve"> </w:t>
      </w:r>
      <w:r w:rsidRPr="00974434">
        <w:rPr>
          <w:lang w:val="en-US"/>
        </w:rPr>
        <w:t>costs</w:t>
      </w:r>
      <w:r>
        <w:rPr>
          <w:lang w:val="en-US"/>
        </w:rPr>
        <w:t xml:space="preserve"> </w:t>
      </w:r>
      <w:r w:rsidRPr="00974434">
        <w:rPr>
          <w:lang w:val="en-US"/>
        </w:rPr>
        <w:t>decrease,</w:t>
      </w:r>
      <w:r>
        <w:rPr>
          <w:lang w:val="en-US"/>
        </w:rPr>
        <w:t xml:space="preserve"> </w:t>
      </w:r>
      <w:r w:rsidRPr="00974434">
        <w:rPr>
          <w:lang w:val="en-US"/>
        </w:rPr>
        <w:t>then</w:t>
      </w:r>
      <w:r>
        <w:rPr>
          <w:lang w:val="en-US"/>
        </w:rPr>
        <w:t xml:space="preserve"> </w:t>
      </w:r>
      <w:r w:rsidRPr="00974434">
        <w:rPr>
          <w:lang w:val="en-US"/>
        </w:rPr>
        <w:t>the</w:t>
      </w:r>
      <w:r>
        <w:rPr>
          <w:lang w:val="en-US"/>
        </w:rPr>
        <w:t xml:space="preserve"> </w:t>
      </w:r>
      <w:r w:rsidRPr="00974434">
        <w:rPr>
          <w:lang w:val="en-US"/>
        </w:rPr>
        <w:t>operating</w:t>
      </w:r>
      <w:r>
        <w:rPr>
          <w:lang w:val="en-US"/>
        </w:rPr>
        <w:t xml:space="preserve"> </w:t>
      </w:r>
      <w:r w:rsidRPr="00974434">
        <w:rPr>
          <w:lang w:val="en-US"/>
        </w:rPr>
        <w:t>margin</w:t>
      </w:r>
      <w:r>
        <w:rPr>
          <w:lang w:val="en-US"/>
        </w:rPr>
        <w:t xml:space="preserve"> </w:t>
      </w:r>
      <w:r w:rsidRPr="00974434">
        <w:rPr>
          <w:lang w:val="en-US"/>
        </w:rPr>
        <w:t>applied</w:t>
      </w:r>
      <w:r>
        <w:rPr>
          <w:lang w:val="en-US"/>
        </w:rPr>
        <w:t xml:space="preserve"> </w:t>
      </w:r>
      <w:r w:rsidRPr="00974434">
        <w:rPr>
          <w:lang w:val="en-US"/>
        </w:rPr>
        <w:t>to</w:t>
      </w:r>
      <w:r>
        <w:rPr>
          <w:lang w:val="en-US"/>
        </w:rPr>
        <w:t xml:space="preserve"> </w:t>
      </w:r>
      <w:r w:rsidRPr="00974434">
        <w:rPr>
          <w:lang w:val="en-US"/>
        </w:rPr>
        <w:t>those</w:t>
      </w:r>
      <w:r>
        <w:rPr>
          <w:lang w:val="en-US"/>
        </w:rPr>
        <w:t xml:space="preserve"> </w:t>
      </w:r>
      <w:r w:rsidRPr="00974434">
        <w:rPr>
          <w:lang w:val="en-US"/>
        </w:rPr>
        <w:t>costs</w:t>
      </w:r>
      <w:r>
        <w:rPr>
          <w:lang w:val="en-US"/>
        </w:rPr>
        <w:t xml:space="preserve"> would </w:t>
      </w:r>
      <w:r w:rsidRPr="00974434">
        <w:rPr>
          <w:lang w:val="en-US"/>
        </w:rPr>
        <w:t>also</w:t>
      </w:r>
      <w:r>
        <w:rPr>
          <w:lang w:val="en-US"/>
        </w:rPr>
        <w:t xml:space="preserve"> </w:t>
      </w:r>
      <w:r w:rsidRPr="00974434">
        <w:rPr>
          <w:lang w:val="en-US"/>
        </w:rPr>
        <w:t>decrease.</w:t>
      </w:r>
      <w:r>
        <w:rPr>
          <w:lang w:val="en-US"/>
        </w:rPr>
        <w:t xml:space="preserve"> A </w:t>
      </w:r>
      <w:r w:rsidRPr="00974434">
        <w:rPr>
          <w:lang w:val="en-US"/>
        </w:rPr>
        <w:t>reasonable</w:t>
      </w:r>
      <w:r>
        <w:rPr>
          <w:lang w:val="en-US"/>
        </w:rPr>
        <w:t xml:space="preserve"> </w:t>
      </w:r>
      <w:r w:rsidRPr="00974434">
        <w:rPr>
          <w:lang w:val="en-US"/>
        </w:rPr>
        <w:t>approximation</w:t>
      </w:r>
      <w:r>
        <w:rPr>
          <w:lang w:val="en-US"/>
        </w:rPr>
        <w:t xml:space="preserve"> </w:t>
      </w:r>
      <w:r w:rsidRPr="00974434">
        <w:rPr>
          <w:lang w:val="en-US"/>
        </w:rPr>
        <w:t>is</w:t>
      </w:r>
      <w:r>
        <w:rPr>
          <w:lang w:val="en-US"/>
        </w:rPr>
        <w:t xml:space="preserve"> </w:t>
      </w:r>
      <w:r w:rsidRPr="00974434">
        <w:rPr>
          <w:lang w:val="en-US"/>
        </w:rPr>
        <w:t>that</w:t>
      </w:r>
      <w:r>
        <w:rPr>
          <w:lang w:val="en-US"/>
        </w:rPr>
        <w:t xml:space="preserve"> </w:t>
      </w:r>
      <w:r w:rsidRPr="00974434">
        <w:rPr>
          <w:lang w:val="en-US"/>
        </w:rPr>
        <w:t>this</w:t>
      </w:r>
      <w:r>
        <w:rPr>
          <w:lang w:val="en-US"/>
        </w:rPr>
        <w:t xml:space="preserve"> </w:t>
      </w:r>
      <w:r w:rsidRPr="00974434">
        <w:rPr>
          <w:lang w:val="en-US"/>
        </w:rPr>
        <w:t>is</w:t>
      </w:r>
      <w:r>
        <w:rPr>
          <w:lang w:val="en-US"/>
        </w:rPr>
        <w:t xml:space="preserve"> </w:t>
      </w:r>
      <w:r w:rsidRPr="00974434">
        <w:rPr>
          <w:lang w:val="en-US"/>
        </w:rPr>
        <w:t>offset</w:t>
      </w:r>
      <w:r>
        <w:rPr>
          <w:lang w:val="en-US"/>
        </w:rPr>
        <w:t xml:space="preserve"> </w:t>
      </w:r>
      <w:r w:rsidRPr="00974434">
        <w:rPr>
          <w:lang w:val="en-US"/>
        </w:rPr>
        <w:t>by</w:t>
      </w:r>
      <w:r>
        <w:rPr>
          <w:lang w:val="en-US"/>
        </w:rPr>
        <w:t xml:space="preserve"> </w:t>
      </w:r>
      <w:r w:rsidRPr="00974434">
        <w:rPr>
          <w:lang w:val="en-US"/>
        </w:rPr>
        <w:t>the</w:t>
      </w:r>
      <w:r>
        <w:rPr>
          <w:lang w:val="en-US"/>
        </w:rPr>
        <w:t xml:space="preserve"> </w:t>
      </w:r>
      <w:r w:rsidRPr="00974434">
        <w:rPr>
          <w:lang w:val="en-US"/>
        </w:rPr>
        <w:t>assumption</w:t>
      </w:r>
      <w:r>
        <w:rPr>
          <w:lang w:val="en-US"/>
        </w:rPr>
        <w:t xml:space="preserve"> </w:t>
      </w:r>
      <w:r w:rsidRPr="00974434">
        <w:rPr>
          <w:lang w:val="en-US"/>
        </w:rPr>
        <w:t>that</w:t>
      </w:r>
      <w:r>
        <w:rPr>
          <w:lang w:val="en-US"/>
        </w:rPr>
        <w:t xml:space="preserve"> </w:t>
      </w:r>
      <w:r w:rsidRPr="00974434">
        <w:rPr>
          <w:lang w:val="en-US"/>
        </w:rPr>
        <w:t>the</w:t>
      </w:r>
      <w:r>
        <w:rPr>
          <w:lang w:val="en-US"/>
        </w:rPr>
        <w:t xml:space="preserve"> </w:t>
      </w:r>
      <w:r w:rsidRPr="00974434">
        <w:rPr>
          <w:lang w:val="en-US"/>
        </w:rPr>
        <w:t>total</w:t>
      </w:r>
      <w:r>
        <w:rPr>
          <w:lang w:val="en-US"/>
        </w:rPr>
        <w:t xml:space="preserve"> </w:t>
      </w:r>
      <w:r w:rsidRPr="00974434">
        <w:rPr>
          <w:lang w:val="en-US"/>
        </w:rPr>
        <w:t>wholesale</w:t>
      </w:r>
      <w:r>
        <w:rPr>
          <w:lang w:val="en-US"/>
        </w:rPr>
        <w:t xml:space="preserve"> </w:t>
      </w:r>
      <w:r w:rsidRPr="00974434">
        <w:rPr>
          <w:lang w:val="en-US"/>
        </w:rPr>
        <w:t>energy</w:t>
      </w:r>
      <w:r>
        <w:rPr>
          <w:lang w:val="en-US"/>
        </w:rPr>
        <w:t xml:space="preserve"> </w:t>
      </w:r>
      <w:r w:rsidRPr="00974434">
        <w:rPr>
          <w:lang w:val="en-US"/>
        </w:rPr>
        <w:t>costs</w:t>
      </w:r>
      <w:r>
        <w:rPr>
          <w:lang w:val="en-US"/>
        </w:rPr>
        <w:t xml:space="preserve"> </w:t>
      </w:r>
      <w:r w:rsidRPr="00974434">
        <w:rPr>
          <w:lang w:val="en-US"/>
        </w:rPr>
        <w:t>(rather</w:t>
      </w:r>
      <w:r>
        <w:rPr>
          <w:lang w:val="en-US"/>
        </w:rPr>
        <w:t xml:space="preserve"> </w:t>
      </w:r>
      <w:r w:rsidRPr="00974434">
        <w:rPr>
          <w:lang w:val="en-US"/>
        </w:rPr>
        <w:t>than</w:t>
      </w:r>
      <w:r>
        <w:rPr>
          <w:lang w:val="en-US"/>
        </w:rPr>
        <w:t xml:space="preserve"> </w:t>
      </w:r>
      <w:r w:rsidRPr="00974434">
        <w:rPr>
          <w:lang w:val="en-US"/>
        </w:rPr>
        <w:t>the</w:t>
      </w:r>
      <w:r>
        <w:rPr>
          <w:lang w:val="en-US"/>
        </w:rPr>
        <w:t xml:space="preserve"> </w:t>
      </w:r>
      <w:r w:rsidRPr="00974434">
        <w:rPr>
          <w:lang w:val="en-US"/>
        </w:rPr>
        <w:t>variable</w:t>
      </w:r>
      <w:r>
        <w:rPr>
          <w:lang w:val="en-US"/>
        </w:rPr>
        <w:t xml:space="preserve"> </w:t>
      </w:r>
      <w:r w:rsidRPr="00974434">
        <w:rPr>
          <w:lang w:val="en-US"/>
        </w:rPr>
        <w:t>wholesale</w:t>
      </w:r>
      <w:r>
        <w:rPr>
          <w:lang w:val="en-US"/>
        </w:rPr>
        <w:t xml:space="preserve"> </w:t>
      </w:r>
      <w:r w:rsidRPr="00974434">
        <w:rPr>
          <w:lang w:val="en-US"/>
        </w:rPr>
        <w:t>energy</w:t>
      </w:r>
      <w:r>
        <w:rPr>
          <w:lang w:val="en-US"/>
        </w:rPr>
        <w:t xml:space="preserve"> </w:t>
      </w:r>
      <w:r w:rsidRPr="00974434">
        <w:rPr>
          <w:lang w:val="en-US"/>
        </w:rPr>
        <w:t>costs) are</w:t>
      </w:r>
      <w:r>
        <w:rPr>
          <w:lang w:val="en-US"/>
        </w:rPr>
        <w:t xml:space="preserve"> </w:t>
      </w:r>
      <w:r w:rsidRPr="00974434">
        <w:rPr>
          <w:lang w:val="en-US"/>
        </w:rPr>
        <w:t>avoided.</w:t>
      </w:r>
    </w:p>
    <w:p w14:paraId="6C8F74CF" w14:textId="77777777" w:rsidR="00676882" w:rsidRDefault="00676882" w:rsidP="00676882">
      <w:pPr>
        <w:pStyle w:val="BodyText"/>
      </w:pPr>
      <w:r>
        <w:t xml:space="preserve">Most of the </w:t>
      </w:r>
      <w:r w:rsidRPr="00E55B7B">
        <w:rPr>
          <w:b/>
          <w:bCs/>
        </w:rPr>
        <w:t>environmental</w:t>
      </w:r>
      <w:r>
        <w:rPr>
          <w:b/>
          <w:bCs/>
        </w:rPr>
        <w:t xml:space="preserve"> </w:t>
      </w:r>
      <w:r w:rsidRPr="00E55B7B">
        <w:rPr>
          <w:b/>
          <w:bCs/>
        </w:rPr>
        <w:t>scheme</w:t>
      </w:r>
      <w:r>
        <w:rPr>
          <w:b/>
          <w:bCs/>
        </w:rPr>
        <w:t xml:space="preserve"> </w:t>
      </w:r>
      <w:r w:rsidRPr="00E55B7B">
        <w:rPr>
          <w:b/>
          <w:bCs/>
        </w:rPr>
        <w:t>costs</w:t>
      </w:r>
      <w:r>
        <w:rPr>
          <w:b/>
          <w:bCs/>
        </w:rPr>
        <w:t xml:space="preserve"> </w:t>
      </w:r>
      <w:r>
        <w:t xml:space="preserve">are fixed based on a fixed target that is allocated </w:t>
      </w:r>
      <w:proofErr w:type="gramStart"/>
      <w:r>
        <w:t>on the basis of</w:t>
      </w:r>
      <w:proofErr w:type="gramEnd"/>
      <w:r>
        <w:t xml:space="preserve"> energy usage. As such, the </w:t>
      </w:r>
      <w:r w:rsidRPr="006576DB">
        <w:rPr>
          <w:lang w:val="en-US"/>
        </w:rPr>
        <w:t>amount</w:t>
      </w:r>
      <w:r>
        <w:rPr>
          <w:lang w:val="en-US"/>
        </w:rPr>
        <w:t xml:space="preserve"> </w:t>
      </w:r>
      <w:r w:rsidRPr="006576DB">
        <w:rPr>
          <w:lang w:val="en-US"/>
        </w:rPr>
        <w:t>recovered</w:t>
      </w:r>
      <w:r>
        <w:rPr>
          <w:lang w:val="en-US"/>
        </w:rPr>
        <w:t xml:space="preserve"> </w:t>
      </w:r>
      <w:r w:rsidRPr="006576DB">
        <w:rPr>
          <w:lang w:val="en-US"/>
        </w:rPr>
        <w:t>per</w:t>
      </w:r>
      <w:r>
        <w:rPr>
          <w:lang w:val="en-US"/>
        </w:rPr>
        <w:t xml:space="preserve"> </w:t>
      </w:r>
      <w:r w:rsidRPr="006576DB">
        <w:rPr>
          <w:lang w:val="en-US"/>
        </w:rPr>
        <w:t>unit</w:t>
      </w:r>
      <w:r>
        <w:rPr>
          <w:lang w:val="en-US"/>
        </w:rPr>
        <w:t xml:space="preserve"> </w:t>
      </w:r>
      <w:r w:rsidRPr="006576DB">
        <w:rPr>
          <w:lang w:val="en-US"/>
        </w:rPr>
        <w:t>of</w:t>
      </w:r>
      <w:r>
        <w:rPr>
          <w:lang w:val="en-US"/>
        </w:rPr>
        <w:t xml:space="preserve"> </w:t>
      </w:r>
      <w:r w:rsidRPr="006576DB">
        <w:rPr>
          <w:lang w:val="en-US"/>
        </w:rPr>
        <w:t>energy</w:t>
      </w:r>
      <w:r>
        <w:rPr>
          <w:lang w:val="en-US"/>
        </w:rPr>
        <w:t xml:space="preserve"> </w:t>
      </w:r>
      <w:r w:rsidRPr="006576DB">
        <w:rPr>
          <w:lang w:val="en-US"/>
        </w:rPr>
        <w:t>used</w:t>
      </w:r>
      <w:r>
        <w:rPr>
          <w:lang w:val="en-US"/>
        </w:rPr>
        <w:t xml:space="preserve"> </w:t>
      </w:r>
      <w:r w:rsidRPr="006576DB">
        <w:rPr>
          <w:lang w:val="en-US"/>
        </w:rPr>
        <w:t>increases</w:t>
      </w:r>
      <w:r>
        <w:rPr>
          <w:lang w:val="en-US"/>
        </w:rPr>
        <w:t xml:space="preserve"> </w:t>
      </w:r>
      <w:r w:rsidRPr="006576DB">
        <w:rPr>
          <w:lang w:val="en-US"/>
        </w:rPr>
        <w:t>as</w:t>
      </w:r>
      <w:r>
        <w:rPr>
          <w:lang w:val="en-US"/>
        </w:rPr>
        <w:t xml:space="preserve"> </w:t>
      </w:r>
      <w:r w:rsidRPr="006576DB">
        <w:rPr>
          <w:lang w:val="en-US"/>
        </w:rPr>
        <w:t>energy</w:t>
      </w:r>
      <w:r>
        <w:rPr>
          <w:lang w:val="en-US"/>
        </w:rPr>
        <w:t xml:space="preserve"> </w:t>
      </w:r>
      <w:r w:rsidRPr="006576DB">
        <w:rPr>
          <w:lang w:val="en-US"/>
        </w:rPr>
        <w:t>usage</w:t>
      </w:r>
      <w:r>
        <w:rPr>
          <w:lang w:val="en-US"/>
        </w:rPr>
        <w:t xml:space="preserve"> </w:t>
      </w:r>
      <w:r w:rsidRPr="006576DB">
        <w:rPr>
          <w:lang w:val="en-US"/>
        </w:rPr>
        <w:t>decreases.</w:t>
      </w:r>
      <w:r>
        <w:rPr>
          <w:lang w:val="en-US"/>
        </w:rPr>
        <w:t xml:space="preserve"> The societal costs associated with environmental scheme costs are not reduced as energy usage reduces with more investments in energy efficient measures, unless the target changes.</w:t>
      </w:r>
    </w:p>
    <w:p w14:paraId="5681201C" w14:textId="77777777" w:rsidR="00676882" w:rsidRDefault="00676882" w:rsidP="00676882">
      <w:pPr>
        <w:pStyle w:val="BodyText"/>
      </w:pPr>
      <w:proofErr w:type="gramStart"/>
      <w:r>
        <w:t>In light of</w:t>
      </w:r>
      <w:proofErr w:type="gramEnd"/>
      <w:r>
        <w:t xml:space="preserve"> the above discussion, to assess the societal benefit of a reduction in the energy used by rental properties due to the minimum standards, we have considered the components of the retail prices that would result in a reduction in costs incurred by society – the avoided wholesale energy costs and the avoided network costs. That is, the components of the retail energy prices factored in the economy-wide analysis to assess the benefits of the proposed standards are:</w:t>
      </w:r>
    </w:p>
    <w:p w14:paraId="32B9B634" w14:textId="77777777" w:rsidR="00676882" w:rsidRDefault="00676882" w:rsidP="00676882">
      <w:pPr>
        <w:pStyle w:val="ListBullet"/>
      </w:pPr>
      <w:r>
        <w:t xml:space="preserve">the </w:t>
      </w:r>
      <w:r w:rsidRPr="00F75007">
        <w:t>avoided</w:t>
      </w:r>
      <w:r>
        <w:t xml:space="preserve"> </w:t>
      </w:r>
      <w:r w:rsidRPr="00F75007">
        <w:t>energy</w:t>
      </w:r>
      <w:r>
        <w:t xml:space="preserve"> </w:t>
      </w:r>
      <w:r w:rsidRPr="00F75007">
        <w:t>costs</w:t>
      </w:r>
      <w:r>
        <w:t xml:space="preserve"> </w:t>
      </w:r>
      <w:r w:rsidRPr="00F75007">
        <w:t>based</w:t>
      </w:r>
      <w:r>
        <w:t xml:space="preserve"> </w:t>
      </w:r>
      <w:r w:rsidRPr="00F75007">
        <w:t>on</w:t>
      </w:r>
      <w:r>
        <w:t xml:space="preserve"> (proxied by) </w:t>
      </w:r>
      <w:r w:rsidRPr="00F75007">
        <w:t>the</w:t>
      </w:r>
      <w:r>
        <w:t xml:space="preserve"> </w:t>
      </w:r>
      <w:r w:rsidRPr="00F75007">
        <w:t>avoided</w:t>
      </w:r>
      <w:r>
        <w:t xml:space="preserve"> </w:t>
      </w:r>
      <w:r w:rsidRPr="00F75007">
        <w:t>wholesale</w:t>
      </w:r>
      <w:r>
        <w:t xml:space="preserve"> </w:t>
      </w:r>
      <w:r w:rsidRPr="00F75007">
        <w:t>electricity</w:t>
      </w:r>
      <w:r>
        <w:t xml:space="preserve"> </w:t>
      </w:r>
      <w:r w:rsidRPr="00F75007">
        <w:t>prices</w:t>
      </w:r>
    </w:p>
    <w:p w14:paraId="198FAF2D" w14:textId="77777777" w:rsidR="00676882" w:rsidRDefault="00676882" w:rsidP="00676882">
      <w:pPr>
        <w:pStyle w:val="ListBullet"/>
      </w:pPr>
      <w:r w:rsidRPr="00F75007">
        <w:t>the</w:t>
      </w:r>
      <w:r>
        <w:t xml:space="preserve"> </w:t>
      </w:r>
      <w:r w:rsidRPr="00F75007">
        <w:t>avoided</w:t>
      </w:r>
      <w:r>
        <w:t xml:space="preserve"> </w:t>
      </w:r>
      <w:r w:rsidRPr="00F75007">
        <w:t>network</w:t>
      </w:r>
      <w:r>
        <w:t xml:space="preserve"> </w:t>
      </w:r>
      <w:r w:rsidRPr="00F75007">
        <w:t>cos</w:t>
      </w:r>
      <w:r>
        <w:t xml:space="preserve">ts (these </w:t>
      </w:r>
      <w:r w:rsidRPr="00DD1661">
        <w:t>have</w:t>
      </w:r>
      <w:r>
        <w:t xml:space="preserve"> </w:t>
      </w:r>
      <w:r w:rsidRPr="00DD1661">
        <w:t>been</w:t>
      </w:r>
      <w:r>
        <w:t xml:space="preserve"> </w:t>
      </w:r>
      <w:r w:rsidRPr="00DD1661">
        <w:t>calculated</w:t>
      </w:r>
      <w:r>
        <w:t xml:space="preserve"> </w:t>
      </w:r>
      <w:r w:rsidRPr="00DD1661">
        <w:t>based</w:t>
      </w:r>
      <w:r>
        <w:t xml:space="preserve"> </w:t>
      </w:r>
      <w:r w:rsidRPr="00DD1661">
        <w:t>on</w:t>
      </w:r>
      <w:r>
        <w:t xml:space="preserve"> </w:t>
      </w:r>
      <w:r w:rsidRPr="00DD1661">
        <w:t>the</w:t>
      </w:r>
      <w:r>
        <w:t xml:space="preserve"> </w:t>
      </w:r>
      <w:r w:rsidRPr="00DD1661">
        <w:t>incremental</w:t>
      </w:r>
      <w:r>
        <w:t xml:space="preserve"> </w:t>
      </w:r>
      <w:r w:rsidRPr="00DD1661">
        <w:t>reduction</w:t>
      </w:r>
      <w:r>
        <w:t xml:space="preserve"> </w:t>
      </w:r>
      <w:r w:rsidRPr="00DD1661">
        <w:t>in</w:t>
      </w:r>
      <w:r>
        <w:t xml:space="preserve"> </w:t>
      </w:r>
      <w:r w:rsidRPr="00DD1661">
        <w:t>peak</w:t>
      </w:r>
      <w:r>
        <w:t xml:space="preserve"> </w:t>
      </w:r>
      <w:r w:rsidRPr="00DD1661">
        <w:t>demand</w:t>
      </w:r>
      <w:r>
        <w:t xml:space="preserve"> </w:t>
      </w:r>
      <w:r w:rsidRPr="00DD1661">
        <w:t>in</w:t>
      </w:r>
      <w:r>
        <w:t xml:space="preserve"> </w:t>
      </w:r>
      <w:r w:rsidRPr="00DD1661">
        <w:t>each</w:t>
      </w:r>
      <w:r>
        <w:t xml:space="preserve"> </w:t>
      </w:r>
      <w:r w:rsidRPr="00DD1661">
        <w:t>year</w:t>
      </w:r>
      <w:r>
        <w:t xml:space="preserve"> </w:t>
      </w:r>
      <w:r w:rsidRPr="00DD1661">
        <w:t>and</w:t>
      </w:r>
      <w:r>
        <w:t xml:space="preserve"> </w:t>
      </w:r>
      <w:r w:rsidRPr="00DD1661">
        <w:t>the</w:t>
      </w:r>
      <w:r>
        <w:t xml:space="preserve"> </w:t>
      </w:r>
      <w:r w:rsidRPr="00DD1661">
        <w:t>capital</w:t>
      </w:r>
      <w:r>
        <w:t xml:space="preserve"> </w:t>
      </w:r>
      <w:r w:rsidRPr="00DD1661">
        <w:t>expenditure</w:t>
      </w:r>
      <w:r>
        <w:t xml:space="preserve"> </w:t>
      </w:r>
      <w:r w:rsidRPr="00DD1661">
        <w:t>that</w:t>
      </w:r>
      <w:r>
        <w:t xml:space="preserve"> </w:t>
      </w:r>
      <w:r w:rsidRPr="00DD1661">
        <w:t>would</w:t>
      </w:r>
      <w:r>
        <w:t xml:space="preserve"> </w:t>
      </w:r>
      <w:r w:rsidRPr="00DD1661">
        <w:t>have</w:t>
      </w:r>
      <w:r>
        <w:t xml:space="preserve"> </w:t>
      </w:r>
      <w:r w:rsidRPr="00DD1661">
        <w:t>been</w:t>
      </w:r>
      <w:r>
        <w:t xml:space="preserve"> </w:t>
      </w:r>
      <w:r w:rsidRPr="00DD1661">
        <w:t>avoided</w:t>
      </w:r>
      <w:r>
        <w:t xml:space="preserve"> </w:t>
      </w:r>
      <w:r w:rsidRPr="00DD1661">
        <w:t>by</w:t>
      </w:r>
      <w:r>
        <w:t xml:space="preserve"> </w:t>
      </w:r>
      <w:r w:rsidRPr="00DD1661">
        <w:t>that</w:t>
      </w:r>
      <w:r>
        <w:t xml:space="preserve"> </w:t>
      </w:r>
      <w:r w:rsidRPr="00DD1661">
        <w:t>reduction</w:t>
      </w:r>
      <w:r>
        <w:t xml:space="preserve"> </w:t>
      </w:r>
      <w:r w:rsidRPr="00DD1661">
        <w:t>in</w:t>
      </w:r>
      <w:r>
        <w:t xml:space="preserve"> </w:t>
      </w:r>
      <w:r w:rsidRPr="00DD1661">
        <w:t>peak</w:t>
      </w:r>
      <w:r>
        <w:t xml:space="preserve"> </w:t>
      </w:r>
      <w:r w:rsidRPr="00DD1661">
        <w:t>demand</w:t>
      </w:r>
      <w:r>
        <w:t>).</w:t>
      </w:r>
    </w:p>
    <w:p w14:paraId="3840135C" w14:textId="77777777" w:rsidR="00676882" w:rsidRDefault="00676882" w:rsidP="00676882">
      <w:pPr>
        <w:pStyle w:val="BodyText"/>
      </w:pPr>
      <w:r>
        <w:t>We note that t</w:t>
      </w:r>
      <w:r w:rsidRPr="00CF47F3">
        <w:t>he</w:t>
      </w:r>
      <w:r>
        <w:t xml:space="preserve"> </w:t>
      </w:r>
      <w:r w:rsidRPr="00CF47F3">
        <w:t>use</w:t>
      </w:r>
      <w:r>
        <w:t xml:space="preserve"> </w:t>
      </w:r>
      <w:r w:rsidRPr="00CF47F3">
        <w:t>of</w:t>
      </w:r>
      <w:r>
        <w:t xml:space="preserve"> the capacity and network approach </w:t>
      </w:r>
      <w:r w:rsidRPr="00CF47F3">
        <w:t>result</w:t>
      </w:r>
      <w:r>
        <w:t xml:space="preserve">s </w:t>
      </w:r>
      <w:r w:rsidRPr="00CF47F3">
        <w:t>in</w:t>
      </w:r>
      <w:r>
        <w:t xml:space="preserve"> BCRs </w:t>
      </w:r>
      <w:r w:rsidRPr="00CF47F3">
        <w:t>and</w:t>
      </w:r>
      <w:r>
        <w:t xml:space="preserve"> NPVs </w:t>
      </w:r>
      <w:r w:rsidRPr="00CF47F3">
        <w:t>that</w:t>
      </w:r>
      <w:r>
        <w:t xml:space="preserve"> </w:t>
      </w:r>
      <w:r w:rsidRPr="00CF47F3">
        <w:t>are</w:t>
      </w:r>
      <w:r>
        <w:t xml:space="preserve"> </w:t>
      </w:r>
      <w:r w:rsidRPr="00CF47F3">
        <w:t>much</w:t>
      </w:r>
      <w:r>
        <w:t xml:space="preserve"> </w:t>
      </w:r>
      <w:r w:rsidRPr="00CF47F3">
        <w:t>smaller</w:t>
      </w:r>
      <w:r>
        <w:t xml:space="preserve"> </w:t>
      </w:r>
      <w:r w:rsidRPr="00CF47F3">
        <w:t>than</w:t>
      </w:r>
      <w:r>
        <w:t xml:space="preserve"> </w:t>
      </w:r>
      <w:r w:rsidRPr="00CF47F3">
        <w:t>if</w:t>
      </w:r>
      <w:r>
        <w:t xml:space="preserve"> </w:t>
      </w:r>
      <w:r w:rsidRPr="00CF47F3">
        <w:t>retail</w:t>
      </w:r>
      <w:r>
        <w:t xml:space="preserve"> </w:t>
      </w:r>
      <w:r w:rsidRPr="00CF47F3">
        <w:t>energy</w:t>
      </w:r>
      <w:r>
        <w:t xml:space="preserve"> </w:t>
      </w:r>
      <w:r w:rsidRPr="00CF47F3">
        <w:t>prices</w:t>
      </w:r>
      <w:r>
        <w:t xml:space="preserve"> </w:t>
      </w:r>
      <w:r w:rsidRPr="00CF47F3">
        <w:t>are</w:t>
      </w:r>
      <w:r>
        <w:t xml:space="preserve"> </w:t>
      </w:r>
      <w:r w:rsidRPr="00CF47F3">
        <w:t>used.</w:t>
      </w:r>
      <w:r>
        <w:t xml:space="preserve"> </w:t>
      </w:r>
      <w:r w:rsidRPr="00CF47F3">
        <w:t>In</w:t>
      </w:r>
      <w:r>
        <w:t xml:space="preserve"> </w:t>
      </w:r>
      <w:r w:rsidRPr="00CF47F3">
        <w:t>effect,</w:t>
      </w:r>
      <w:r>
        <w:t xml:space="preserve"> </w:t>
      </w:r>
      <w:r w:rsidRPr="00CF47F3">
        <w:t>there</w:t>
      </w:r>
      <w:r>
        <w:t xml:space="preserve"> </w:t>
      </w:r>
      <w:r w:rsidRPr="00CF47F3">
        <w:t>is</w:t>
      </w:r>
      <w:r>
        <w:t xml:space="preserve"> </w:t>
      </w:r>
      <w:r w:rsidRPr="00CF47F3">
        <w:t>a</w:t>
      </w:r>
      <w:r>
        <w:t xml:space="preserve"> </w:t>
      </w:r>
      <w:r w:rsidRPr="00CF47F3">
        <w:t>redistribution</w:t>
      </w:r>
      <w:r>
        <w:t xml:space="preserve"> of costs </w:t>
      </w:r>
      <w:r w:rsidRPr="00CF47F3">
        <w:t>from</w:t>
      </w:r>
      <w:r>
        <w:t xml:space="preserve"> </w:t>
      </w:r>
      <w:r w:rsidRPr="00CF47F3">
        <w:t>the</w:t>
      </w:r>
      <w:r>
        <w:t xml:space="preserve"> </w:t>
      </w:r>
      <w:r w:rsidRPr="00CF47F3">
        <w:t>occupants</w:t>
      </w:r>
      <w:r>
        <w:t xml:space="preserve"> </w:t>
      </w:r>
      <w:r w:rsidRPr="00CF47F3">
        <w:t>of</w:t>
      </w:r>
      <w:r>
        <w:t xml:space="preserve"> </w:t>
      </w:r>
      <w:r w:rsidRPr="00CF47F3">
        <w:t>a</w:t>
      </w:r>
      <w:r>
        <w:t xml:space="preserve"> </w:t>
      </w:r>
      <w:r w:rsidRPr="00CF47F3">
        <w:t>dwelling</w:t>
      </w:r>
      <w:r>
        <w:t xml:space="preserve"> </w:t>
      </w:r>
      <w:r w:rsidRPr="00CF47F3">
        <w:t>with</w:t>
      </w:r>
      <w:r>
        <w:t xml:space="preserve"> </w:t>
      </w:r>
      <w:r w:rsidRPr="00CF47F3">
        <w:t>increased</w:t>
      </w:r>
      <w:r>
        <w:t xml:space="preserve"> </w:t>
      </w:r>
      <w:r w:rsidRPr="00CF47F3">
        <w:t>energy</w:t>
      </w:r>
      <w:r>
        <w:t xml:space="preserve"> </w:t>
      </w:r>
      <w:r w:rsidRPr="00CF47F3">
        <w:t>efficiency</w:t>
      </w:r>
      <w:r>
        <w:t xml:space="preserve"> to </w:t>
      </w:r>
      <w:r w:rsidRPr="00CF47F3">
        <w:t>other</w:t>
      </w:r>
      <w:r>
        <w:t xml:space="preserve"> </w:t>
      </w:r>
      <w:r w:rsidRPr="00CF47F3">
        <w:t>energy</w:t>
      </w:r>
      <w:r>
        <w:t xml:space="preserve"> </w:t>
      </w:r>
      <w:r w:rsidRPr="00CF47F3">
        <w:t>users</w:t>
      </w:r>
      <w:r>
        <w:t xml:space="preserve"> </w:t>
      </w:r>
      <w:r w:rsidRPr="00CF47F3">
        <w:t>because</w:t>
      </w:r>
      <w:r>
        <w:t xml:space="preserve"> </w:t>
      </w:r>
      <w:r w:rsidRPr="00CF47F3">
        <w:t>of</w:t>
      </w:r>
      <w:r>
        <w:t xml:space="preserve"> </w:t>
      </w:r>
      <w:r w:rsidRPr="00CF47F3">
        <w:t>the</w:t>
      </w:r>
      <w:r>
        <w:t xml:space="preserve"> </w:t>
      </w:r>
      <w:r w:rsidRPr="00CF47F3">
        <w:t>fixed</w:t>
      </w:r>
      <w:r>
        <w:t xml:space="preserve"> </w:t>
      </w:r>
      <w:r w:rsidRPr="00CF47F3">
        <w:t>costs</w:t>
      </w:r>
      <w:r>
        <w:t xml:space="preserve"> </w:t>
      </w:r>
      <w:r w:rsidRPr="00CF47F3">
        <w:t>discussed</w:t>
      </w:r>
      <w:r>
        <w:t xml:space="preserve"> </w:t>
      </w:r>
      <w:r w:rsidRPr="00CF47F3">
        <w:t>above.</w:t>
      </w:r>
    </w:p>
    <w:p w14:paraId="0D338B3D" w14:textId="77777777" w:rsidR="00676882" w:rsidRDefault="00676882" w:rsidP="00676882">
      <w:pPr>
        <w:pStyle w:val="BodyText"/>
      </w:pPr>
      <w:r>
        <w:lastRenderedPageBreak/>
        <w:t xml:space="preserve">This approach is consistent with the </w:t>
      </w:r>
      <w:r w:rsidRPr="00D10738">
        <w:t>Australian</w:t>
      </w:r>
      <w:r>
        <w:t xml:space="preserve"> Government’s handbook </w:t>
      </w:r>
      <w:sdt>
        <w:sdtPr>
          <w:id w:val="650719162"/>
          <w:citation/>
        </w:sdtPr>
        <w:sdtContent>
          <w:r>
            <w:fldChar w:fldCharType="begin"/>
          </w:r>
          <w:r>
            <w:instrText xml:space="preserve">CITATION Aus06 \n  \t  \l 3081 </w:instrText>
          </w:r>
          <w:r>
            <w:fldChar w:fldCharType="separate"/>
          </w:r>
          <w:r>
            <w:rPr>
              <w:noProof/>
            </w:rPr>
            <w:t>(2006)</w:t>
          </w:r>
          <w:r>
            <w:fldChar w:fldCharType="end"/>
          </w:r>
        </w:sdtContent>
      </w:sdt>
      <w:r>
        <w:t xml:space="preserve"> on cost-benefit analysis, which states:</w:t>
      </w:r>
    </w:p>
    <w:p w14:paraId="0D715C55" w14:textId="77777777" w:rsidR="00676882" w:rsidRDefault="00676882" w:rsidP="00676882">
      <w:pPr>
        <w:pStyle w:val="Quote"/>
      </w:pPr>
      <w:r>
        <w:t xml:space="preserve">One of the first tasks for the analyst is to distinguish the allocative effects of a project, that is, the effects due to changes in the use of resources and in outputs, from the distributional effects. </w:t>
      </w:r>
      <w:proofErr w:type="gramStart"/>
      <w:r>
        <w:t>Generally speaking, it</w:t>
      </w:r>
      <w:proofErr w:type="gramEnd"/>
      <w:r>
        <w:t xml:space="preserve"> is only changes in resource use that involve opportunity costs. Distributional effects may be regarded as ‘transfers’ – that is, some individuals are made better off while others are made worse off. Distributional effects do not add or subtract from estimated net social benefit. However, they may affect social welfare if the judgement is made that one group derives more value from the resources than another group.</w:t>
      </w:r>
    </w:p>
    <w:p w14:paraId="50EFF30F" w14:textId="77777777" w:rsidR="00676882" w:rsidRDefault="00676882" w:rsidP="00676882">
      <w:pPr>
        <w:pStyle w:val="BodyText"/>
      </w:pPr>
      <w:r>
        <w:t>The distributional effects referred to in the handbook on cost-benefit analysis would be included in the economy-wide cost benefit analysis if retail electricity prices had been used.</w:t>
      </w:r>
    </w:p>
    <w:p w14:paraId="204C598C" w14:textId="77777777" w:rsidR="00676882" w:rsidRDefault="00676882" w:rsidP="00676882">
      <w:pPr>
        <w:pStyle w:val="BodyText"/>
      </w:pPr>
      <w:r>
        <w:t xml:space="preserve">Similarly, the Houston Kemp report for the Australian Government </w:t>
      </w:r>
      <w:r>
        <w:rPr>
          <w:i/>
          <w:iCs/>
        </w:rPr>
        <w:t xml:space="preserve">Residential Buildings Regulatory Impact Statement </w:t>
      </w:r>
      <w:r w:rsidRPr="00D10738">
        <w:rPr>
          <w:i/>
          <w:iCs/>
        </w:rPr>
        <w:t>Methodology</w:t>
      </w:r>
      <w:sdt>
        <w:sdtPr>
          <w:rPr>
            <w:i/>
            <w:iCs/>
          </w:rPr>
          <w:id w:val="1172531078"/>
          <w:citation/>
        </w:sdtPr>
        <w:sdtContent>
          <w:r>
            <w:rPr>
              <w:i/>
              <w:iCs/>
            </w:rPr>
            <w:fldChar w:fldCharType="begin"/>
          </w:r>
          <w:r>
            <w:rPr>
              <w:i/>
              <w:iCs/>
            </w:rPr>
            <w:instrText xml:space="preserve">CITATION Hou07 \n  \t  \l 3081 </w:instrText>
          </w:r>
          <w:r>
            <w:rPr>
              <w:i/>
              <w:iCs/>
            </w:rPr>
            <w:fldChar w:fldCharType="separate"/>
          </w:r>
          <w:r>
            <w:rPr>
              <w:i/>
              <w:iCs/>
              <w:noProof/>
            </w:rPr>
            <w:t xml:space="preserve"> </w:t>
          </w:r>
          <w:r>
            <w:rPr>
              <w:noProof/>
            </w:rPr>
            <w:t>(2017)</w:t>
          </w:r>
          <w:r>
            <w:rPr>
              <w:i/>
              <w:iCs/>
            </w:rPr>
            <w:fldChar w:fldCharType="end"/>
          </w:r>
        </w:sdtContent>
      </w:sdt>
      <w:r>
        <w:rPr>
          <w:i/>
          <w:iCs/>
        </w:rPr>
        <w:t xml:space="preserve"> </w:t>
      </w:r>
      <w:r>
        <w:t>recognises that retail electricity prices were historically used to value the energy savings from energy efficiency activities from a societal perspective, which is not accurate. It states that:</w:t>
      </w:r>
    </w:p>
    <w:p w14:paraId="2C141432" w14:textId="77777777" w:rsidR="00676882" w:rsidRDefault="00676882" w:rsidP="00676882">
      <w:pPr>
        <w:pStyle w:val="Quote"/>
      </w:pPr>
      <w:r w:rsidRPr="00500475">
        <w:t>Previous</w:t>
      </w:r>
      <w:r>
        <w:t xml:space="preserve"> </w:t>
      </w:r>
      <w:r w:rsidRPr="00500475">
        <w:t>studies</w:t>
      </w:r>
      <w:r>
        <w:t xml:space="preserve"> </w:t>
      </w:r>
      <w:r w:rsidRPr="00500475">
        <w:t>have</w:t>
      </w:r>
      <w:r>
        <w:t xml:space="preserve"> </w:t>
      </w:r>
      <w:r w:rsidRPr="00500475">
        <w:t>used</w:t>
      </w:r>
      <w:r>
        <w:t xml:space="preserve"> </w:t>
      </w:r>
      <w:r w:rsidRPr="00500475">
        <w:t>reduction</w:t>
      </w:r>
      <w:r>
        <w:t xml:space="preserve"> </w:t>
      </w:r>
      <w:r w:rsidRPr="00500475">
        <w:t>in</w:t>
      </w:r>
      <w:r>
        <w:t xml:space="preserve"> </w:t>
      </w:r>
      <w:r w:rsidRPr="00500475">
        <w:t>the</w:t>
      </w:r>
      <w:r>
        <w:t xml:space="preserve"> </w:t>
      </w:r>
      <w:r w:rsidRPr="00500475">
        <w:t>retail</w:t>
      </w:r>
      <w:r>
        <w:t xml:space="preserve"> </w:t>
      </w:r>
      <w:r w:rsidRPr="00500475">
        <w:t>bill</w:t>
      </w:r>
      <w:r>
        <w:t xml:space="preserve"> </w:t>
      </w:r>
      <w:r w:rsidRPr="00500475">
        <w:t>as</w:t>
      </w:r>
      <w:r>
        <w:t xml:space="preserve"> </w:t>
      </w:r>
      <w:r w:rsidRPr="00500475">
        <w:t>the</w:t>
      </w:r>
      <w:r>
        <w:t xml:space="preserve"> </w:t>
      </w:r>
      <w:r w:rsidRPr="00500475">
        <w:t>benefit,</w:t>
      </w:r>
      <w:r>
        <w:t xml:space="preserve"> </w:t>
      </w:r>
      <w:r w:rsidRPr="00500475">
        <w:t>which</w:t>
      </w:r>
      <w:r>
        <w:t xml:space="preserve"> </w:t>
      </w:r>
      <w:r w:rsidRPr="00500475">
        <w:t>represents</w:t>
      </w:r>
      <w:r>
        <w:t xml:space="preserve"> </w:t>
      </w:r>
      <w:r w:rsidRPr="00500475">
        <w:t>the</w:t>
      </w:r>
      <w:r>
        <w:t xml:space="preserve"> </w:t>
      </w:r>
      <w:r w:rsidRPr="00500475">
        <w:t>financial</w:t>
      </w:r>
      <w:r>
        <w:t xml:space="preserve"> </w:t>
      </w:r>
      <w:r w:rsidRPr="00500475">
        <w:t>savings</w:t>
      </w:r>
      <w:r>
        <w:t xml:space="preserve"> </w:t>
      </w:r>
      <w:r w:rsidRPr="00500475">
        <w:t>to</w:t>
      </w:r>
      <w:r>
        <w:t xml:space="preserve"> </w:t>
      </w:r>
      <w:r w:rsidRPr="00500475">
        <w:t>households</w:t>
      </w:r>
      <w:r>
        <w:t xml:space="preserve"> </w:t>
      </w:r>
      <w:r w:rsidRPr="00500475">
        <w:t>based</w:t>
      </w:r>
      <w:r>
        <w:t xml:space="preserve"> </w:t>
      </w:r>
      <w:r w:rsidRPr="00500475">
        <w:t>on</w:t>
      </w:r>
      <w:r>
        <w:t xml:space="preserve"> </w:t>
      </w:r>
      <w:r w:rsidRPr="00500475">
        <w:t>existing</w:t>
      </w:r>
      <w:r>
        <w:t xml:space="preserve"> </w:t>
      </w:r>
      <w:r w:rsidRPr="00500475">
        <w:t>tariffs.</w:t>
      </w:r>
      <w:r>
        <w:t xml:space="preserve"> </w:t>
      </w:r>
      <w:r w:rsidRPr="00500475">
        <w:t>However,</w:t>
      </w:r>
      <w:r>
        <w:t xml:space="preserve"> </w:t>
      </w:r>
      <w:r w:rsidRPr="00500475">
        <w:t>we</w:t>
      </w:r>
      <w:r>
        <w:t xml:space="preserve"> </w:t>
      </w:r>
      <w:r w:rsidRPr="00500475">
        <w:t>believe</w:t>
      </w:r>
      <w:r>
        <w:t xml:space="preserve"> </w:t>
      </w:r>
      <w:r w:rsidRPr="00500475">
        <w:t>a</w:t>
      </w:r>
      <w:r>
        <w:t xml:space="preserve"> </w:t>
      </w:r>
      <w:r w:rsidRPr="00500475">
        <w:t>more</w:t>
      </w:r>
      <w:r>
        <w:t xml:space="preserve"> </w:t>
      </w:r>
      <w:r w:rsidRPr="00500475">
        <w:t>accurate</w:t>
      </w:r>
      <w:r>
        <w:t xml:space="preserve"> </w:t>
      </w:r>
      <w:r w:rsidRPr="00500475">
        <w:t>approach</w:t>
      </w:r>
      <w:r>
        <w:t xml:space="preserve"> </w:t>
      </w:r>
      <w:r w:rsidRPr="00500475">
        <w:t>is</w:t>
      </w:r>
      <w:r>
        <w:t xml:space="preserve"> </w:t>
      </w:r>
      <w:r w:rsidRPr="00500475">
        <w:t>to</w:t>
      </w:r>
      <w:r>
        <w:t xml:space="preserve"> </w:t>
      </w:r>
      <w:r w:rsidRPr="00500475">
        <w:t>estimate</w:t>
      </w:r>
      <w:r>
        <w:t xml:space="preserve"> </w:t>
      </w:r>
      <w:r w:rsidRPr="00500475">
        <w:t>the</w:t>
      </w:r>
      <w:r>
        <w:t xml:space="preserve"> </w:t>
      </w:r>
      <w:r w:rsidRPr="00500475">
        <w:t>resource</w:t>
      </w:r>
      <w:r>
        <w:t xml:space="preserve"> </w:t>
      </w:r>
      <w:r w:rsidRPr="00500475">
        <w:t>cost</w:t>
      </w:r>
      <w:r>
        <w:t xml:space="preserve"> </w:t>
      </w:r>
      <w:r w:rsidRPr="00500475">
        <w:t>savings</w:t>
      </w:r>
      <w:r>
        <w:t xml:space="preserve"> </w:t>
      </w:r>
      <w:r w:rsidRPr="00500475">
        <w:t>from</w:t>
      </w:r>
      <w:r>
        <w:t xml:space="preserve"> </w:t>
      </w:r>
      <w:r w:rsidRPr="00500475">
        <w:t>reduced</w:t>
      </w:r>
      <w:r>
        <w:t xml:space="preserve"> </w:t>
      </w:r>
      <w:r w:rsidRPr="00500475">
        <w:t>electricity</w:t>
      </w:r>
      <w:r>
        <w:t xml:space="preserve"> </w:t>
      </w:r>
      <w:r w:rsidRPr="00500475">
        <w:t>and</w:t>
      </w:r>
      <w:r>
        <w:t xml:space="preserve"> </w:t>
      </w:r>
      <w:r w:rsidRPr="00500475">
        <w:t>gas</w:t>
      </w:r>
      <w:r>
        <w:t xml:space="preserve"> </w:t>
      </w:r>
      <w:r w:rsidRPr="00500475">
        <w:t>consumption,</w:t>
      </w:r>
      <w:r>
        <w:t xml:space="preserve"> </w:t>
      </w:r>
      <w:r w:rsidRPr="00500475">
        <w:t>ie,</w:t>
      </w:r>
      <w:r>
        <w:t xml:space="preserve"> </w:t>
      </w:r>
      <w:r w:rsidRPr="00500475">
        <w:t>reduction</w:t>
      </w:r>
      <w:r>
        <w:t xml:space="preserve"> </w:t>
      </w:r>
      <w:r w:rsidRPr="00500475">
        <w:t>in</w:t>
      </w:r>
      <w:r>
        <w:t xml:space="preserve"> </w:t>
      </w:r>
      <w:r w:rsidRPr="00500475">
        <w:t>network</w:t>
      </w:r>
      <w:r>
        <w:t xml:space="preserve"> </w:t>
      </w:r>
      <w:r w:rsidRPr="00500475">
        <w:t>and</w:t>
      </w:r>
      <w:r>
        <w:t xml:space="preserve"> </w:t>
      </w:r>
      <w:r w:rsidRPr="00500475">
        <w:t>wholesale</w:t>
      </w:r>
      <w:r>
        <w:t xml:space="preserve"> </w:t>
      </w:r>
      <w:r w:rsidRPr="00500475">
        <w:t>costs.</w:t>
      </w:r>
    </w:p>
    <w:p w14:paraId="19578ED2" w14:textId="77777777" w:rsidR="00676882" w:rsidRPr="00500475" w:rsidRDefault="00676882" w:rsidP="00676882">
      <w:r>
        <w:t>And that:</w:t>
      </w:r>
    </w:p>
    <w:p w14:paraId="4F0EBACC" w14:textId="77777777" w:rsidR="00676882" w:rsidRPr="00500475" w:rsidRDefault="00676882" w:rsidP="00676882">
      <w:pPr>
        <w:pStyle w:val="Quote"/>
      </w:pPr>
      <w:r w:rsidRPr="00500475">
        <w:t>To</w:t>
      </w:r>
      <w:r>
        <w:t xml:space="preserve"> </w:t>
      </w:r>
      <w:r w:rsidRPr="00500475">
        <w:t>estimate</w:t>
      </w:r>
      <w:r>
        <w:t xml:space="preserve"> </w:t>
      </w:r>
      <w:r w:rsidRPr="00500475">
        <w:t>the</w:t>
      </w:r>
      <w:r>
        <w:t xml:space="preserve"> </w:t>
      </w:r>
      <w:r w:rsidRPr="00500475">
        <w:t>benefit</w:t>
      </w:r>
      <w:r>
        <w:t xml:space="preserve"> </w:t>
      </w:r>
      <w:r w:rsidRPr="00500475">
        <w:t>from</w:t>
      </w:r>
      <w:r>
        <w:t xml:space="preserve"> </w:t>
      </w:r>
      <w:r w:rsidRPr="00500475">
        <w:t>reductions</w:t>
      </w:r>
      <w:r>
        <w:t xml:space="preserve"> </w:t>
      </w:r>
      <w:r w:rsidRPr="00500475">
        <w:t>in</w:t>
      </w:r>
      <w:r>
        <w:t xml:space="preserve"> </w:t>
      </w:r>
      <w:r w:rsidRPr="00500475">
        <w:t>electricity</w:t>
      </w:r>
      <w:r>
        <w:t xml:space="preserve"> </w:t>
      </w:r>
      <w:r w:rsidRPr="00500475">
        <w:t>generation</w:t>
      </w:r>
      <w:r>
        <w:t xml:space="preserve"> </w:t>
      </w:r>
      <w:r w:rsidRPr="00500475">
        <w:t>costs,</w:t>
      </w:r>
      <w:r>
        <w:t xml:space="preserve"> </w:t>
      </w:r>
      <w:r w:rsidRPr="00500475">
        <w:t>average</w:t>
      </w:r>
      <w:r>
        <w:t xml:space="preserve"> </w:t>
      </w:r>
      <w:r w:rsidRPr="00500475">
        <w:t>wholesale</w:t>
      </w:r>
      <w:r>
        <w:t xml:space="preserve"> </w:t>
      </w:r>
      <w:r w:rsidRPr="00500475">
        <w:t>market</w:t>
      </w:r>
      <w:r>
        <w:t xml:space="preserve"> </w:t>
      </w:r>
      <w:r w:rsidRPr="00500475">
        <w:t>prices</w:t>
      </w:r>
      <w:r>
        <w:t xml:space="preserve"> </w:t>
      </w:r>
      <w:r w:rsidRPr="00500475">
        <w:t>can</w:t>
      </w:r>
      <w:r>
        <w:t xml:space="preserve"> </w:t>
      </w:r>
      <w:r w:rsidRPr="00500475">
        <w:t>be</w:t>
      </w:r>
      <w:r>
        <w:t xml:space="preserve"> </w:t>
      </w:r>
      <w:r w:rsidRPr="00500475">
        <w:t>used</w:t>
      </w:r>
      <w:r>
        <w:t xml:space="preserve"> </w:t>
      </w:r>
      <w:r w:rsidRPr="00500475">
        <w:t>as</w:t>
      </w:r>
      <w:r>
        <w:t xml:space="preserve"> </w:t>
      </w:r>
      <w:r w:rsidRPr="00500475">
        <w:t>they</w:t>
      </w:r>
      <w:r>
        <w:t xml:space="preserve"> </w:t>
      </w:r>
      <w:r w:rsidRPr="00500475">
        <w:t>typically</w:t>
      </w:r>
      <w:r>
        <w:t xml:space="preserve"> </w:t>
      </w:r>
      <w:r w:rsidRPr="00500475">
        <w:t>represent</w:t>
      </w:r>
      <w:r>
        <w:t xml:space="preserve"> </w:t>
      </w:r>
      <w:r w:rsidRPr="00500475">
        <w:t>suitable</w:t>
      </w:r>
      <w:r>
        <w:t xml:space="preserve"> </w:t>
      </w:r>
      <w:r w:rsidRPr="00500475">
        <w:t>estimates</w:t>
      </w:r>
      <w:r>
        <w:t xml:space="preserve"> </w:t>
      </w:r>
      <w:r w:rsidRPr="00500475">
        <w:t>for</w:t>
      </w:r>
      <w:r>
        <w:t xml:space="preserve"> </w:t>
      </w:r>
      <w:r w:rsidRPr="00500475">
        <w:t>the</w:t>
      </w:r>
      <w:r>
        <w:t xml:space="preserve"> </w:t>
      </w:r>
      <w:r w:rsidRPr="00500475">
        <w:t>resource</w:t>
      </w:r>
      <w:r>
        <w:t xml:space="preserve"> </w:t>
      </w:r>
      <w:r w:rsidRPr="00500475">
        <w:t>cost</w:t>
      </w:r>
      <w:r>
        <w:t xml:space="preserve"> </w:t>
      </w:r>
      <w:r w:rsidRPr="00500475">
        <w:t>savings.</w:t>
      </w:r>
      <w:r>
        <w:t xml:space="preserve"> </w:t>
      </w:r>
    </w:p>
    <w:p w14:paraId="0320F9E8" w14:textId="77777777" w:rsidR="00676882" w:rsidRDefault="00676882" w:rsidP="00676882">
      <w:pPr>
        <w:pStyle w:val="BodyText"/>
      </w:pPr>
      <w:r>
        <w:t>Following the release of the Houston Kemp report, the energy savings from energy efficiency activities have more commonly been valued at a societal level using avoided wholesale and network costs rather than by using retail prices,</w:t>
      </w:r>
      <w:r>
        <w:rPr>
          <w:rStyle w:val="FootnoteReference"/>
        </w:rPr>
        <w:footnoteReference w:id="13"/>
      </w:r>
      <w:r>
        <w:t xml:space="preserve"> although retail prices continue to be used to assess the impact at a household level.</w:t>
      </w:r>
    </w:p>
    <w:p w14:paraId="231FEBEF" w14:textId="77777777" w:rsidR="00676882" w:rsidRDefault="00676882" w:rsidP="00676882">
      <w:pPr>
        <w:pStyle w:val="BodyText"/>
      </w:pPr>
      <w:r w:rsidRPr="00CF47F3">
        <w:t>Wholesale</w:t>
      </w:r>
      <w:r>
        <w:t xml:space="preserve"> and retail </w:t>
      </w:r>
      <w:r w:rsidRPr="00CF47F3">
        <w:t>electricity</w:t>
      </w:r>
      <w:r>
        <w:t xml:space="preserve"> </w:t>
      </w:r>
      <w:r w:rsidRPr="00CF47F3">
        <w:t>and</w:t>
      </w:r>
      <w:r>
        <w:t xml:space="preserve"> </w:t>
      </w:r>
      <w:r w:rsidRPr="00CF47F3">
        <w:t>gas</w:t>
      </w:r>
      <w:r>
        <w:t xml:space="preserve"> </w:t>
      </w:r>
      <w:r w:rsidRPr="00CF47F3">
        <w:t>price</w:t>
      </w:r>
      <w:r>
        <w:t xml:space="preserve"> </w:t>
      </w:r>
      <w:r w:rsidRPr="00CF47F3">
        <w:t>projections</w:t>
      </w:r>
      <w:r>
        <w:t xml:space="preserve"> were </w:t>
      </w:r>
      <w:r w:rsidRPr="00CF47F3">
        <w:t>generated</w:t>
      </w:r>
      <w:r>
        <w:t xml:space="preserve"> </w:t>
      </w:r>
      <w:r w:rsidRPr="00CF47F3">
        <w:t>by</w:t>
      </w:r>
      <w:r>
        <w:t xml:space="preserve"> </w:t>
      </w:r>
      <w:r w:rsidRPr="00CF47F3">
        <w:t>our</w:t>
      </w:r>
      <w:r>
        <w:t xml:space="preserve"> </w:t>
      </w:r>
      <w:r w:rsidRPr="00CF47F3">
        <w:t>proprietary</w:t>
      </w:r>
      <w:r>
        <w:t xml:space="preserve"> </w:t>
      </w:r>
      <w:r w:rsidRPr="00CF47F3">
        <w:rPr>
          <w:i/>
        </w:rPr>
        <w:t>GasMark</w:t>
      </w:r>
      <w:r>
        <w:rPr>
          <w:i/>
        </w:rPr>
        <w:t xml:space="preserve"> </w:t>
      </w:r>
      <w:r w:rsidRPr="00CF47F3">
        <w:t>and</w:t>
      </w:r>
      <w:r>
        <w:t xml:space="preserve"> </w:t>
      </w:r>
      <w:r w:rsidRPr="00CF47F3">
        <w:rPr>
          <w:i/>
        </w:rPr>
        <w:t>PowerMark</w:t>
      </w:r>
      <w:r>
        <w:rPr>
          <w:i/>
        </w:rPr>
        <w:t xml:space="preserve"> </w:t>
      </w:r>
      <w:r w:rsidRPr="00CF47F3">
        <w:t>models</w:t>
      </w:r>
      <w:r>
        <w:t xml:space="preserve"> </w:t>
      </w:r>
      <w:r w:rsidRPr="00CF47F3">
        <w:t>of</w:t>
      </w:r>
      <w:r>
        <w:t xml:space="preserve"> </w:t>
      </w:r>
      <w:r w:rsidRPr="00CF47F3">
        <w:t>the</w:t>
      </w:r>
      <w:r>
        <w:t xml:space="preserve"> </w:t>
      </w:r>
      <w:r w:rsidRPr="00CF47F3">
        <w:t>gas</w:t>
      </w:r>
      <w:r>
        <w:t xml:space="preserve"> </w:t>
      </w:r>
      <w:r w:rsidRPr="00CF47F3">
        <w:t>and</w:t>
      </w:r>
      <w:r>
        <w:t xml:space="preserve"> </w:t>
      </w:r>
      <w:r w:rsidRPr="00CF47F3">
        <w:t>electricity</w:t>
      </w:r>
      <w:r>
        <w:t xml:space="preserve"> </w:t>
      </w:r>
      <w:r w:rsidRPr="00CF47F3">
        <w:t>markets</w:t>
      </w:r>
      <w:r>
        <w:t xml:space="preserve"> for the National Electricity Market, which account for the </w:t>
      </w:r>
      <w:r w:rsidRPr="004100F5">
        <w:t>NSW</w:t>
      </w:r>
      <w:r>
        <w:t xml:space="preserve"> </w:t>
      </w:r>
      <w:r w:rsidRPr="004100F5">
        <w:t>Electricity</w:t>
      </w:r>
      <w:r>
        <w:t xml:space="preserve"> </w:t>
      </w:r>
      <w:r w:rsidRPr="004100F5">
        <w:t>Infrastructure</w:t>
      </w:r>
      <w:r>
        <w:t xml:space="preserve"> </w:t>
      </w:r>
      <w:r w:rsidRPr="004100F5">
        <w:t>Roadmap</w:t>
      </w:r>
      <w:r>
        <w:t xml:space="preserve"> released in </w:t>
      </w:r>
      <w:r w:rsidRPr="00B66903">
        <w:t>November</w:t>
      </w:r>
      <w:r>
        <w:t xml:space="preserve"> </w:t>
      </w:r>
      <w:r w:rsidRPr="00B66903">
        <w:t>2020.</w:t>
      </w:r>
      <w:r>
        <w:rPr>
          <w:rStyle w:val="FootnoteReference"/>
        </w:rPr>
        <w:footnoteReference w:id="14"/>
      </w:r>
      <w:r>
        <w:t xml:space="preserve">  </w:t>
      </w:r>
      <w:r w:rsidRPr="00B66903">
        <w:t>Additional</w:t>
      </w:r>
      <w:r>
        <w:t xml:space="preserve"> </w:t>
      </w:r>
      <w:r w:rsidRPr="00B66903">
        <w:t>information</w:t>
      </w:r>
      <w:r>
        <w:t xml:space="preserve"> </w:t>
      </w:r>
      <w:r w:rsidRPr="00B66903">
        <w:t>about</w:t>
      </w:r>
      <w:r>
        <w:t xml:space="preserve"> </w:t>
      </w:r>
      <w:r w:rsidRPr="00B66903">
        <w:t>these</w:t>
      </w:r>
      <w:r>
        <w:t xml:space="preserve"> </w:t>
      </w:r>
      <w:r w:rsidRPr="00B66903">
        <w:t>models</w:t>
      </w:r>
      <w:r>
        <w:t xml:space="preserve"> </w:t>
      </w:r>
      <w:r w:rsidRPr="00B66903">
        <w:t>is</w:t>
      </w:r>
      <w:r>
        <w:t xml:space="preserve"> </w:t>
      </w:r>
      <w:r w:rsidRPr="00B66903">
        <w:t>provided</w:t>
      </w:r>
      <w:r>
        <w:t xml:space="preserve"> </w:t>
      </w:r>
      <w:r w:rsidRPr="00B66903">
        <w:t>in</w:t>
      </w:r>
      <w:r>
        <w:t xml:space="preserve"> </w:t>
      </w:r>
      <w:r w:rsidRPr="00B66903">
        <w:t>Appendix</w:t>
      </w:r>
      <w:r>
        <w:t xml:space="preserve"> </w:t>
      </w:r>
      <w:r w:rsidRPr="009E4AB1">
        <w:fldChar w:fldCharType="begin"/>
      </w:r>
      <w:r w:rsidRPr="009E4AB1">
        <w:instrText xml:space="preserve"> REF _Ref80473431 \r \h  \* MERGEFORMAT </w:instrText>
      </w:r>
      <w:r w:rsidRPr="009E4AB1">
        <w:fldChar w:fldCharType="separate"/>
      </w:r>
      <w:r>
        <w:t>D</w:t>
      </w:r>
      <w:r w:rsidRPr="009E4AB1">
        <w:fldChar w:fldCharType="end"/>
      </w:r>
      <w:r w:rsidRPr="006B0263">
        <w:t xml:space="preserve"> </w:t>
      </w:r>
      <w:r w:rsidRPr="00410305">
        <w:t>a</w:t>
      </w:r>
      <w:r w:rsidRPr="00B66903">
        <w:t>nd</w:t>
      </w:r>
      <w:r>
        <w:t xml:space="preserve"> </w:t>
      </w:r>
      <w:r w:rsidRPr="00B66903">
        <w:t>our</w:t>
      </w:r>
      <w:r>
        <w:t xml:space="preserve"> </w:t>
      </w:r>
      <w:r w:rsidRPr="00B66903">
        <w:t>projections</w:t>
      </w:r>
      <w:r>
        <w:t xml:space="preserve"> </w:t>
      </w:r>
      <w:r w:rsidRPr="00B66903">
        <w:t>of</w:t>
      </w:r>
      <w:r>
        <w:t xml:space="preserve"> </w:t>
      </w:r>
      <w:r w:rsidRPr="00B66903">
        <w:t>wholesale</w:t>
      </w:r>
      <w:r>
        <w:t xml:space="preserve"> </w:t>
      </w:r>
      <w:r w:rsidRPr="00B66903">
        <w:t>electricity</w:t>
      </w:r>
      <w:r>
        <w:t xml:space="preserve"> </w:t>
      </w:r>
      <w:r w:rsidRPr="00B66903">
        <w:t>and</w:t>
      </w:r>
      <w:r>
        <w:t xml:space="preserve"> </w:t>
      </w:r>
      <w:r w:rsidRPr="00B66903">
        <w:t>gas</w:t>
      </w:r>
      <w:r>
        <w:t xml:space="preserve"> </w:t>
      </w:r>
      <w:r w:rsidRPr="00B66903">
        <w:t>prices</w:t>
      </w:r>
      <w:r>
        <w:t xml:space="preserve"> </w:t>
      </w:r>
      <w:r w:rsidRPr="00B66903">
        <w:t>in</w:t>
      </w:r>
      <w:r>
        <w:t xml:space="preserve"> </w:t>
      </w:r>
      <w:r w:rsidRPr="00B66903">
        <w:t>the</w:t>
      </w:r>
      <w:r>
        <w:t xml:space="preserve"> </w:t>
      </w:r>
      <w:r w:rsidRPr="00B66903">
        <w:t>ACT</w:t>
      </w:r>
      <w:r>
        <w:t xml:space="preserve"> </w:t>
      </w:r>
      <w:r w:rsidRPr="00B66903">
        <w:t>are</w:t>
      </w:r>
      <w:r>
        <w:t xml:space="preserve"> </w:t>
      </w:r>
      <w:r w:rsidRPr="00B66903">
        <w:t>shown</w:t>
      </w:r>
      <w:r>
        <w:t xml:space="preserve"> </w:t>
      </w:r>
      <w:r w:rsidRPr="00B66903">
        <w:t>in</w:t>
      </w:r>
      <w:r>
        <w:t xml:space="preserve"> </w:t>
      </w:r>
      <w:r w:rsidRPr="009E4AB1">
        <w:fldChar w:fldCharType="begin"/>
      </w:r>
      <w:r w:rsidRPr="009E4AB1">
        <w:instrText xml:space="preserve"> REF _Ref80475143 \h  \* MERGEFORMAT </w:instrText>
      </w:r>
      <w:r w:rsidRPr="009E4AB1">
        <w:fldChar w:fldCharType="separate"/>
      </w:r>
      <w:r w:rsidRPr="00F32FCC">
        <w:t>Figure B.3</w:t>
      </w:r>
      <w:r w:rsidRPr="009E4AB1">
        <w:fldChar w:fldCharType="end"/>
      </w:r>
      <w:r>
        <w:t xml:space="preserve"> and </w:t>
      </w:r>
      <w:r w:rsidRPr="009E4AB1">
        <w:fldChar w:fldCharType="begin"/>
      </w:r>
      <w:r w:rsidRPr="009E4AB1">
        <w:instrText xml:space="preserve"> REF _Ref80475247 \h  \* MERGEFORMAT </w:instrText>
      </w:r>
      <w:r w:rsidRPr="009E4AB1">
        <w:fldChar w:fldCharType="separate"/>
      </w:r>
      <w:r w:rsidRPr="00F32FCC">
        <w:t>Figure B.4</w:t>
      </w:r>
      <w:r w:rsidRPr="009E4AB1">
        <w:fldChar w:fldCharType="end"/>
      </w:r>
      <w:r w:rsidRPr="00B66903">
        <w:t>.</w:t>
      </w:r>
    </w:p>
    <w:p w14:paraId="1AAB0193" w14:textId="77777777" w:rsidR="00676882" w:rsidRDefault="00676882" w:rsidP="00676882">
      <w:pPr>
        <w:pStyle w:val="BodyText"/>
      </w:pPr>
      <w:r w:rsidRPr="00AF0AAB">
        <w:t>Firewood</w:t>
      </w:r>
      <w:r>
        <w:t xml:space="preserve"> </w:t>
      </w:r>
      <w:r w:rsidRPr="00AF0AAB">
        <w:t>prices</w:t>
      </w:r>
      <w:r>
        <w:t xml:space="preserve"> </w:t>
      </w:r>
      <w:r w:rsidRPr="00AF0AAB">
        <w:t>for</w:t>
      </w:r>
      <w:r>
        <w:t xml:space="preserve"> </w:t>
      </w:r>
      <w:r w:rsidRPr="00AF0AAB">
        <w:t>the</w:t>
      </w:r>
      <w:r>
        <w:t xml:space="preserve"> </w:t>
      </w:r>
      <w:r w:rsidRPr="00AF0AAB">
        <w:t>CBA</w:t>
      </w:r>
      <w:r>
        <w:t xml:space="preserve"> </w:t>
      </w:r>
      <w:r w:rsidRPr="00AF0AAB">
        <w:t>have</w:t>
      </w:r>
      <w:r>
        <w:t xml:space="preserve"> </w:t>
      </w:r>
      <w:r w:rsidRPr="00AF0AAB">
        <w:t>been</w:t>
      </w:r>
      <w:r>
        <w:t xml:space="preserve"> sourced from </w:t>
      </w:r>
      <w:r w:rsidRPr="004B343E">
        <w:t>EES’</w:t>
      </w:r>
      <w:r>
        <w:t xml:space="preserve">s </w:t>
      </w:r>
      <w:r w:rsidRPr="004B343E">
        <w:t>Whole</w:t>
      </w:r>
      <w:r>
        <w:t xml:space="preserve"> </w:t>
      </w:r>
      <w:r w:rsidRPr="004B343E">
        <w:t>of</w:t>
      </w:r>
      <w:r>
        <w:t xml:space="preserve"> </w:t>
      </w:r>
      <w:r w:rsidRPr="004B343E">
        <w:t>House</w:t>
      </w:r>
      <w:r>
        <w:t xml:space="preserve"> </w:t>
      </w:r>
      <w:r w:rsidRPr="004B343E">
        <w:t>Report</w:t>
      </w:r>
      <w:r>
        <w:t xml:space="preserve"> </w:t>
      </w:r>
      <w:r w:rsidRPr="004B343E">
        <w:t>for</w:t>
      </w:r>
      <w:r>
        <w:t xml:space="preserve"> </w:t>
      </w:r>
      <w:r w:rsidRPr="004B343E">
        <w:t>the</w:t>
      </w:r>
      <w:r>
        <w:t xml:space="preserve"> </w:t>
      </w:r>
      <w:r w:rsidRPr="004B343E">
        <w:t>NCC</w:t>
      </w:r>
      <w:r>
        <w:t xml:space="preserve"> </w:t>
      </w:r>
      <w:r w:rsidRPr="004B343E">
        <w:t>2022</w:t>
      </w:r>
      <w:r>
        <w:t xml:space="preserve"> </w:t>
      </w:r>
      <w:sdt>
        <w:sdtPr>
          <w:id w:val="-418645322"/>
          <w:citation/>
        </w:sdtPr>
        <w:sdtContent>
          <w:r>
            <w:fldChar w:fldCharType="begin"/>
          </w:r>
          <w:r>
            <w:instrText xml:space="preserve"> CITATION Ene211 \l 3081 </w:instrText>
          </w:r>
          <w:r>
            <w:fldChar w:fldCharType="separate"/>
          </w:r>
          <w:r>
            <w:rPr>
              <w:noProof/>
            </w:rPr>
            <w:t>(Energy Efficient Strategies, 2021)</w:t>
          </w:r>
          <w:r>
            <w:fldChar w:fldCharType="end"/>
          </w:r>
        </w:sdtContent>
      </w:sdt>
      <w:r>
        <w:t xml:space="preserve"> and are </w:t>
      </w:r>
      <w:r w:rsidRPr="00AF0AAB">
        <w:t>assumed</w:t>
      </w:r>
      <w:r>
        <w:t xml:space="preserve"> </w:t>
      </w:r>
      <w:r w:rsidRPr="00AF0AAB">
        <w:t>to</w:t>
      </w:r>
      <w:r>
        <w:t xml:space="preserve"> </w:t>
      </w:r>
      <w:r w:rsidRPr="00AF0AAB">
        <w:t>be</w:t>
      </w:r>
      <w:r>
        <w:t xml:space="preserve"> </w:t>
      </w:r>
      <w:r w:rsidRPr="00AF0AAB">
        <w:t>$1.56</w:t>
      </w:r>
      <w:r>
        <w:t> cents per megajoule (MJ)</w:t>
      </w:r>
      <w:r>
        <w:rPr>
          <w:rStyle w:val="FootnoteReference"/>
        </w:rPr>
        <w:footnoteReference w:id="15"/>
      </w:r>
      <w:r>
        <w:t xml:space="preserve"> and remain constant in real terms over the period of analysis. The same price was used to represent wholesale and retail prices. </w:t>
      </w:r>
    </w:p>
    <w:p w14:paraId="2D683567" w14:textId="77777777" w:rsidR="00676882" w:rsidRDefault="00676882" w:rsidP="00676882">
      <w:pPr>
        <w:pStyle w:val="Caption"/>
      </w:pPr>
      <w:bookmarkStart w:id="372" w:name="_Ref80475143"/>
      <w:bookmarkStart w:id="373" w:name="_Toc80719284"/>
      <w:r w:rsidRPr="006B0263">
        <w:rPr>
          <w:rStyle w:val="CaptionLabel"/>
        </w:rPr>
        <w:lastRenderedPageBreak/>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3</w:t>
      </w:r>
      <w:r w:rsidRPr="006B0263">
        <w:rPr>
          <w:rStyle w:val="CaptionLabel"/>
        </w:rPr>
        <w:fldChar w:fldCharType="end"/>
      </w:r>
      <w:bookmarkEnd w:id="372"/>
      <w:r>
        <w:tab/>
        <w:t>Wholesale electricity price projections, $ per MWh</w:t>
      </w:r>
      <w:bookmarkEnd w:id="373"/>
    </w:p>
    <w:p w14:paraId="11D57175" w14:textId="77777777" w:rsidR="00676882" w:rsidRPr="002E4DC0" w:rsidRDefault="00676882" w:rsidP="00676882">
      <w:pPr>
        <w:pStyle w:val="BodyText"/>
      </w:pPr>
      <w:r>
        <w:rPr>
          <w:noProof/>
        </w:rPr>
        <w:drawing>
          <wp:inline distT="0" distB="0" distL="0" distR="0" wp14:anchorId="03857458" wp14:editId="31CD16E2">
            <wp:extent cx="5039360" cy="2590800"/>
            <wp:effectExtent l="0" t="0" r="8890" b="0"/>
            <wp:docPr id="559" name="Picture 559" descr="Shows prices rising from $50 per megawatt-hour in 2022 to close to $100 per megawatt-hour in 2040, after which the price levels o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 name="Picture 559" descr="Shows prices rising from $50 per megawatt-hour in 2022 to close to $100 per megawatt-hour in 2040, after which the price levels off."/>
                    <pic:cNvPicPr/>
                  </pic:nvPicPr>
                  <pic:blipFill>
                    <a:blip r:embed="rId106" cstate="print">
                      <a:extLst>
                        <a:ext uri="{28A0092B-C50C-407E-A947-70E740481C1C}">
                          <a14:useLocalDpi xmlns:a14="http://schemas.microsoft.com/office/drawing/2010/main" val="0"/>
                        </a:ext>
                      </a:extLst>
                    </a:blip>
                    <a:stretch>
                      <a:fillRect/>
                    </a:stretch>
                  </pic:blipFill>
                  <pic:spPr>
                    <a:xfrm>
                      <a:off x="0" y="0"/>
                      <a:ext cx="5039360" cy="2590800"/>
                    </a:xfrm>
                    <a:prstGeom prst="rect">
                      <a:avLst/>
                    </a:prstGeom>
                  </pic:spPr>
                </pic:pic>
              </a:graphicData>
            </a:graphic>
          </wp:inline>
        </w:drawing>
      </w:r>
    </w:p>
    <w:p w14:paraId="446E6275" w14:textId="77777777" w:rsidR="00676882" w:rsidRPr="007F2D37" w:rsidRDefault="00676882" w:rsidP="00676882">
      <w:pPr>
        <w:pStyle w:val="BodyText"/>
        <w:spacing w:after="0" w:line="0" w:lineRule="atLeast"/>
        <w:rPr>
          <w:i/>
          <w:iCs/>
          <w:sz w:val="16"/>
          <w:szCs w:val="16"/>
        </w:rPr>
      </w:pPr>
      <w:r w:rsidRPr="007F2D37">
        <w:rPr>
          <w:i/>
          <w:iCs/>
          <w:sz w:val="16"/>
          <w:szCs w:val="16"/>
          <w:lang w:val="en-US"/>
        </w:rPr>
        <w:t>Source: ACIL Allen</w:t>
      </w:r>
    </w:p>
    <w:p w14:paraId="59C3EAE2" w14:textId="77777777" w:rsidR="00676882" w:rsidRDefault="00676882" w:rsidP="00676882">
      <w:pPr>
        <w:pStyle w:val="Caption"/>
      </w:pPr>
    </w:p>
    <w:p w14:paraId="4C16CBC6" w14:textId="77777777" w:rsidR="00676882" w:rsidRDefault="00676882" w:rsidP="00676882">
      <w:pPr>
        <w:pStyle w:val="Caption"/>
      </w:pPr>
      <w:bookmarkStart w:id="374" w:name="_Ref80475247"/>
      <w:bookmarkStart w:id="375" w:name="_Toc80719285"/>
      <w:r w:rsidRPr="006B0263">
        <w:rPr>
          <w:rStyle w:val="CaptionLabel"/>
        </w:rPr>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4</w:t>
      </w:r>
      <w:r w:rsidRPr="006B0263">
        <w:rPr>
          <w:rStyle w:val="CaptionLabel"/>
        </w:rPr>
        <w:fldChar w:fldCharType="end"/>
      </w:r>
      <w:bookmarkEnd w:id="374"/>
      <w:r>
        <w:tab/>
        <w:t>Wholesale gas price projections, $ per GJ</w:t>
      </w:r>
      <w:bookmarkEnd w:id="375"/>
    </w:p>
    <w:p w14:paraId="21944572" w14:textId="77777777" w:rsidR="00676882" w:rsidRPr="002E4DC0" w:rsidRDefault="00676882" w:rsidP="00676882">
      <w:pPr>
        <w:pStyle w:val="BodyText"/>
        <w:spacing w:after="0" w:line="0" w:lineRule="atLeast"/>
      </w:pPr>
      <w:r>
        <w:rPr>
          <w:noProof/>
        </w:rPr>
        <w:drawing>
          <wp:inline distT="0" distB="0" distL="0" distR="0" wp14:anchorId="23F39772" wp14:editId="5305C4DB">
            <wp:extent cx="5039360" cy="2581275"/>
            <wp:effectExtent l="0" t="0" r="8890" b="9525"/>
            <wp:docPr id="583" name="Picture 583" descr="Shows prices increase from $8 to $11 over the 2022 to 2040 period, after which is remains cons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 name="Picture 583" descr="Shows prices increase from $8 to $11 over the 2022 to 2040 period, after which is remains constant."/>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5039360" cy="2581275"/>
                    </a:xfrm>
                    <a:prstGeom prst="rect">
                      <a:avLst/>
                    </a:prstGeom>
                  </pic:spPr>
                </pic:pic>
              </a:graphicData>
            </a:graphic>
          </wp:inline>
        </w:drawing>
      </w:r>
    </w:p>
    <w:p w14:paraId="5038EA13" w14:textId="77777777" w:rsidR="00676882" w:rsidRPr="007F2D37" w:rsidRDefault="00676882" w:rsidP="00676882">
      <w:pPr>
        <w:pStyle w:val="BodyText"/>
        <w:spacing w:after="0" w:line="0" w:lineRule="atLeast"/>
        <w:rPr>
          <w:i/>
          <w:iCs/>
          <w:sz w:val="16"/>
          <w:szCs w:val="16"/>
        </w:rPr>
      </w:pPr>
      <w:r w:rsidRPr="007F2D37">
        <w:rPr>
          <w:i/>
          <w:iCs/>
          <w:sz w:val="16"/>
          <w:szCs w:val="16"/>
          <w:lang w:val="en-US"/>
        </w:rPr>
        <w:t>Source: ACIL Allen</w:t>
      </w:r>
    </w:p>
    <w:p w14:paraId="3278B591" w14:textId="77777777" w:rsidR="00676882" w:rsidRDefault="00676882" w:rsidP="00676882">
      <w:pPr>
        <w:pStyle w:val="BodyText"/>
      </w:pPr>
      <w:r>
        <w:t xml:space="preserve">The distributional impacts of using wholesale prices </w:t>
      </w:r>
      <w:proofErr w:type="gramStart"/>
      <w:r>
        <w:t>is</w:t>
      </w:r>
      <w:proofErr w:type="gramEnd"/>
      <w:r>
        <w:t xml:space="preserve"> further explained in section </w:t>
      </w:r>
      <w:r w:rsidRPr="009E4AB1">
        <w:fldChar w:fldCharType="begin"/>
      </w:r>
      <w:r w:rsidRPr="009E4AB1">
        <w:instrText xml:space="preserve"> REF _Ref76308283 \r \h  \* MERGEFORMAT </w:instrText>
      </w:r>
      <w:r w:rsidRPr="009E4AB1">
        <w:fldChar w:fldCharType="separate"/>
      </w:r>
      <w:r>
        <w:t>5.2.3</w:t>
      </w:r>
      <w:r w:rsidRPr="009E4AB1">
        <w:fldChar w:fldCharType="end"/>
      </w:r>
      <w:r>
        <w:t xml:space="preserve">. </w:t>
      </w:r>
    </w:p>
    <w:p w14:paraId="5BDA4D45" w14:textId="77777777" w:rsidR="00676882" w:rsidRDefault="00676882" w:rsidP="00676882">
      <w:pPr>
        <w:pStyle w:val="Heading5AP"/>
      </w:pPr>
      <w:r>
        <w:t>Retail prices for distributional analysis</w:t>
      </w:r>
    </w:p>
    <w:p w14:paraId="60D348D9" w14:textId="77777777" w:rsidR="00676882" w:rsidRDefault="00676882" w:rsidP="00676882">
      <w:pPr>
        <w:pStyle w:val="BodyText"/>
      </w:pPr>
      <w:bookmarkStart w:id="376" w:name="_Hlk75699671"/>
      <w:r w:rsidRPr="00DA7E2B">
        <w:t>As</w:t>
      </w:r>
      <w:r>
        <w:t xml:space="preserve"> </w:t>
      </w:r>
      <w:r w:rsidRPr="00DA7E2B">
        <w:t>is</w:t>
      </w:r>
      <w:r>
        <w:t xml:space="preserve"> </w:t>
      </w:r>
      <w:r w:rsidRPr="00DA7E2B">
        <w:t>standard</w:t>
      </w:r>
      <w:r>
        <w:t xml:space="preserve"> </w:t>
      </w:r>
      <w:r w:rsidRPr="00DA7E2B">
        <w:t>practice,</w:t>
      </w:r>
      <w:r>
        <w:t xml:space="preserve"> </w:t>
      </w:r>
      <w:r w:rsidRPr="00DA7E2B">
        <w:t>the</w:t>
      </w:r>
      <w:r>
        <w:t xml:space="preserve"> CBA </w:t>
      </w:r>
      <w:r w:rsidRPr="00DA7E2B">
        <w:t>of</w:t>
      </w:r>
      <w:r>
        <w:t xml:space="preserve"> </w:t>
      </w:r>
      <w:r w:rsidRPr="00DA7E2B">
        <w:t>the</w:t>
      </w:r>
      <w:r>
        <w:t xml:space="preserve"> proposed minimum standards was </w:t>
      </w:r>
      <w:r w:rsidRPr="00DA7E2B">
        <w:t>undertaken</w:t>
      </w:r>
      <w:r>
        <w:t xml:space="preserve"> </w:t>
      </w:r>
      <w:r w:rsidRPr="00DA7E2B">
        <w:t>from</w:t>
      </w:r>
      <w:r>
        <w:t xml:space="preserve"> </w:t>
      </w:r>
      <w:r w:rsidRPr="00DA7E2B">
        <w:t>the</w:t>
      </w:r>
      <w:r>
        <w:t xml:space="preserve"> </w:t>
      </w:r>
      <w:r w:rsidRPr="00DA7E2B">
        <w:t>perspective</w:t>
      </w:r>
      <w:r>
        <w:t xml:space="preserve"> </w:t>
      </w:r>
      <w:r w:rsidRPr="00DA7E2B">
        <w:t>of</w:t>
      </w:r>
      <w:r>
        <w:t xml:space="preserve"> </w:t>
      </w:r>
      <w:r w:rsidRPr="00DA7E2B">
        <w:t>the</w:t>
      </w:r>
      <w:r>
        <w:t xml:space="preserve"> </w:t>
      </w:r>
      <w:r w:rsidRPr="00DA7E2B">
        <w:t>broader</w:t>
      </w:r>
      <w:r>
        <w:t xml:space="preserve"> ACT </w:t>
      </w:r>
      <w:r w:rsidRPr="00DA7E2B">
        <w:t>community,</w:t>
      </w:r>
      <w:r>
        <w:t xml:space="preserve"> </w:t>
      </w:r>
      <w:r w:rsidRPr="00DA7E2B">
        <w:t>with</w:t>
      </w:r>
      <w:r>
        <w:t xml:space="preserve"> </w:t>
      </w:r>
      <w:r w:rsidRPr="00DA7E2B">
        <w:t>impacts</w:t>
      </w:r>
      <w:r>
        <w:t xml:space="preserve"> </w:t>
      </w:r>
      <w:r w:rsidRPr="00DA7E2B">
        <w:t>that</w:t>
      </w:r>
      <w:r>
        <w:t xml:space="preserve"> </w:t>
      </w:r>
      <w:r w:rsidRPr="00DA7E2B">
        <w:t>are</w:t>
      </w:r>
      <w:r>
        <w:t xml:space="preserve"> </w:t>
      </w:r>
      <w:r w:rsidRPr="00DA7E2B">
        <w:t>transfers</w:t>
      </w:r>
      <w:r>
        <w:t xml:space="preserve"> </w:t>
      </w:r>
      <w:r w:rsidRPr="00DA7E2B">
        <w:t>between</w:t>
      </w:r>
      <w:r>
        <w:t xml:space="preserve"> </w:t>
      </w:r>
      <w:r w:rsidRPr="00DA7E2B">
        <w:t>stakeholders</w:t>
      </w:r>
      <w:r>
        <w:t xml:space="preserve"> </w:t>
      </w:r>
      <w:r w:rsidRPr="00DA7E2B">
        <w:t>(such</w:t>
      </w:r>
      <w:r>
        <w:t xml:space="preserve"> </w:t>
      </w:r>
      <w:r w:rsidRPr="00DA7E2B">
        <w:t>as</w:t>
      </w:r>
      <w:r>
        <w:t xml:space="preserve"> </w:t>
      </w:r>
      <w:r w:rsidRPr="00DA7E2B">
        <w:t>between</w:t>
      </w:r>
      <w:r>
        <w:t xml:space="preserve"> </w:t>
      </w:r>
      <w:r w:rsidRPr="00DA7E2B">
        <w:t>the</w:t>
      </w:r>
      <w:r>
        <w:t xml:space="preserve"> government </w:t>
      </w:r>
      <w:r w:rsidRPr="00DA7E2B">
        <w:t>and</w:t>
      </w:r>
      <w:r>
        <w:t xml:space="preserve"> households, </w:t>
      </w:r>
      <w:r w:rsidRPr="00DA7E2B">
        <w:t>and</w:t>
      </w:r>
      <w:r>
        <w:t xml:space="preserve"> </w:t>
      </w:r>
      <w:r w:rsidRPr="00DA7E2B">
        <w:t>between</w:t>
      </w:r>
      <w:r>
        <w:t xml:space="preserve"> households that were subject to the minimum standards and those that did not</w:t>
      </w:r>
      <w:r w:rsidRPr="00DA7E2B">
        <w:t>) netted</w:t>
      </w:r>
      <w:r>
        <w:t xml:space="preserve"> </w:t>
      </w:r>
      <w:r w:rsidRPr="00DA7E2B">
        <w:t>out.</w:t>
      </w:r>
      <w:r>
        <w:t xml:space="preserve"> </w:t>
      </w:r>
      <w:r w:rsidRPr="00DA7E2B">
        <w:t>Nevertheless,</w:t>
      </w:r>
      <w:r>
        <w:t xml:space="preserve"> </w:t>
      </w:r>
      <w:r w:rsidRPr="00DA7E2B">
        <w:t>it</w:t>
      </w:r>
      <w:r>
        <w:t xml:space="preserve"> </w:t>
      </w:r>
      <w:r w:rsidRPr="00DA7E2B">
        <w:t>is</w:t>
      </w:r>
      <w:r>
        <w:t xml:space="preserve"> </w:t>
      </w:r>
      <w:r w:rsidRPr="00DA7E2B">
        <w:t>important</w:t>
      </w:r>
      <w:r>
        <w:t xml:space="preserve"> </w:t>
      </w:r>
      <w:r w:rsidRPr="00DA7E2B">
        <w:t>to</w:t>
      </w:r>
      <w:r>
        <w:t xml:space="preserve"> </w:t>
      </w:r>
      <w:r w:rsidRPr="00DA7E2B">
        <w:t>consider</w:t>
      </w:r>
      <w:r>
        <w:t xml:space="preserve"> </w:t>
      </w:r>
      <w:r w:rsidRPr="00DA7E2B">
        <w:t>the</w:t>
      </w:r>
      <w:r>
        <w:t xml:space="preserve"> </w:t>
      </w:r>
      <w:r w:rsidRPr="00DA7E2B">
        <w:t>implications</w:t>
      </w:r>
      <w:r>
        <w:t xml:space="preserve"> </w:t>
      </w:r>
      <w:r w:rsidRPr="00DA7E2B">
        <w:t>of</w:t>
      </w:r>
      <w:r>
        <w:t xml:space="preserve"> </w:t>
      </w:r>
      <w:r w:rsidRPr="00DA7E2B">
        <w:t>some</w:t>
      </w:r>
      <w:r>
        <w:t xml:space="preserve"> </w:t>
      </w:r>
      <w:r w:rsidRPr="00DA7E2B">
        <w:t>of</w:t>
      </w:r>
      <w:r>
        <w:t xml:space="preserve"> </w:t>
      </w:r>
      <w:r w:rsidRPr="00DA7E2B">
        <w:t>these</w:t>
      </w:r>
      <w:r>
        <w:t xml:space="preserve"> </w:t>
      </w:r>
      <w:r w:rsidRPr="00DA7E2B">
        <w:t>transfers</w:t>
      </w:r>
      <w:r>
        <w:t xml:space="preserve"> </w:t>
      </w:r>
      <w:r w:rsidRPr="00DA7E2B">
        <w:t>on</w:t>
      </w:r>
      <w:r>
        <w:t xml:space="preserve"> </w:t>
      </w:r>
      <w:r w:rsidRPr="00DA7E2B">
        <w:t>stakeholder</w:t>
      </w:r>
      <w:r>
        <w:t>s, particularly the implications of energy bill reductions on households</w:t>
      </w:r>
      <w:r w:rsidRPr="00DA7E2B">
        <w:t>.</w:t>
      </w:r>
    </w:p>
    <w:p w14:paraId="249EA58B" w14:textId="77777777" w:rsidR="00676882" w:rsidRDefault="00676882" w:rsidP="00676882">
      <w:pPr>
        <w:pStyle w:val="BodyText"/>
      </w:pPr>
      <w:r>
        <w:t>As such, we have also included a distributional analysis in the report that shows the impacts of the proposed changes on households that are subject to the changes. In contrast to the state-wide analysis, this household analysis is done using retail energy prices.</w:t>
      </w:r>
    </w:p>
    <w:p w14:paraId="754190DF" w14:textId="77777777" w:rsidR="00676882" w:rsidRDefault="00676882" w:rsidP="00676882">
      <w:pPr>
        <w:pStyle w:val="BodyText"/>
        <w:keepNext/>
      </w:pPr>
      <w:r>
        <w:lastRenderedPageBreak/>
        <w:t xml:space="preserve">The retail energy prices used for the analysis of the impacts of the modelled scenarios on households are shown in </w:t>
      </w:r>
      <w:r w:rsidRPr="009E4AB1">
        <w:fldChar w:fldCharType="begin"/>
      </w:r>
      <w:r w:rsidRPr="009E4AB1">
        <w:instrText xml:space="preserve"> REF _Ref80476058 \h  \* MERGEFORMAT </w:instrText>
      </w:r>
      <w:r w:rsidRPr="009E4AB1">
        <w:fldChar w:fldCharType="separate"/>
      </w:r>
      <w:r w:rsidRPr="00F32FCC">
        <w:t>Figure B.5</w:t>
      </w:r>
      <w:r w:rsidRPr="009E4AB1">
        <w:fldChar w:fldCharType="end"/>
      </w:r>
      <w:r>
        <w:t xml:space="preserve"> to </w:t>
      </w:r>
      <w:r w:rsidRPr="009E4AB1">
        <w:fldChar w:fldCharType="begin"/>
      </w:r>
      <w:r w:rsidRPr="009E4AB1">
        <w:instrText xml:space="preserve"> REF _Ref80476065 \h  \* MERGEFORMAT </w:instrText>
      </w:r>
      <w:r w:rsidRPr="009E4AB1">
        <w:fldChar w:fldCharType="separate"/>
      </w:r>
      <w:r w:rsidRPr="00F32FCC">
        <w:t>Figure B.7</w:t>
      </w:r>
      <w:r w:rsidRPr="009E4AB1">
        <w:fldChar w:fldCharType="end"/>
      </w:r>
      <w:r>
        <w:t xml:space="preserve">. These were based on </w:t>
      </w:r>
      <w:proofErr w:type="gramStart"/>
      <w:r>
        <w:t>a number of</w:t>
      </w:r>
      <w:proofErr w:type="gramEnd"/>
      <w:r>
        <w:t xml:space="preserve"> sources as follows:</w:t>
      </w:r>
    </w:p>
    <w:p w14:paraId="6F5FB0DF" w14:textId="77777777" w:rsidR="00676882" w:rsidRPr="004B343E" w:rsidRDefault="00676882" w:rsidP="00676882">
      <w:pPr>
        <w:pStyle w:val="ListBullet"/>
      </w:pPr>
      <w:r w:rsidRPr="004B343E">
        <w:t>for</w:t>
      </w:r>
      <w:r>
        <w:t xml:space="preserve"> </w:t>
      </w:r>
      <w:r w:rsidRPr="004B343E">
        <w:t>retail</w:t>
      </w:r>
      <w:r>
        <w:t xml:space="preserve"> </w:t>
      </w:r>
      <w:r w:rsidRPr="004B343E">
        <w:t>electricity</w:t>
      </w:r>
      <w:r>
        <w:t xml:space="preserve"> </w:t>
      </w:r>
      <w:r w:rsidRPr="004B343E">
        <w:t>prices</w:t>
      </w:r>
      <w:r>
        <w:t xml:space="preserve">, </w:t>
      </w:r>
      <w:r w:rsidRPr="004B343E">
        <w:t>we</w:t>
      </w:r>
      <w:r>
        <w:t xml:space="preserve"> </w:t>
      </w:r>
      <w:r w:rsidRPr="004B343E">
        <w:t>used</w:t>
      </w:r>
      <w:r>
        <w:t xml:space="preserve"> </w:t>
      </w:r>
      <w:r w:rsidRPr="004B343E">
        <w:t>prices</w:t>
      </w:r>
      <w:r>
        <w:t xml:space="preserve"> sourced </w:t>
      </w:r>
      <w:r w:rsidRPr="004B343E">
        <w:t>from</w:t>
      </w:r>
      <w:r>
        <w:t xml:space="preserve"> Energy Efficiency Strategies’ (</w:t>
      </w:r>
      <w:r w:rsidRPr="004B343E">
        <w:t>EES</w:t>
      </w:r>
      <w:r>
        <w:t xml:space="preserve">) </w:t>
      </w:r>
      <w:r w:rsidRPr="004B343E">
        <w:t>Whole</w:t>
      </w:r>
      <w:r>
        <w:t xml:space="preserve"> </w:t>
      </w:r>
      <w:r w:rsidRPr="004B343E">
        <w:t>of</w:t>
      </w:r>
      <w:r>
        <w:t xml:space="preserve"> </w:t>
      </w:r>
      <w:r w:rsidRPr="004B343E">
        <w:t>House</w:t>
      </w:r>
      <w:r>
        <w:t xml:space="preserve"> </w:t>
      </w:r>
      <w:r w:rsidRPr="004B343E">
        <w:t>Report</w:t>
      </w:r>
      <w:r>
        <w:t xml:space="preserve"> </w:t>
      </w:r>
      <w:r w:rsidRPr="004B343E">
        <w:t>for</w:t>
      </w:r>
      <w:r>
        <w:t xml:space="preserve"> </w:t>
      </w:r>
      <w:r w:rsidRPr="004B343E">
        <w:t>the</w:t>
      </w:r>
      <w:r>
        <w:t xml:space="preserve"> </w:t>
      </w:r>
      <w:r w:rsidRPr="004B343E">
        <w:t>N</w:t>
      </w:r>
      <w:r>
        <w:t>ational Construction Code (N</w:t>
      </w:r>
      <w:r w:rsidRPr="004B343E">
        <w:t>CC</w:t>
      </w:r>
      <w:r>
        <w:t xml:space="preserve">) </w:t>
      </w:r>
      <w:r w:rsidRPr="004B343E">
        <w:t xml:space="preserve">2022 </w:t>
      </w:r>
      <w:sdt>
        <w:sdtPr>
          <w:id w:val="-617682784"/>
          <w:citation/>
        </w:sdtPr>
        <w:sdtContent>
          <w:r>
            <w:fldChar w:fldCharType="begin"/>
          </w:r>
          <w:r>
            <w:instrText xml:space="preserve">CITATION Ene212 \n  \t  \l 3081 </w:instrText>
          </w:r>
          <w:r>
            <w:fldChar w:fldCharType="separate"/>
          </w:r>
          <w:r>
            <w:rPr>
              <w:noProof/>
            </w:rPr>
            <w:t>(May 2021)</w:t>
          </w:r>
          <w:r>
            <w:fldChar w:fldCharType="end"/>
          </w:r>
        </w:sdtContent>
      </w:sdt>
      <w:r>
        <w:t xml:space="preserve"> </w:t>
      </w:r>
      <w:r w:rsidRPr="004B343E">
        <w:t>for</w:t>
      </w:r>
      <w:r>
        <w:t xml:space="preserve"> </w:t>
      </w:r>
      <w:r w:rsidRPr="004B343E">
        <w:t>the</w:t>
      </w:r>
      <w:r>
        <w:t xml:space="preserve"> </w:t>
      </w:r>
      <w:r w:rsidRPr="004B343E">
        <w:t>start</w:t>
      </w:r>
      <w:r>
        <w:t xml:space="preserve"> </w:t>
      </w:r>
      <w:r w:rsidRPr="004B343E">
        <w:t>year</w:t>
      </w:r>
      <w:r>
        <w:t xml:space="preserve"> </w:t>
      </w:r>
      <w:r w:rsidRPr="004B343E">
        <w:t>and</w:t>
      </w:r>
      <w:r>
        <w:t xml:space="preserve"> </w:t>
      </w:r>
      <w:r w:rsidRPr="004B343E">
        <w:t>projected</w:t>
      </w:r>
      <w:r>
        <w:t xml:space="preserve"> </w:t>
      </w:r>
      <w:r w:rsidRPr="004B343E">
        <w:t>the</w:t>
      </w:r>
      <w:r>
        <w:t xml:space="preserve"> </w:t>
      </w:r>
      <w:r w:rsidRPr="004B343E">
        <w:t>change</w:t>
      </w:r>
      <w:r>
        <w:t xml:space="preserve"> </w:t>
      </w:r>
      <w:r w:rsidRPr="004B343E">
        <w:t>in</w:t>
      </w:r>
      <w:r>
        <w:t xml:space="preserve"> </w:t>
      </w:r>
      <w:r w:rsidRPr="004B343E">
        <w:t>these</w:t>
      </w:r>
      <w:r>
        <w:t xml:space="preserve"> </w:t>
      </w:r>
      <w:r w:rsidRPr="004B343E">
        <w:t>prices</w:t>
      </w:r>
      <w:r>
        <w:t xml:space="preserve"> </w:t>
      </w:r>
      <w:r w:rsidRPr="004B343E">
        <w:t>over</w:t>
      </w:r>
      <w:r>
        <w:t xml:space="preserve"> </w:t>
      </w:r>
      <w:r w:rsidRPr="004B343E">
        <w:t>time</w:t>
      </w:r>
      <w:r>
        <w:t xml:space="preserve"> </w:t>
      </w:r>
      <w:r w:rsidRPr="004B343E">
        <w:t>using</w:t>
      </w:r>
      <w:r>
        <w:t xml:space="preserve"> </w:t>
      </w:r>
      <w:r w:rsidRPr="004B343E">
        <w:t>information</w:t>
      </w:r>
      <w:r>
        <w:t xml:space="preserve"> </w:t>
      </w:r>
      <w:r w:rsidRPr="004B343E">
        <w:t>sourced</w:t>
      </w:r>
      <w:r>
        <w:t xml:space="preserve"> </w:t>
      </w:r>
      <w:r w:rsidRPr="004B343E">
        <w:t>from</w:t>
      </w:r>
      <w:r>
        <w:t xml:space="preserve"> </w:t>
      </w:r>
      <w:r w:rsidRPr="004B343E">
        <w:t>our</w:t>
      </w:r>
      <w:r>
        <w:t xml:space="preserve"> </w:t>
      </w:r>
      <w:r w:rsidRPr="004B343E">
        <w:t>proprietary</w:t>
      </w:r>
      <w:r>
        <w:t xml:space="preserve"> </w:t>
      </w:r>
      <w:r w:rsidRPr="004B343E">
        <w:t>model</w:t>
      </w:r>
      <w:r>
        <w:t xml:space="preserve"> </w:t>
      </w:r>
      <w:r w:rsidRPr="004B343E">
        <w:t>PowerMark</w:t>
      </w:r>
    </w:p>
    <w:p w14:paraId="45115093" w14:textId="77777777" w:rsidR="00676882" w:rsidRPr="004B343E" w:rsidRDefault="00676882" w:rsidP="00676882">
      <w:pPr>
        <w:pStyle w:val="ListBullet"/>
      </w:pPr>
      <w:r w:rsidRPr="004B343E">
        <w:t>for</w:t>
      </w:r>
      <w:r>
        <w:t xml:space="preserve"> </w:t>
      </w:r>
      <w:r w:rsidRPr="004B343E">
        <w:t>retail</w:t>
      </w:r>
      <w:r>
        <w:t xml:space="preserve"> </w:t>
      </w:r>
      <w:r w:rsidRPr="004B343E">
        <w:t>gas</w:t>
      </w:r>
      <w:r>
        <w:t xml:space="preserve"> </w:t>
      </w:r>
      <w:r w:rsidRPr="004B343E">
        <w:t>prices</w:t>
      </w:r>
      <w:r>
        <w:t xml:space="preserve"> </w:t>
      </w:r>
      <w:r w:rsidRPr="004B343E">
        <w:t>we</w:t>
      </w:r>
      <w:r>
        <w:t xml:space="preserve"> </w:t>
      </w:r>
      <w:r w:rsidRPr="004B343E">
        <w:t>used</w:t>
      </w:r>
      <w:r>
        <w:t xml:space="preserve"> </w:t>
      </w:r>
      <w:r w:rsidRPr="004B343E">
        <w:t>the</w:t>
      </w:r>
      <w:r>
        <w:t xml:space="preserve"> </w:t>
      </w:r>
      <w:r w:rsidRPr="004B343E">
        <w:t>prices</w:t>
      </w:r>
      <w:r>
        <w:t xml:space="preserve"> </w:t>
      </w:r>
      <w:r w:rsidRPr="004B343E">
        <w:t>in</w:t>
      </w:r>
      <w:r>
        <w:t xml:space="preserve"> </w:t>
      </w:r>
      <w:r w:rsidRPr="004B343E">
        <w:t>EES’</w:t>
      </w:r>
      <w:r>
        <w:t xml:space="preserve">s </w:t>
      </w:r>
      <w:r w:rsidRPr="004B343E">
        <w:t>Whole</w:t>
      </w:r>
      <w:r>
        <w:t xml:space="preserve"> </w:t>
      </w:r>
      <w:r w:rsidRPr="004B343E">
        <w:t>of</w:t>
      </w:r>
      <w:r>
        <w:t xml:space="preserve"> </w:t>
      </w:r>
      <w:r w:rsidRPr="004B343E">
        <w:t>House</w:t>
      </w:r>
      <w:r>
        <w:t xml:space="preserve"> </w:t>
      </w:r>
      <w:r w:rsidRPr="004B343E">
        <w:t>Report</w:t>
      </w:r>
      <w:r>
        <w:t xml:space="preserve"> </w:t>
      </w:r>
      <w:r w:rsidRPr="004B343E">
        <w:t>for</w:t>
      </w:r>
      <w:r>
        <w:t xml:space="preserve"> </w:t>
      </w:r>
      <w:r w:rsidRPr="004B343E">
        <w:t>the</w:t>
      </w:r>
      <w:r>
        <w:t xml:space="preserve"> </w:t>
      </w:r>
      <w:r w:rsidRPr="004B343E">
        <w:t>NCC</w:t>
      </w:r>
      <w:r>
        <w:t xml:space="preserve"> </w:t>
      </w:r>
      <w:r w:rsidRPr="004B343E">
        <w:t>2022</w:t>
      </w:r>
      <w:r>
        <w:rPr>
          <w:rStyle w:val="FootnoteReference"/>
        </w:rPr>
        <w:t xml:space="preserve"> </w:t>
      </w:r>
      <w:sdt>
        <w:sdtPr>
          <w:rPr>
            <w:rStyle w:val="FootnoteReference"/>
          </w:rPr>
          <w:id w:val="210543889"/>
          <w:citation/>
        </w:sdtPr>
        <w:sdtContent>
          <w:r>
            <w:rPr>
              <w:rStyle w:val="FootnoteReference"/>
            </w:rPr>
            <w:fldChar w:fldCharType="begin"/>
          </w:r>
          <w:r>
            <w:instrText xml:space="preserve">CITATION Ene212 \n  \t  \l 3081 </w:instrText>
          </w:r>
          <w:r>
            <w:rPr>
              <w:rStyle w:val="FootnoteReference"/>
            </w:rPr>
            <w:fldChar w:fldCharType="separate"/>
          </w:r>
          <w:r>
            <w:rPr>
              <w:noProof/>
            </w:rPr>
            <w:t>(May 2021)</w:t>
          </w:r>
          <w:r>
            <w:rPr>
              <w:rStyle w:val="FootnoteReference"/>
            </w:rPr>
            <w:fldChar w:fldCharType="end"/>
          </w:r>
        </w:sdtContent>
      </w:sdt>
      <w:r w:rsidRPr="004B343E">
        <w:t xml:space="preserve"> for</w:t>
      </w:r>
      <w:r>
        <w:t xml:space="preserve"> </w:t>
      </w:r>
      <w:r w:rsidRPr="004B343E">
        <w:t>the</w:t>
      </w:r>
      <w:r>
        <w:t xml:space="preserve"> </w:t>
      </w:r>
      <w:r w:rsidRPr="004B343E">
        <w:t>start</w:t>
      </w:r>
      <w:r>
        <w:t xml:space="preserve"> </w:t>
      </w:r>
      <w:r w:rsidRPr="004B343E">
        <w:t>year</w:t>
      </w:r>
      <w:r>
        <w:t xml:space="preserve"> </w:t>
      </w:r>
      <w:r w:rsidRPr="004B343E">
        <w:t>and</w:t>
      </w:r>
      <w:r>
        <w:t xml:space="preserve"> </w:t>
      </w:r>
      <w:r w:rsidRPr="004B343E">
        <w:t>projected</w:t>
      </w:r>
      <w:r>
        <w:t xml:space="preserve"> </w:t>
      </w:r>
      <w:r w:rsidRPr="004B343E">
        <w:t>the</w:t>
      </w:r>
      <w:r>
        <w:t xml:space="preserve"> </w:t>
      </w:r>
      <w:r w:rsidRPr="004B343E">
        <w:t>change</w:t>
      </w:r>
      <w:r>
        <w:t xml:space="preserve"> </w:t>
      </w:r>
      <w:r w:rsidRPr="004B343E">
        <w:t>in</w:t>
      </w:r>
      <w:r>
        <w:t xml:space="preserve"> </w:t>
      </w:r>
      <w:r w:rsidRPr="004B343E">
        <w:t>these</w:t>
      </w:r>
      <w:r>
        <w:t xml:space="preserve"> </w:t>
      </w:r>
      <w:r w:rsidRPr="004B343E">
        <w:t>prices</w:t>
      </w:r>
      <w:r>
        <w:t xml:space="preserve"> </w:t>
      </w:r>
      <w:r w:rsidRPr="004B343E">
        <w:t>over</w:t>
      </w:r>
      <w:r>
        <w:t xml:space="preserve"> </w:t>
      </w:r>
      <w:r w:rsidRPr="004B343E">
        <w:t>time</w:t>
      </w:r>
      <w:r>
        <w:t xml:space="preserve"> </w:t>
      </w:r>
      <w:r w:rsidRPr="004B343E">
        <w:t>using</w:t>
      </w:r>
      <w:r>
        <w:t xml:space="preserve"> </w:t>
      </w:r>
      <w:r w:rsidRPr="004B343E">
        <w:t>information</w:t>
      </w:r>
      <w:r>
        <w:t xml:space="preserve"> </w:t>
      </w:r>
      <w:r w:rsidRPr="004B343E">
        <w:t>sourced</w:t>
      </w:r>
      <w:r>
        <w:t xml:space="preserve"> </w:t>
      </w:r>
      <w:r w:rsidRPr="004B343E">
        <w:t>from</w:t>
      </w:r>
      <w:r>
        <w:t xml:space="preserve"> </w:t>
      </w:r>
      <w:r w:rsidRPr="004B343E">
        <w:t>our</w:t>
      </w:r>
      <w:r>
        <w:t xml:space="preserve"> </w:t>
      </w:r>
      <w:r w:rsidRPr="004B343E">
        <w:t>proprietary</w:t>
      </w:r>
      <w:r>
        <w:t xml:space="preserve"> </w:t>
      </w:r>
      <w:r w:rsidRPr="004B343E">
        <w:t>model</w:t>
      </w:r>
      <w:r>
        <w:t xml:space="preserve"> </w:t>
      </w:r>
      <w:r w:rsidRPr="004B343E">
        <w:rPr>
          <w:i/>
        </w:rPr>
        <w:t>GasMark</w:t>
      </w:r>
    </w:p>
    <w:p w14:paraId="444CF117" w14:textId="77777777" w:rsidR="00676882" w:rsidRDefault="00676882" w:rsidP="00676882">
      <w:pPr>
        <w:pStyle w:val="ListBullet"/>
      </w:pPr>
      <w:r w:rsidRPr="004B343E">
        <w:t>feed</w:t>
      </w:r>
      <w:r>
        <w:t xml:space="preserve"> </w:t>
      </w:r>
      <w:r w:rsidRPr="004B343E">
        <w:t>in</w:t>
      </w:r>
      <w:r>
        <w:t xml:space="preserve"> </w:t>
      </w:r>
      <w:r w:rsidRPr="004B343E">
        <w:t>tariffs</w:t>
      </w:r>
      <w:r>
        <w:t xml:space="preserve"> </w:t>
      </w:r>
      <w:r w:rsidRPr="004B343E">
        <w:t>to</w:t>
      </w:r>
      <w:r>
        <w:t xml:space="preserve"> </w:t>
      </w:r>
      <w:r w:rsidRPr="004B343E">
        <w:t>value</w:t>
      </w:r>
      <w:r>
        <w:t xml:space="preserve"> </w:t>
      </w:r>
      <w:r w:rsidRPr="004B343E">
        <w:t>exports</w:t>
      </w:r>
      <w:r>
        <w:t xml:space="preserve"> </w:t>
      </w:r>
      <w:r w:rsidRPr="004B343E">
        <w:t>to</w:t>
      </w:r>
      <w:r>
        <w:t xml:space="preserve"> </w:t>
      </w:r>
      <w:r w:rsidRPr="004B343E">
        <w:t>the</w:t>
      </w:r>
      <w:r>
        <w:t xml:space="preserve"> </w:t>
      </w:r>
      <w:r w:rsidRPr="004B343E">
        <w:t>grid</w:t>
      </w:r>
      <w:r>
        <w:t xml:space="preserve"> </w:t>
      </w:r>
      <w:r w:rsidRPr="004B343E">
        <w:t>were</w:t>
      </w:r>
      <w:r>
        <w:t xml:space="preserve"> </w:t>
      </w:r>
      <w:r w:rsidRPr="004B343E">
        <w:t>estimated/projected</w:t>
      </w:r>
      <w:r>
        <w:t xml:space="preserve"> </w:t>
      </w:r>
      <w:r w:rsidRPr="004B343E">
        <w:t>using</w:t>
      </w:r>
      <w:r>
        <w:t xml:space="preserve"> </w:t>
      </w:r>
      <w:r w:rsidRPr="004B343E">
        <w:t>the</w:t>
      </w:r>
      <w:r>
        <w:t xml:space="preserve"> </w:t>
      </w:r>
      <w:r w:rsidRPr="004B343E">
        <w:t>average</w:t>
      </w:r>
      <w:r>
        <w:t xml:space="preserve"> </w:t>
      </w:r>
      <w:r w:rsidRPr="004B343E">
        <w:t>of</w:t>
      </w:r>
      <w:r>
        <w:t xml:space="preserve"> </w:t>
      </w:r>
      <w:r w:rsidRPr="004B343E">
        <w:t>the</w:t>
      </w:r>
      <w:r>
        <w:t xml:space="preserve"> </w:t>
      </w:r>
      <w:r w:rsidRPr="004B343E">
        <w:t>annual</w:t>
      </w:r>
      <w:r>
        <w:t xml:space="preserve"> </w:t>
      </w:r>
      <w:r w:rsidRPr="004B343E">
        <w:t>large-scale</w:t>
      </w:r>
      <w:r>
        <w:t xml:space="preserve"> </w:t>
      </w:r>
      <w:r w:rsidRPr="004B343E">
        <w:t>solar</w:t>
      </w:r>
      <w:r>
        <w:t xml:space="preserve"> </w:t>
      </w:r>
      <w:r w:rsidRPr="004B343E">
        <w:t>dispatch</w:t>
      </w:r>
      <w:r>
        <w:t xml:space="preserve"> </w:t>
      </w:r>
      <w:r w:rsidRPr="004B343E">
        <w:t>weighted</w:t>
      </w:r>
      <w:r>
        <w:t xml:space="preserve"> wholesale electricity </w:t>
      </w:r>
      <w:r w:rsidRPr="004B343E">
        <w:t>price</w:t>
      </w:r>
      <w:r>
        <w:t xml:space="preserve"> </w:t>
      </w:r>
      <w:r w:rsidRPr="004B343E">
        <w:t>plus</w:t>
      </w:r>
      <w:r>
        <w:t xml:space="preserve"> </w:t>
      </w:r>
      <w:r w:rsidRPr="004B343E">
        <w:t>6</w:t>
      </w:r>
      <w:r>
        <w:t xml:space="preserve"> </w:t>
      </w:r>
      <w:r w:rsidRPr="004B343E">
        <w:t>per</w:t>
      </w:r>
      <w:r>
        <w:t xml:space="preserve"> </w:t>
      </w:r>
      <w:r w:rsidRPr="004B343E">
        <w:t>cent,</w:t>
      </w:r>
      <w:r>
        <w:t xml:space="preserve"> </w:t>
      </w:r>
      <w:r w:rsidRPr="004B343E">
        <w:t>which</w:t>
      </w:r>
      <w:r>
        <w:t xml:space="preserve"> </w:t>
      </w:r>
      <w:r w:rsidRPr="004B343E">
        <w:t>represents</w:t>
      </w:r>
      <w:r>
        <w:t xml:space="preserve"> </w:t>
      </w:r>
      <w:r w:rsidRPr="004B343E">
        <w:t>loss</w:t>
      </w:r>
      <w:r>
        <w:t xml:space="preserve"> </w:t>
      </w:r>
      <w:r w:rsidRPr="004B343E">
        <w:t>factors</w:t>
      </w:r>
      <w:r>
        <w:t xml:space="preserve"> </w:t>
      </w:r>
      <w:r w:rsidRPr="004B343E">
        <w:t>that</w:t>
      </w:r>
      <w:r>
        <w:t xml:space="preserve"> </w:t>
      </w:r>
      <w:r w:rsidRPr="004B343E">
        <w:t>the</w:t>
      </w:r>
      <w:r>
        <w:t xml:space="preserve"> </w:t>
      </w:r>
      <w:r w:rsidRPr="004B343E">
        <w:t>retailer</w:t>
      </w:r>
      <w:r>
        <w:t xml:space="preserve"> </w:t>
      </w:r>
      <w:r w:rsidRPr="004B343E">
        <w:t>will</w:t>
      </w:r>
      <w:r>
        <w:t xml:space="preserve"> </w:t>
      </w:r>
      <w:r w:rsidRPr="004B343E">
        <w:t>pass</w:t>
      </w:r>
      <w:r>
        <w:t xml:space="preserve"> </w:t>
      </w:r>
      <w:r w:rsidRPr="004B343E">
        <w:t>onto</w:t>
      </w:r>
      <w:r>
        <w:t xml:space="preserve"> </w:t>
      </w:r>
      <w:r w:rsidRPr="004B343E">
        <w:t>the</w:t>
      </w:r>
      <w:r>
        <w:t xml:space="preserve"> </w:t>
      </w:r>
      <w:r w:rsidRPr="004B343E">
        <w:t>end</w:t>
      </w:r>
      <w:r>
        <w:t xml:space="preserve"> </w:t>
      </w:r>
      <w:r w:rsidRPr="004B343E">
        <w:t>consumer</w:t>
      </w:r>
      <w:r>
        <w:t>.</w:t>
      </w:r>
    </w:p>
    <w:p w14:paraId="56C9E974" w14:textId="77777777" w:rsidR="00676882" w:rsidRDefault="00676882" w:rsidP="00676882">
      <w:pPr>
        <w:pStyle w:val="BodyText"/>
      </w:pPr>
      <w:r>
        <w:t xml:space="preserve">For ease of comparison </w:t>
      </w:r>
      <w:r w:rsidRPr="009E4AB1">
        <w:fldChar w:fldCharType="begin"/>
      </w:r>
      <w:r w:rsidRPr="009E4AB1">
        <w:instrText xml:space="preserve"> REF _Ref80476072 \h  \* MERGEFORMAT </w:instrText>
      </w:r>
      <w:r w:rsidRPr="009E4AB1">
        <w:fldChar w:fldCharType="separate"/>
      </w:r>
      <w:r w:rsidRPr="00F32FCC">
        <w:t>Figure B.8</w:t>
      </w:r>
      <w:r w:rsidRPr="009E4AB1">
        <w:fldChar w:fldCharType="end"/>
      </w:r>
      <w:r>
        <w:t xml:space="preserve"> and </w:t>
      </w:r>
      <w:r w:rsidRPr="009E4AB1">
        <w:fldChar w:fldCharType="begin"/>
      </w:r>
      <w:r w:rsidRPr="009E4AB1">
        <w:instrText xml:space="preserve"> REF _Ref80476078 \h  \* MERGEFORMAT </w:instrText>
      </w:r>
      <w:r w:rsidRPr="009E4AB1">
        <w:fldChar w:fldCharType="separate"/>
      </w:r>
      <w:r w:rsidRPr="00F32FCC">
        <w:t>Figure B.9</w:t>
      </w:r>
      <w:r w:rsidRPr="009E4AB1">
        <w:fldChar w:fldCharType="end"/>
      </w:r>
      <w:r>
        <w:t xml:space="preserve"> compare wholesale and retail prices for both electricity and gas. </w:t>
      </w:r>
    </w:p>
    <w:p w14:paraId="1B0DE8C6" w14:textId="77777777" w:rsidR="00676882" w:rsidRDefault="00676882" w:rsidP="00676882">
      <w:pPr>
        <w:pStyle w:val="Caption"/>
      </w:pPr>
      <w:bookmarkStart w:id="377" w:name="_Ref80476058"/>
      <w:bookmarkStart w:id="378" w:name="_Toc80719286"/>
      <w:r w:rsidRPr="006B0263">
        <w:rPr>
          <w:rStyle w:val="CaptionLabel"/>
        </w:rPr>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5</w:t>
      </w:r>
      <w:r w:rsidRPr="006B0263">
        <w:rPr>
          <w:rStyle w:val="CaptionLabel"/>
        </w:rPr>
        <w:fldChar w:fldCharType="end"/>
      </w:r>
      <w:bookmarkEnd w:id="377"/>
      <w:r>
        <w:tab/>
        <w:t>Retail electricity prices, $ per kWh</w:t>
      </w:r>
      <w:bookmarkEnd w:id="378"/>
    </w:p>
    <w:p w14:paraId="7FA7C167" w14:textId="77777777" w:rsidR="00676882" w:rsidRDefault="00676882" w:rsidP="00676882">
      <w:pPr>
        <w:pStyle w:val="BodyText"/>
      </w:pPr>
      <w:r>
        <w:rPr>
          <w:noProof/>
        </w:rPr>
        <w:drawing>
          <wp:inline distT="0" distB="0" distL="0" distR="0" wp14:anchorId="1F5DFA99" wp14:editId="73638EC7">
            <wp:extent cx="5039360" cy="2597785"/>
            <wp:effectExtent l="0" t="0" r="8890" b="0"/>
            <wp:docPr id="623" name="Picture 623" descr="Prices slightly increase from 2022 to 2040, then remain fl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Picture 623" descr="Prices slightly increase from 2022 to 2040, then remain flat."/>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5039360" cy="2597785"/>
                    </a:xfrm>
                    <a:prstGeom prst="rect">
                      <a:avLst/>
                    </a:prstGeom>
                  </pic:spPr>
                </pic:pic>
              </a:graphicData>
            </a:graphic>
          </wp:inline>
        </w:drawing>
      </w:r>
    </w:p>
    <w:p w14:paraId="61B38593" w14:textId="77777777" w:rsidR="00676882" w:rsidRDefault="00676882" w:rsidP="00676882">
      <w:pPr>
        <w:pStyle w:val="BodyText"/>
        <w:spacing w:after="0" w:line="0" w:lineRule="atLeast"/>
        <w:rPr>
          <w:i/>
          <w:iCs/>
          <w:sz w:val="16"/>
          <w:szCs w:val="16"/>
          <w:lang w:val="en-US"/>
        </w:rPr>
      </w:pPr>
      <w:r w:rsidRPr="007F2D37">
        <w:rPr>
          <w:i/>
          <w:iCs/>
          <w:sz w:val="16"/>
          <w:szCs w:val="16"/>
          <w:lang w:val="en-US"/>
        </w:rPr>
        <w:t>Source: ACIL Allen</w:t>
      </w:r>
    </w:p>
    <w:p w14:paraId="3F184DAA" w14:textId="77777777" w:rsidR="00676882" w:rsidRPr="007F2D37" w:rsidRDefault="00676882" w:rsidP="00676882">
      <w:pPr>
        <w:pStyle w:val="BodyText"/>
        <w:spacing w:after="0" w:line="0" w:lineRule="atLeast"/>
        <w:rPr>
          <w:i/>
          <w:iCs/>
          <w:sz w:val="16"/>
          <w:szCs w:val="16"/>
        </w:rPr>
      </w:pPr>
    </w:p>
    <w:p w14:paraId="226856DD" w14:textId="77777777" w:rsidR="00676882" w:rsidRDefault="00676882" w:rsidP="00676882">
      <w:pPr>
        <w:pStyle w:val="Caption"/>
      </w:pPr>
      <w:bookmarkStart w:id="379" w:name="_Toc80719287"/>
      <w:bookmarkEnd w:id="376"/>
      <w:r w:rsidRPr="006B0263">
        <w:rPr>
          <w:rStyle w:val="CaptionLabel"/>
        </w:rPr>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6</w:t>
      </w:r>
      <w:r w:rsidRPr="006B0263">
        <w:rPr>
          <w:rStyle w:val="CaptionLabel"/>
        </w:rPr>
        <w:fldChar w:fldCharType="end"/>
      </w:r>
      <w:r>
        <w:tab/>
        <w:t>Retail gas prices, cents per MJ</w:t>
      </w:r>
      <w:bookmarkEnd w:id="379"/>
    </w:p>
    <w:p w14:paraId="17D9298A" w14:textId="77777777" w:rsidR="00676882" w:rsidRDefault="00676882" w:rsidP="00676882">
      <w:pPr>
        <w:pStyle w:val="BodyText"/>
      </w:pPr>
      <w:r>
        <w:rPr>
          <w:noProof/>
        </w:rPr>
        <w:drawing>
          <wp:inline distT="0" distB="0" distL="0" distR="0" wp14:anchorId="4D696845" wp14:editId="5FD20232">
            <wp:extent cx="5039360" cy="2583180"/>
            <wp:effectExtent l="0" t="0" r="8890" b="7620"/>
            <wp:docPr id="634" name="Picture 634" descr="Prices increase from 2022 to 2040, then remain fl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Picture 634" descr="Prices increase from 2022 to 2040, then remain flat."/>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5039360" cy="2583180"/>
                    </a:xfrm>
                    <a:prstGeom prst="rect">
                      <a:avLst/>
                    </a:prstGeom>
                  </pic:spPr>
                </pic:pic>
              </a:graphicData>
            </a:graphic>
          </wp:inline>
        </w:drawing>
      </w:r>
    </w:p>
    <w:p w14:paraId="011B5107" w14:textId="77777777" w:rsidR="00676882" w:rsidRDefault="00676882" w:rsidP="00676882">
      <w:pPr>
        <w:pStyle w:val="BodyText"/>
        <w:spacing w:after="0" w:line="0" w:lineRule="atLeast"/>
        <w:rPr>
          <w:i/>
          <w:iCs/>
          <w:sz w:val="16"/>
          <w:szCs w:val="16"/>
          <w:lang w:val="en-US"/>
        </w:rPr>
      </w:pPr>
      <w:r w:rsidRPr="007F2D37">
        <w:rPr>
          <w:i/>
          <w:iCs/>
          <w:sz w:val="16"/>
          <w:szCs w:val="16"/>
          <w:lang w:val="en-US"/>
        </w:rPr>
        <w:t>Source: ACIL Allen</w:t>
      </w:r>
    </w:p>
    <w:p w14:paraId="10002E5F" w14:textId="77777777" w:rsidR="00676882" w:rsidRDefault="00676882" w:rsidP="00676882">
      <w:pPr>
        <w:pStyle w:val="Caption"/>
      </w:pPr>
      <w:bookmarkStart w:id="380" w:name="_Ref80476065"/>
      <w:bookmarkStart w:id="381" w:name="_Toc80719288"/>
      <w:r w:rsidRPr="006B0263">
        <w:rPr>
          <w:rStyle w:val="CaptionLabel"/>
        </w:rPr>
        <w:lastRenderedPageBreak/>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7</w:t>
      </w:r>
      <w:r w:rsidRPr="006B0263">
        <w:rPr>
          <w:rStyle w:val="CaptionLabel"/>
        </w:rPr>
        <w:fldChar w:fldCharType="end"/>
      </w:r>
      <w:bookmarkEnd w:id="380"/>
      <w:r>
        <w:tab/>
        <w:t>Feed in tariff for PV exports to grid, cents per kWh</w:t>
      </w:r>
      <w:bookmarkEnd w:id="381"/>
    </w:p>
    <w:p w14:paraId="71FFA829" w14:textId="77777777" w:rsidR="00676882" w:rsidRDefault="00676882" w:rsidP="00676882">
      <w:pPr>
        <w:pStyle w:val="BodyText"/>
      </w:pPr>
      <w:r>
        <w:rPr>
          <w:noProof/>
        </w:rPr>
        <w:drawing>
          <wp:inline distT="0" distB="0" distL="0" distR="0" wp14:anchorId="16AB1DEB" wp14:editId="3DA78D79">
            <wp:extent cx="5039360" cy="2590800"/>
            <wp:effectExtent l="0" t="0" r="8890" b="0"/>
            <wp:docPr id="635" name="Picture 635" descr="Prices fall from 2022 to 2028, then increase consistently until 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 name="Picture 635" descr="Prices fall from 2022 to 2028, then increase consistently until 2050."/>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5039360" cy="2590800"/>
                    </a:xfrm>
                    <a:prstGeom prst="rect">
                      <a:avLst/>
                    </a:prstGeom>
                  </pic:spPr>
                </pic:pic>
              </a:graphicData>
            </a:graphic>
          </wp:inline>
        </w:drawing>
      </w:r>
    </w:p>
    <w:p w14:paraId="77E31454" w14:textId="77777777" w:rsidR="00676882" w:rsidRDefault="00676882" w:rsidP="00676882">
      <w:pPr>
        <w:pStyle w:val="BodyText"/>
        <w:spacing w:after="0" w:line="0" w:lineRule="atLeast"/>
        <w:rPr>
          <w:i/>
          <w:iCs/>
          <w:sz w:val="16"/>
          <w:szCs w:val="16"/>
          <w:lang w:val="en-US"/>
        </w:rPr>
      </w:pPr>
      <w:r w:rsidRPr="007F2D37">
        <w:rPr>
          <w:i/>
          <w:iCs/>
          <w:sz w:val="16"/>
          <w:szCs w:val="16"/>
          <w:lang w:val="en-US"/>
        </w:rPr>
        <w:t>Source: ACIL Allen</w:t>
      </w:r>
    </w:p>
    <w:p w14:paraId="5D8FE49B" w14:textId="77777777" w:rsidR="00676882" w:rsidRDefault="00676882" w:rsidP="00676882">
      <w:pPr>
        <w:pStyle w:val="BodyText"/>
        <w:spacing w:after="0" w:line="0" w:lineRule="atLeast"/>
        <w:rPr>
          <w:i/>
          <w:iCs/>
          <w:sz w:val="16"/>
          <w:szCs w:val="16"/>
          <w:lang w:val="en-US"/>
        </w:rPr>
      </w:pPr>
    </w:p>
    <w:p w14:paraId="74420584" w14:textId="77777777" w:rsidR="00676882" w:rsidRDefault="00676882" w:rsidP="00676882">
      <w:pPr>
        <w:pStyle w:val="Caption"/>
      </w:pPr>
      <w:bookmarkStart w:id="382" w:name="_Ref80476072"/>
      <w:bookmarkStart w:id="383" w:name="_Toc80719289"/>
      <w:r w:rsidRPr="006B0263">
        <w:rPr>
          <w:rStyle w:val="CaptionLabel"/>
        </w:rPr>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8</w:t>
      </w:r>
      <w:r w:rsidRPr="006B0263">
        <w:rPr>
          <w:rStyle w:val="CaptionLabel"/>
        </w:rPr>
        <w:fldChar w:fldCharType="end"/>
      </w:r>
      <w:bookmarkEnd w:id="382"/>
      <w:r>
        <w:tab/>
        <w:t>Comparison of electricity prices at wholesale and retail prices, $ per kWh</w:t>
      </w:r>
      <w:bookmarkEnd w:id="383"/>
    </w:p>
    <w:p w14:paraId="23DA98C8" w14:textId="77777777" w:rsidR="00676882" w:rsidRDefault="00676882" w:rsidP="00676882">
      <w:pPr>
        <w:pStyle w:val="BodyText"/>
      </w:pPr>
      <w:r>
        <w:rPr>
          <w:noProof/>
        </w:rPr>
        <w:drawing>
          <wp:inline distT="0" distB="0" distL="0" distR="0" wp14:anchorId="5FEB3146" wp14:editId="5CCE2DDC">
            <wp:extent cx="5039360" cy="2588260"/>
            <wp:effectExtent l="0" t="0" r="8890" b="2540"/>
            <wp:docPr id="636" name="Picture 636" descr="Prices slightly increase from 2022 to 2040, then remain fl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Picture 636" descr="Prices slightly increase from 2022 to 2040, then remain flat."/>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5039360" cy="2588260"/>
                    </a:xfrm>
                    <a:prstGeom prst="rect">
                      <a:avLst/>
                    </a:prstGeom>
                  </pic:spPr>
                </pic:pic>
              </a:graphicData>
            </a:graphic>
          </wp:inline>
        </w:drawing>
      </w:r>
    </w:p>
    <w:p w14:paraId="14240601" w14:textId="77777777" w:rsidR="00676882" w:rsidRDefault="00676882" w:rsidP="00676882">
      <w:pPr>
        <w:pStyle w:val="BodyText"/>
        <w:spacing w:after="0" w:line="0" w:lineRule="atLeast"/>
        <w:rPr>
          <w:i/>
          <w:iCs/>
          <w:sz w:val="16"/>
          <w:szCs w:val="16"/>
          <w:lang w:val="en-US"/>
        </w:rPr>
      </w:pPr>
      <w:r w:rsidRPr="007F2D37">
        <w:rPr>
          <w:i/>
          <w:iCs/>
          <w:sz w:val="16"/>
          <w:szCs w:val="16"/>
          <w:lang w:val="en-US"/>
        </w:rPr>
        <w:t>Source: ACIL Allen</w:t>
      </w:r>
    </w:p>
    <w:p w14:paraId="45070391" w14:textId="77777777" w:rsidR="00676882" w:rsidRDefault="00676882" w:rsidP="00676882">
      <w:pPr>
        <w:pStyle w:val="BodyText"/>
      </w:pPr>
    </w:p>
    <w:p w14:paraId="3920BC26" w14:textId="77777777" w:rsidR="00676882" w:rsidRDefault="00676882" w:rsidP="00676882">
      <w:pPr>
        <w:pStyle w:val="Caption"/>
      </w:pPr>
      <w:bookmarkStart w:id="384" w:name="_Ref80476078"/>
      <w:bookmarkStart w:id="385" w:name="_Toc80719290"/>
      <w:r w:rsidRPr="006B0263">
        <w:rPr>
          <w:rStyle w:val="CaptionLabel"/>
        </w:rPr>
        <w:lastRenderedPageBreak/>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B</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9</w:t>
      </w:r>
      <w:r w:rsidRPr="006B0263">
        <w:rPr>
          <w:rStyle w:val="CaptionLabel"/>
        </w:rPr>
        <w:fldChar w:fldCharType="end"/>
      </w:r>
      <w:bookmarkEnd w:id="384"/>
      <w:r>
        <w:tab/>
        <w:t>Comparison of gas prices at wholesale and retail prices, cents per MJ</w:t>
      </w:r>
      <w:bookmarkEnd w:id="385"/>
    </w:p>
    <w:p w14:paraId="37DEDBEA" w14:textId="77777777" w:rsidR="00676882" w:rsidRDefault="00676882" w:rsidP="00676882">
      <w:pPr>
        <w:pStyle w:val="BodyText"/>
      </w:pPr>
      <w:r>
        <w:rPr>
          <w:noProof/>
        </w:rPr>
        <w:drawing>
          <wp:inline distT="0" distB="0" distL="0" distR="0" wp14:anchorId="6CC22C2F" wp14:editId="7025EA0D">
            <wp:extent cx="5039360" cy="2581275"/>
            <wp:effectExtent l="0" t="0" r="8890" b="9525"/>
            <wp:docPr id="637" name="Picture 637" descr="Prices slightly increase from 2022 to 2040, then remain fl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 name="Picture 637" descr="Prices slightly increase from 2022 to 2040, then remain flat."/>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5039360" cy="2581275"/>
                    </a:xfrm>
                    <a:prstGeom prst="rect">
                      <a:avLst/>
                    </a:prstGeom>
                  </pic:spPr>
                </pic:pic>
              </a:graphicData>
            </a:graphic>
          </wp:inline>
        </w:drawing>
      </w:r>
    </w:p>
    <w:p w14:paraId="7BA77F3D" w14:textId="77777777" w:rsidR="00676882" w:rsidRDefault="00676882" w:rsidP="00676882">
      <w:pPr>
        <w:pStyle w:val="BodyText"/>
        <w:spacing w:after="0" w:line="0" w:lineRule="atLeast"/>
        <w:rPr>
          <w:i/>
          <w:iCs/>
          <w:sz w:val="16"/>
          <w:szCs w:val="16"/>
          <w:lang w:val="en-US"/>
        </w:rPr>
      </w:pPr>
      <w:r w:rsidRPr="007F2D37">
        <w:rPr>
          <w:i/>
          <w:iCs/>
          <w:sz w:val="16"/>
          <w:szCs w:val="16"/>
          <w:lang w:val="en-US"/>
        </w:rPr>
        <w:t>Source: ACIL Allen</w:t>
      </w:r>
    </w:p>
    <w:p w14:paraId="63C94231" w14:textId="77777777" w:rsidR="00676882" w:rsidRDefault="00676882" w:rsidP="00676882">
      <w:pPr>
        <w:pStyle w:val="Heading5AP"/>
        <w:numPr>
          <w:ilvl w:val="4"/>
          <w:numId w:val="45"/>
        </w:numPr>
      </w:pPr>
      <w:r>
        <w:t>Rebound effect</w:t>
      </w:r>
    </w:p>
    <w:p w14:paraId="3AFD3588" w14:textId="77777777" w:rsidR="00676882" w:rsidRDefault="00676882" w:rsidP="00676882">
      <w:pPr>
        <w:pStyle w:val="BodyText"/>
      </w:pPr>
      <w:r>
        <w:t>Energy savings from implemented energy efficiency measures may not materialise. This is referred to as the rebound effect and may take three forms:</w:t>
      </w:r>
    </w:p>
    <w:p w14:paraId="1EFB732E" w14:textId="77777777" w:rsidR="00676882" w:rsidRDefault="00676882" w:rsidP="00676882">
      <w:pPr>
        <w:pStyle w:val="ListNumber"/>
        <w:numPr>
          <w:ilvl w:val="0"/>
          <w:numId w:val="91"/>
        </w:numPr>
      </w:pPr>
      <w:r>
        <w:t>the take-back effect, where energy users increase their consumption of energy using services (</w:t>
      </w:r>
      <w:proofErr w:type="gramStart"/>
      <w:r>
        <w:t>e.g.</w:t>
      </w:r>
      <w:proofErr w:type="gramEnd"/>
      <w:r>
        <w:t xml:space="preserve"> heating)</w:t>
      </w:r>
    </w:p>
    <w:p w14:paraId="2F7E7E35" w14:textId="77777777" w:rsidR="00676882" w:rsidRDefault="00676882" w:rsidP="00676882">
      <w:pPr>
        <w:pStyle w:val="ListNumber"/>
      </w:pPr>
      <w:r>
        <w:t>the spending effect, where energy users spend financial savings from energy efficiency on other energy consuming activities</w:t>
      </w:r>
    </w:p>
    <w:p w14:paraId="22BC9092" w14:textId="77777777" w:rsidR="00676882" w:rsidRDefault="00676882" w:rsidP="00676882">
      <w:pPr>
        <w:pStyle w:val="ListNumber"/>
      </w:pPr>
      <w:r>
        <w:t>the investment effect, where investment in energy efficiency leads to an indirect increase in economic activity and energy consumption.</w:t>
      </w:r>
    </w:p>
    <w:p w14:paraId="3702F84C" w14:textId="77777777" w:rsidR="00676882" w:rsidRDefault="00676882" w:rsidP="00676882">
      <w:pPr>
        <w:pStyle w:val="BodyText"/>
      </w:pPr>
      <w:r>
        <w:t>The energy efficiency literature often makes note of this rebound effect as a contributing explanatory factor for the differences between projected and actual energy savings. Increased energy use may partly result in improved health impacts of the proposed options.</w:t>
      </w:r>
    </w:p>
    <w:p w14:paraId="07FC4B7D" w14:textId="77777777" w:rsidR="00676882" w:rsidRDefault="00676882" w:rsidP="00676882">
      <w:pPr>
        <w:pStyle w:val="BodyText"/>
      </w:pPr>
      <w:r>
        <w:t>Empirical evidence suggests that the rebound effect is real. However, the evidence also suggests that the magnitude of the effect is highly variable and context specific.</w:t>
      </w:r>
    </w:p>
    <w:p w14:paraId="74E89FA6" w14:textId="77777777" w:rsidR="00676882" w:rsidRDefault="00676882" w:rsidP="00676882">
      <w:pPr>
        <w:pStyle w:val="ListBullet"/>
      </w:pPr>
      <w:r>
        <w:t>The modelling done by Tony Isaacs and Robert Foster for the 2011 mandatory disclosure RIS included a 30 per cent rebound effect (that is, it included a 30 per cent discount to energy savings)</w:t>
      </w:r>
      <w:sdt>
        <w:sdtPr>
          <w:id w:val="1357771502"/>
          <w:citation/>
        </w:sdtPr>
        <w:sdtContent>
          <w:r>
            <w:fldChar w:fldCharType="begin"/>
          </w:r>
          <w:r>
            <w:instrText xml:space="preserve"> CITATION All11 \l 3081 </w:instrText>
          </w:r>
          <w:r>
            <w:fldChar w:fldCharType="separate"/>
          </w:r>
          <w:r>
            <w:rPr>
              <w:noProof/>
            </w:rPr>
            <w:t xml:space="preserve"> (Allen Consulting Group, 2011)</w:t>
          </w:r>
          <w:r>
            <w:fldChar w:fldCharType="end"/>
          </w:r>
        </w:sdtContent>
      </w:sdt>
      <w:r>
        <w:t>.</w:t>
      </w:r>
    </w:p>
    <w:p w14:paraId="1B4187B6" w14:textId="77777777" w:rsidR="00676882" w:rsidRDefault="00676882" w:rsidP="00676882">
      <w:pPr>
        <w:pStyle w:val="ListBullet"/>
      </w:pPr>
      <w:r>
        <w:t xml:space="preserve">McKinsey refers a rebound effect of 15 to 30 per cent. </w:t>
      </w:r>
      <w:sdt>
        <w:sdtPr>
          <w:id w:val="-215125277"/>
          <w:citation/>
        </w:sdtPr>
        <w:sdtContent>
          <w:r>
            <w:fldChar w:fldCharType="begin"/>
          </w:r>
          <w:r>
            <w:instrText xml:space="preserve"> CITATION McK09 \l 3081 </w:instrText>
          </w:r>
          <w:r>
            <w:fldChar w:fldCharType="separate"/>
          </w:r>
          <w:r>
            <w:rPr>
              <w:noProof/>
            </w:rPr>
            <w:t>(McKinsey &amp; Company, 2009)</w:t>
          </w:r>
          <w:r>
            <w:fldChar w:fldCharType="end"/>
          </w:r>
        </w:sdtContent>
      </w:sdt>
    </w:p>
    <w:p w14:paraId="3C0013E1" w14:textId="77777777" w:rsidR="00676882" w:rsidRDefault="00676882" w:rsidP="00676882">
      <w:pPr>
        <w:pStyle w:val="ListBullet"/>
      </w:pPr>
      <w:r>
        <w:t>A report by the International Energy Agency on the multiple effects of energy efficiency refers to a total macroeconomic rebound effect in the range of 10 per cent to 30 per cent in the UK and suggests the rate is similar in other developed countries and higher in developing countries.</w:t>
      </w:r>
      <w:sdt>
        <w:sdtPr>
          <w:id w:val="-1013143689"/>
          <w:citation/>
        </w:sdtPr>
        <w:sdtContent>
          <w:r>
            <w:fldChar w:fldCharType="begin"/>
          </w:r>
          <w:r>
            <w:instrText xml:space="preserve"> CITATION IEA15 \l 3081 </w:instrText>
          </w:r>
          <w:r>
            <w:fldChar w:fldCharType="separate"/>
          </w:r>
          <w:r>
            <w:rPr>
              <w:noProof/>
            </w:rPr>
            <w:t xml:space="preserve"> (IEA, 2015)</w:t>
          </w:r>
          <w:r>
            <w:fldChar w:fldCharType="end"/>
          </w:r>
        </w:sdtContent>
      </w:sdt>
    </w:p>
    <w:p w14:paraId="6A077282" w14:textId="77777777" w:rsidR="00676882" w:rsidRDefault="00676882" w:rsidP="00676882">
      <w:pPr>
        <w:pStyle w:val="ListBullet"/>
      </w:pPr>
      <w:r>
        <w:t>O’Leary (2016) suggests than the rebound effect for efficiency alone should be nearer the low end of estimates or around 5 per cent to 10 per cent to expected energy savings.</w:t>
      </w:r>
      <w:sdt>
        <w:sdtPr>
          <w:id w:val="-498889901"/>
          <w:citation/>
        </w:sdtPr>
        <w:sdtContent>
          <w:r>
            <w:fldChar w:fldCharType="begin"/>
          </w:r>
          <w:r>
            <w:instrText xml:space="preserve"> CITATION OLe16 \l 3081 </w:instrText>
          </w:r>
          <w:r>
            <w:fldChar w:fldCharType="separate"/>
          </w:r>
          <w:r>
            <w:rPr>
              <w:noProof/>
            </w:rPr>
            <w:t xml:space="preserve"> (O'Leary, 2016)</w:t>
          </w:r>
          <w:r>
            <w:fldChar w:fldCharType="end"/>
          </w:r>
        </w:sdtContent>
      </w:sdt>
    </w:p>
    <w:p w14:paraId="3AC0C1EA" w14:textId="77777777" w:rsidR="00676882" w:rsidRDefault="00676882" w:rsidP="00676882">
      <w:pPr>
        <w:pStyle w:val="BodyText"/>
      </w:pPr>
      <w:r>
        <w:t xml:space="preserve">For this analysis we use a rebound effect of 10 per cent. This has been </w:t>
      </w:r>
      <w:proofErr w:type="gramStart"/>
      <w:r>
        <w:t>joint-sensitivity</w:t>
      </w:r>
      <w:proofErr w:type="gramEnd"/>
      <w:r>
        <w:t xml:space="preserve"> tested in section </w:t>
      </w:r>
      <w:r w:rsidRPr="009E4AB1">
        <w:fldChar w:fldCharType="begin"/>
      </w:r>
      <w:r w:rsidRPr="009E4AB1">
        <w:instrText xml:space="preserve"> REF _Ref75909958 \r \h  \* MERGEFORMAT </w:instrText>
      </w:r>
      <w:r w:rsidRPr="009E4AB1">
        <w:fldChar w:fldCharType="separate"/>
      </w:r>
      <w:r>
        <w:t>5.4.4</w:t>
      </w:r>
      <w:r w:rsidRPr="009E4AB1">
        <w:fldChar w:fldCharType="end"/>
      </w:r>
      <w:r>
        <w:t>.</w:t>
      </w:r>
    </w:p>
    <w:p w14:paraId="0FDBFBF0" w14:textId="77777777" w:rsidR="00676882" w:rsidRDefault="00676882" w:rsidP="00676882">
      <w:pPr>
        <w:pStyle w:val="Heading4AP"/>
      </w:pPr>
      <w:r>
        <w:lastRenderedPageBreak/>
        <w:t>Health benefits</w:t>
      </w:r>
    </w:p>
    <w:p w14:paraId="055CD612" w14:textId="77777777" w:rsidR="00676882" w:rsidRDefault="00676882" w:rsidP="00676882">
      <w:pPr>
        <w:pStyle w:val="Heading5AP"/>
      </w:pPr>
      <w:bookmarkStart w:id="386" w:name="_Toc76145529"/>
      <w:r>
        <w:t>Health benefits from improved air quality</w:t>
      </w:r>
      <w:bookmarkEnd w:id="386"/>
    </w:p>
    <w:p w14:paraId="558D26A3" w14:textId="77777777" w:rsidR="00676882" w:rsidRDefault="00676882" w:rsidP="00676882">
      <w:r>
        <w:t>The mining and combustion of coal for electricity generation in Australia produces air pollution containing particulate matter, nitrogen oxides, sulphur dioxide, as well as other emissions. These can cause health problems such as respiratory illness and can also affect local economies.</w:t>
      </w:r>
    </w:p>
    <w:p w14:paraId="23101A9A" w14:textId="77777777" w:rsidR="00676882" w:rsidRDefault="00676882" w:rsidP="00676882">
      <w:r>
        <w:t>Particulate matter, sulphur dioxide and nitrogen oxides are the main power station emissions contributing to health damage costs. These emissions are associated with respiratory and cardiac diseases.</w:t>
      </w:r>
    </w:p>
    <w:p w14:paraId="3BD94230" w14:textId="77777777" w:rsidR="00676882" w:rsidRDefault="00676882" w:rsidP="00676882">
      <w:r>
        <w:t>The estimate of the economic impact associated with the health damage costs from these emissions is based on estimates of h</w:t>
      </w:r>
      <w:r w:rsidRPr="00711398">
        <w:t>ealth</w:t>
      </w:r>
      <w:r>
        <w:t xml:space="preserve"> </w:t>
      </w:r>
      <w:r w:rsidRPr="00711398">
        <w:t>benefits</w:t>
      </w:r>
      <w:r>
        <w:t xml:space="preserve"> </w:t>
      </w:r>
      <w:r w:rsidRPr="00711398">
        <w:t>of</w:t>
      </w:r>
      <w:r>
        <w:t xml:space="preserve"> </w:t>
      </w:r>
      <w:r w:rsidRPr="00711398">
        <w:t>implementing</w:t>
      </w:r>
      <w:r>
        <w:t xml:space="preserve"> </w:t>
      </w:r>
      <w:r w:rsidRPr="00711398">
        <w:t>energy</w:t>
      </w:r>
      <w:r>
        <w:t xml:space="preserve"> </w:t>
      </w:r>
      <w:r w:rsidRPr="00711398">
        <w:t>efficiency</w:t>
      </w:r>
      <w:r>
        <w:t xml:space="preserve"> </w:t>
      </w:r>
      <w:r w:rsidRPr="00711398">
        <w:t>and</w:t>
      </w:r>
      <w:r>
        <w:t xml:space="preserve"> </w:t>
      </w:r>
      <w:r w:rsidRPr="00711398">
        <w:t>clean</w:t>
      </w:r>
      <w:r>
        <w:t xml:space="preserve"> </w:t>
      </w:r>
      <w:r w:rsidRPr="00711398">
        <w:t>energy</w:t>
      </w:r>
      <w:r>
        <w:t xml:space="preserve"> </w:t>
      </w:r>
      <w:r w:rsidRPr="00711398">
        <w:t>measures</w:t>
      </w:r>
      <w:r>
        <w:t xml:space="preserve"> produced by </w:t>
      </w:r>
      <w:r w:rsidRPr="00711398">
        <w:t>Scorgie</w:t>
      </w:r>
      <w:r>
        <w:t xml:space="preserve"> et al. </w:t>
      </w:r>
      <w:sdt>
        <w:sdtPr>
          <w:id w:val="-114838264"/>
          <w:citation/>
        </w:sdtPr>
        <w:sdtContent>
          <w:r>
            <w:fldChar w:fldCharType="begin"/>
          </w:r>
          <w:r>
            <w:instrText xml:space="preserve">CITATION Sco191 \n  \t  \l 3081 </w:instrText>
          </w:r>
          <w:r>
            <w:fldChar w:fldCharType="separate"/>
          </w:r>
          <w:r>
            <w:rPr>
              <w:noProof/>
            </w:rPr>
            <w:t>(2019)</w:t>
          </w:r>
          <w:r>
            <w:fldChar w:fldCharType="end"/>
          </w:r>
        </w:sdtContent>
      </w:sdt>
      <w:r>
        <w:t xml:space="preserve"> for the NSW Government. In this report, the authors estimated health damage costs of coal-powered electricity generation of AUD$2.40 per MWh of total energy generation.</w:t>
      </w:r>
      <w:r>
        <w:rPr>
          <w:rStyle w:val="FootnoteReference"/>
        </w:rPr>
        <w:footnoteReference w:id="16"/>
      </w:r>
    </w:p>
    <w:p w14:paraId="18CD06C7" w14:textId="77777777" w:rsidR="00676882" w:rsidRDefault="00676882" w:rsidP="00676882">
      <w:r>
        <w:t>As the estimates in this study were in 2016 dollars, the $2.40 per MWh figure was converted into 2021 dollars using inflation rate estimates from the ABS. This produces a 2021 figure of $2.58 per MWh (b</w:t>
      </w:r>
      <w:r w:rsidRPr="00C62F51">
        <w:t>eing</w:t>
      </w:r>
      <w:r>
        <w:t xml:space="preserve"> </w:t>
      </w:r>
      <w:r w:rsidRPr="00C62F51">
        <w:t>for</w:t>
      </w:r>
      <w:r>
        <w:t xml:space="preserve"> </w:t>
      </w:r>
      <w:r w:rsidRPr="00C62F51">
        <w:t>NSW,</w:t>
      </w:r>
      <w:r>
        <w:t xml:space="preserve"> </w:t>
      </w:r>
      <w:r w:rsidRPr="00C62F51">
        <w:t>this</w:t>
      </w:r>
      <w:r>
        <w:t xml:space="preserve"> </w:t>
      </w:r>
      <w:r w:rsidRPr="00C62F51">
        <w:t>figure</w:t>
      </w:r>
      <w:r>
        <w:t xml:space="preserve"> </w:t>
      </w:r>
      <w:r w:rsidRPr="00C62F51">
        <w:t>relate</w:t>
      </w:r>
      <w:r>
        <w:t xml:space="preserve">s </w:t>
      </w:r>
      <w:r w:rsidRPr="00C62F51">
        <w:t>to</w:t>
      </w:r>
      <w:r>
        <w:t xml:space="preserve"> </w:t>
      </w:r>
      <w:r w:rsidRPr="00C62F51">
        <w:t>electricity</w:t>
      </w:r>
      <w:r>
        <w:t xml:space="preserve"> </w:t>
      </w:r>
      <w:r w:rsidRPr="00C62F51">
        <w:t>generated</w:t>
      </w:r>
      <w:r>
        <w:t xml:space="preserve"> </w:t>
      </w:r>
      <w:r w:rsidRPr="00C62F51">
        <w:t>from</w:t>
      </w:r>
      <w:r>
        <w:t xml:space="preserve"> </w:t>
      </w:r>
      <w:r w:rsidRPr="00C62F51">
        <w:t>black</w:t>
      </w:r>
      <w:r>
        <w:t xml:space="preserve"> </w:t>
      </w:r>
      <w:r w:rsidRPr="00C62F51">
        <w:t>coal</w:t>
      </w:r>
      <w:r>
        <w:t xml:space="preserve">). </w:t>
      </w:r>
    </w:p>
    <w:p w14:paraId="0C89C3E2" w14:textId="77777777" w:rsidR="00676882" w:rsidRDefault="00676882" w:rsidP="00676882">
      <w:r>
        <w:t xml:space="preserve">This figure was then multiplied by the difference in the electricity generated from coal in NSW sourced from our </w:t>
      </w:r>
      <w:r w:rsidRPr="00625635">
        <w:t>proprietary</w:t>
      </w:r>
      <w:r>
        <w:t xml:space="preserve"> </w:t>
      </w:r>
      <w:r w:rsidRPr="00625635">
        <w:t>model</w:t>
      </w:r>
      <w:r>
        <w:t xml:space="preserve"> </w:t>
      </w:r>
      <w:r w:rsidRPr="00914BE9">
        <w:rPr>
          <w:i/>
          <w:iCs/>
        </w:rPr>
        <w:t>PowerMark</w:t>
      </w:r>
      <w:r>
        <w:t>.</w:t>
      </w:r>
    </w:p>
    <w:p w14:paraId="1C2C6270" w14:textId="77777777" w:rsidR="00676882" w:rsidRDefault="00676882" w:rsidP="00676882">
      <w:pPr>
        <w:pStyle w:val="BodyText"/>
      </w:pPr>
      <w:r>
        <w:t xml:space="preserve">In addition to health benefits from reduced pollution from coal generated electricity, we used estimates from the </w:t>
      </w:r>
      <w:r w:rsidRPr="00DA7E2B">
        <w:t>Australian</w:t>
      </w:r>
      <w:r>
        <w:t xml:space="preserve"> </w:t>
      </w:r>
      <w:r w:rsidRPr="00DA7E2B">
        <w:t>Academy</w:t>
      </w:r>
      <w:r>
        <w:t xml:space="preserve"> </w:t>
      </w:r>
      <w:r w:rsidRPr="00DA7E2B">
        <w:t>of</w:t>
      </w:r>
      <w:r>
        <w:t xml:space="preserve"> </w:t>
      </w:r>
      <w:r w:rsidRPr="00DA7E2B">
        <w:t>Technological</w:t>
      </w:r>
      <w:r>
        <w:t xml:space="preserve"> </w:t>
      </w:r>
      <w:r w:rsidRPr="00DA7E2B">
        <w:t>Sciences</w:t>
      </w:r>
      <w:r>
        <w:t xml:space="preserve"> </w:t>
      </w:r>
      <w:r w:rsidRPr="00DA7E2B">
        <w:t>and</w:t>
      </w:r>
      <w:r>
        <w:t xml:space="preserve"> </w:t>
      </w:r>
      <w:r w:rsidRPr="00DA7E2B">
        <w:t>Engineering</w:t>
      </w:r>
      <w:r>
        <w:t xml:space="preserve"> </w:t>
      </w:r>
      <w:r w:rsidRPr="00DA7E2B">
        <w:t>(ATSE) report</w:t>
      </w:r>
      <w:r>
        <w:t xml:space="preserve"> </w:t>
      </w:r>
      <w:r w:rsidRPr="00DA7E2B">
        <w:t>on</w:t>
      </w:r>
      <w:r>
        <w:t xml:space="preserve"> </w:t>
      </w:r>
      <w:r w:rsidRPr="00DA7E2B">
        <w:t>the</w:t>
      </w:r>
      <w:r>
        <w:t xml:space="preserve"> </w:t>
      </w:r>
      <w:r w:rsidRPr="00DA7E2B">
        <w:t>Hidden</w:t>
      </w:r>
      <w:r>
        <w:t xml:space="preserve"> </w:t>
      </w:r>
      <w:r w:rsidRPr="00DA7E2B">
        <w:t>Costs</w:t>
      </w:r>
      <w:r>
        <w:t xml:space="preserve"> </w:t>
      </w:r>
      <w:r w:rsidRPr="00DA7E2B">
        <w:t>of</w:t>
      </w:r>
      <w:r>
        <w:t xml:space="preserve"> </w:t>
      </w:r>
      <w:r w:rsidRPr="00DA7E2B">
        <w:t>Electricity</w:t>
      </w:r>
      <w:r>
        <w:t xml:space="preserve"> </w:t>
      </w:r>
      <w:r w:rsidRPr="00DA7E2B">
        <w:t>Generation</w:t>
      </w:r>
      <w:sdt>
        <w:sdtPr>
          <w:id w:val="477971611"/>
          <w:citation/>
        </w:sdtPr>
        <w:sdtContent>
          <w:r>
            <w:fldChar w:fldCharType="begin"/>
          </w:r>
          <w:r>
            <w:instrText xml:space="preserve"> CITATION ATS21 \l 3081 </w:instrText>
          </w:r>
          <w:r>
            <w:fldChar w:fldCharType="separate"/>
          </w:r>
          <w:r>
            <w:rPr>
              <w:noProof/>
            </w:rPr>
            <w:t xml:space="preserve"> (ATSE, 2021)</w:t>
          </w:r>
          <w:r>
            <w:fldChar w:fldCharType="end"/>
          </w:r>
        </w:sdtContent>
      </w:sdt>
      <w:r>
        <w:t xml:space="preserve"> on the health costs associated with emissions from </w:t>
      </w:r>
      <w:r w:rsidRPr="00CE21E7">
        <w:t>Australian</w:t>
      </w:r>
      <w:r>
        <w:t xml:space="preserve"> </w:t>
      </w:r>
      <w:r w:rsidRPr="00CE21E7">
        <w:t>combined</w:t>
      </w:r>
      <w:r>
        <w:t xml:space="preserve"> </w:t>
      </w:r>
      <w:r w:rsidRPr="00CE21E7">
        <w:t>cycle</w:t>
      </w:r>
      <w:r>
        <w:t xml:space="preserve"> </w:t>
      </w:r>
      <w:r w:rsidRPr="00CE21E7">
        <w:t>gas</w:t>
      </w:r>
      <w:r>
        <w:t xml:space="preserve"> </w:t>
      </w:r>
      <w:r w:rsidRPr="00CE21E7">
        <w:t>power</w:t>
      </w:r>
      <w:r>
        <w:t xml:space="preserve"> </w:t>
      </w:r>
      <w:r w:rsidRPr="00CE21E7">
        <w:t>stations</w:t>
      </w:r>
      <w:r>
        <w:t xml:space="preserve"> ($0.74 per MWh in 2009 dollars) to estimate the health benefits from reductions in gas-generated electricity and reductions in natural gas use.</w:t>
      </w:r>
      <w:r>
        <w:rPr>
          <w:rStyle w:val="FootnoteReference"/>
        </w:rPr>
        <w:footnoteReference w:id="17"/>
      </w:r>
      <w:r>
        <w:t xml:space="preserve"> In 2021 dollars this figure is $0.93 per MWh. This figure was then multiplied by the difference in the electricity generated from gas over time sourced from our </w:t>
      </w:r>
      <w:r w:rsidRPr="00625635">
        <w:t>proprietary</w:t>
      </w:r>
      <w:r>
        <w:t xml:space="preserve"> </w:t>
      </w:r>
      <w:r w:rsidRPr="00625635">
        <w:t>model</w:t>
      </w:r>
      <w:r>
        <w:t xml:space="preserve"> </w:t>
      </w:r>
      <w:r w:rsidRPr="00914BE9">
        <w:rPr>
          <w:i/>
          <w:iCs/>
        </w:rPr>
        <w:t>PowerMark</w:t>
      </w:r>
      <w:r>
        <w:rPr>
          <w:i/>
          <w:iCs/>
        </w:rPr>
        <w:t xml:space="preserve"> </w:t>
      </w:r>
      <w:r w:rsidRPr="004A138B">
        <w:t>and</w:t>
      </w:r>
      <w:r>
        <w:t xml:space="preserve"> the gas savings calculated previously.</w:t>
      </w:r>
    </w:p>
    <w:p w14:paraId="6DC9120A" w14:textId="77777777" w:rsidR="00676882" w:rsidRDefault="00676882" w:rsidP="00676882">
      <w:pPr>
        <w:pStyle w:val="Heading5AP"/>
      </w:pPr>
      <w:r>
        <w:t>Health benefits from improved thermal comfort</w:t>
      </w:r>
    </w:p>
    <w:p w14:paraId="55C6020B" w14:textId="77777777" w:rsidR="00676882" w:rsidRDefault="00676882" w:rsidP="00676882">
      <w:pPr>
        <w:pStyle w:val="BodyText"/>
      </w:pPr>
      <w:r>
        <w:t>The health benefits from improved thermal comfort used in the sensitivity analysis have been estimated by drawing on the outcomes of New Zealand’s Warm Up New Zealand: Heat Smart program. No similar research has been published to date that quantifies the health benefits in Australia.</w:t>
      </w:r>
    </w:p>
    <w:p w14:paraId="284935F1" w14:textId="77777777" w:rsidR="00676882" w:rsidRDefault="00676882" w:rsidP="00676882">
      <w:pPr>
        <w:pStyle w:val="BodyText"/>
      </w:pPr>
      <w:r>
        <w:t xml:space="preserve">A cost-benefit analysis of the New Zealand Government’s Warm Up New Zealand: Heat Smart program indicated that it has generated considerable health benefits. Under the program, subsidies are provided towards the cost of retrofitting insulation and/or installing energy-efficient heating for pre-2000 houses. </w:t>
      </w:r>
    </w:p>
    <w:p w14:paraId="1BA71F24" w14:textId="77777777" w:rsidR="00676882" w:rsidRDefault="00676882" w:rsidP="00676882">
      <w:pPr>
        <w:pStyle w:val="BodyText"/>
      </w:pPr>
      <w:r>
        <w:t xml:space="preserve">To estimate the health savings of the ceiling insulation upgrades, addresses of houses that had received treatment were matched with similar houses to provide a control group of addresses. Data were then obtained on hospitalisation and pharmaceutical costs of the treatment and control </w:t>
      </w:r>
      <w:r>
        <w:lastRenderedPageBreak/>
        <w:t xml:space="preserve">groups; benefits were estimated using the difference between treated and untreated houses. Additional benefits were estimated from previous studies under the NZ Heating, Housing and Health Study; these included reduced medical visits, reduced days off school or work and associated reductions in caregiver costs. </w:t>
      </w:r>
    </w:p>
    <w:p w14:paraId="75627194" w14:textId="77777777" w:rsidR="00676882" w:rsidRDefault="00676882" w:rsidP="00676882">
      <w:pPr>
        <w:pStyle w:val="BodyText"/>
      </w:pPr>
      <w:r>
        <w:t xml:space="preserve">The Heat Smart cost-benefit analysis estimated health benefits of NZD 854 per dwelling per annum for community service card holders and NZD 336 per dwelling per annum for other households </w:t>
      </w:r>
      <w:sdt>
        <w:sdtPr>
          <w:id w:val="1257644671"/>
          <w:citation/>
        </w:sdtPr>
        <w:sdtContent>
          <w:r>
            <w:fldChar w:fldCharType="begin"/>
          </w:r>
          <w:r>
            <w:rPr>
              <w:lang w:val="en-US"/>
            </w:rPr>
            <w:instrText xml:space="preserve">CITATION Gri12 \l 1033 </w:instrText>
          </w:r>
          <w:r>
            <w:fldChar w:fldCharType="separate"/>
          </w:r>
          <w:r>
            <w:rPr>
              <w:noProof/>
              <w:lang w:val="en-US"/>
            </w:rPr>
            <w:t>(Grimes, Denne, &amp; Howden-Chapman, 2012)</w:t>
          </w:r>
          <w:r>
            <w:fldChar w:fldCharType="end"/>
          </w:r>
        </w:sdtContent>
      </w:sdt>
      <w:r>
        <w:t xml:space="preserve">. A breakdown of these estimated health benefits is provided in </w:t>
      </w:r>
      <w:r w:rsidRPr="009E4AB1">
        <w:fldChar w:fldCharType="begin"/>
      </w:r>
      <w:r w:rsidRPr="009E4AB1">
        <w:instrText xml:space="preserve"> REF _Ref80699457 \h  \* MERGEFORMAT </w:instrText>
      </w:r>
      <w:r w:rsidRPr="009E4AB1">
        <w:fldChar w:fldCharType="separate"/>
      </w:r>
      <w:r w:rsidRPr="00F32FCC">
        <w:t>Table B.2</w:t>
      </w:r>
      <w:r w:rsidRPr="009E4AB1">
        <w:fldChar w:fldCharType="end"/>
      </w:r>
      <w:r>
        <w:t>. A large proportion of the health benefits are attributable to reduced mortality.</w:t>
      </w:r>
    </w:p>
    <w:p w14:paraId="5CAC423C" w14:textId="77777777" w:rsidR="00676882" w:rsidRDefault="00676882" w:rsidP="00676882">
      <w:pPr>
        <w:pStyle w:val="Caption"/>
      </w:pPr>
      <w:bookmarkStart w:id="387" w:name="_Ref80699457"/>
      <w:bookmarkStart w:id="388" w:name="_Toc80719339"/>
      <w:r w:rsidRPr="00A60B3F">
        <w:rPr>
          <w:rStyle w:val="CaptionLabel"/>
        </w:rPr>
        <w:t>Table </w:t>
      </w:r>
      <w:r w:rsidRPr="00A60B3F">
        <w:rPr>
          <w:rStyle w:val="CaptionLabel"/>
        </w:rPr>
        <w:fldChar w:fldCharType="begin"/>
      </w:r>
      <w:r w:rsidRPr="00A60B3F">
        <w:rPr>
          <w:rStyle w:val="CaptionLabel"/>
        </w:rPr>
        <w:instrText xml:space="preserve"> STYLEREF 9 \S \* MERGEFORMAT </w:instrText>
      </w:r>
      <w:r w:rsidRPr="00A60B3F">
        <w:rPr>
          <w:rStyle w:val="CaptionLabel"/>
        </w:rPr>
        <w:fldChar w:fldCharType="separate"/>
      </w:r>
      <w:r>
        <w:rPr>
          <w:rStyle w:val="CaptionLabel"/>
          <w:noProof/>
        </w:rPr>
        <w:t>B</w:t>
      </w:r>
      <w:r w:rsidRPr="00A60B3F">
        <w:rPr>
          <w:rStyle w:val="CaptionLabel"/>
        </w:rPr>
        <w:fldChar w:fldCharType="end"/>
      </w:r>
      <w:r w:rsidRPr="00A60B3F">
        <w:rPr>
          <w:rStyle w:val="CaptionLabel"/>
        </w:rPr>
        <w:t>.</w:t>
      </w:r>
      <w:r w:rsidRPr="00A60B3F">
        <w:rPr>
          <w:rStyle w:val="CaptionLabel"/>
        </w:rPr>
        <w:fldChar w:fldCharType="begin"/>
      </w:r>
      <w:r w:rsidRPr="00A60B3F">
        <w:rPr>
          <w:rStyle w:val="CaptionLabel"/>
        </w:rPr>
        <w:instrText xml:space="preserve"> SEQ Table_AP \* ARABIC \S 9 \* MERGEFORMAT </w:instrText>
      </w:r>
      <w:r w:rsidRPr="00A60B3F">
        <w:rPr>
          <w:rStyle w:val="CaptionLabel"/>
        </w:rPr>
        <w:fldChar w:fldCharType="separate"/>
      </w:r>
      <w:r>
        <w:rPr>
          <w:rStyle w:val="CaptionLabel"/>
          <w:noProof/>
        </w:rPr>
        <w:t>2</w:t>
      </w:r>
      <w:r w:rsidRPr="00A60B3F">
        <w:rPr>
          <w:rStyle w:val="CaptionLabel"/>
        </w:rPr>
        <w:fldChar w:fldCharType="end"/>
      </w:r>
      <w:bookmarkEnd w:id="387"/>
      <w:r>
        <w:tab/>
        <w:t>Breakdown of estimated health benefits</w:t>
      </w:r>
      <w:bookmarkEnd w:id="388"/>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B.2"/>
        <w:tblDescription w:val="Breakdown of estimated health benefits"/>
      </w:tblPr>
      <w:tblGrid>
        <w:gridCol w:w="454"/>
        <w:gridCol w:w="4111"/>
        <w:gridCol w:w="1985"/>
        <w:gridCol w:w="1840"/>
      </w:tblGrid>
      <w:tr w:rsidR="00676882" w14:paraId="329BD5F6" w14:textId="77777777" w:rsidTr="00DF45FA">
        <w:trPr>
          <w:tblHeader/>
        </w:trPr>
        <w:tc>
          <w:tcPr>
            <w:tcW w:w="4565" w:type="dxa"/>
            <w:gridSpan w:val="2"/>
            <w:tcBorders>
              <w:top w:val="nil"/>
              <w:bottom w:val="nil"/>
            </w:tcBorders>
            <w:shd w:val="clear" w:color="auto" w:fill="140034"/>
            <w:tcMar>
              <w:left w:w="454" w:type="dxa"/>
            </w:tcMar>
          </w:tcPr>
          <w:p w14:paraId="5775E138" w14:textId="77777777" w:rsidR="00676882" w:rsidRDefault="00676882" w:rsidP="00DF45FA">
            <w:pPr>
              <w:pStyle w:val="Tablecolumnheadings"/>
            </w:pPr>
            <w:r>
              <w:t>Nature of benefit</w:t>
            </w:r>
          </w:p>
        </w:tc>
        <w:tc>
          <w:tcPr>
            <w:tcW w:w="1985" w:type="dxa"/>
            <w:tcBorders>
              <w:top w:val="nil"/>
              <w:bottom w:val="nil"/>
            </w:tcBorders>
            <w:shd w:val="clear" w:color="auto" w:fill="140034"/>
          </w:tcPr>
          <w:p w14:paraId="604E10FC" w14:textId="77777777" w:rsidR="00676882" w:rsidRDefault="00676882" w:rsidP="00DF45FA">
            <w:pPr>
              <w:pStyle w:val="Tablecolumnheadings"/>
              <w:jc w:val="center"/>
            </w:pPr>
            <w:r>
              <w:t>Community service card holders</w:t>
            </w:r>
          </w:p>
        </w:tc>
        <w:tc>
          <w:tcPr>
            <w:tcW w:w="1840" w:type="dxa"/>
            <w:tcBorders>
              <w:top w:val="nil"/>
              <w:bottom w:val="nil"/>
              <w:right w:val="single" w:sz="6" w:space="0" w:color="140034"/>
            </w:tcBorders>
            <w:shd w:val="clear" w:color="auto" w:fill="140034"/>
          </w:tcPr>
          <w:p w14:paraId="2DEE861D" w14:textId="77777777" w:rsidR="00676882" w:rsidRDefault="00676882" w:rsidP="00DF45FA">
            <w:pPr>
              <w:pStyle w:val="Tablecolumnheadings"/>
              <w:jc w:val="center"/>
            </w:pPr>
            <w:r>
              <w:t>Other households</w:t>
            </w:r>
          </w:p>
        </w:tc>
      </w:tr>
      <w:tr w:rsidR="00676882" w14:paraId="4B882CC8" w14:textId="77777777" w:rsidTr="00DF45FA">
        <w:trPr>
          <w:gridBefore w:val="1"/>
          <w:wBefore w:w="454" w:type="dxa"/>
        </w:trPr>
        <w:tc>
          <w:tcPr>
            <w:tcW w:w="4111" w:type="dxa"/>
            <w:tcBorders>
              <w:top w:val="nil"/>
            </w:tcBorders>
            <w:shd w:val="clear" w:color="auto" w:fill="auto"/>
          </w:tcPr>
          <w:p w14:paraId="1F6C0687" w14:textId="77777777" w:rsidR="00676882" w:rsidRDefault="00676882" w:rsidP="00DF45FA">
            <w:pPr>
              <w:pStyle w:val="Tabletext"/>
            </w:pPr>
            <w:r>
              <w:t>Hospitalisation and pharmaceutical use related benefits</w:t>
            </w:r>
          </w:p>
        </w:tc>
        <w:tc>
          <w:tcPr>
            <w:tcW w:w="1985" w:type="dxa"/>
            <w:tcBorders>
              <w:top w:val="nil"/>
            </w:tcBorders>
            <w:shd w:val="clear" w:color="auto" w:fill="auto"/>
          </w:tcPr>
          <w:p w14:paraId="0E431973" w14:textId="77777777" w:rsidR="00676882" w:rsidRDefault="00676882" w:rsidP="00DF45FA">
            <w:pPr>
              <w:pStyle w:val="Tabletext"/>
              <w:jc w:val="center"/>
            </w:pPr>
            <w:r>
              <w:t>13%</w:t>
            </w:r>
          </w:p>
        </w:tc>
        <w:tc>
          <w:tcPr>
            <w:tcW w:w="1840" w:type="dxa"/>
            <w:tcBorders>
              <w:top w:val="nil"/>
            </w:tcBorders>
            <w:shd w:val="clear" w:color="auto" w:fill="auto"/>
          </w:tcPr>
          <w:p w14:paraId="3F34114A" w14:textId="77777777" w:rsidR="00676882" w:rsidRDefault="00676882" w:rsidP="00DF45FA">
            <w:pPr>
              <w:pStyle w:val="Tabletext"/>
              <w:jc w:val="center"/>
            </w:pPr>
            <w:r>
              <w:t>3%</w:t>
            </w:r>
          </w:p>
        </w:tc>
      </w:tr>
      <w:tr w:rsidR="00676882" w14:paraId="2E531AE7" w14:textId="77777777" w:rsidTr="00DF45FA">
        <w:trPr>
          <w:gridBefore w:val="1"/>
          <w:wBefore w:w="454" w:type="dxa"/>
        </w:trPr>
        <w:tc>
          <w:tcPr>
            <w:tcW w:w="4111" w:type="dxa"/>
            <w:shd w:val="clear" w:color="auto" w:fill="auto"/>
          </w:tcPr>
          <w:p w14:paraId="422AD9E2" w14:textId="77777777" w:rsidR="00676882" w:rsidRDefault="00676882" w:rsidP="00DF45FA">
            <w:pPr>
              <w:pStyle w:val="Tabletext"/>
            </w:pPr>
            <w:r>
              <w:t>Benefits imputed from previous studies (reduced medical visits, reduced days of school or work)</w:t>
            </w:r>
          </w:p>
        </w:tc>
        <w:tc>
          <w:tcPr>
            <w:tcW w:w="1985" w:type="dxa"/>
            <w:shd w:val="clear" w:color="auto" w:fill="auto"/>
          </w:tcPr>
          <w:p w14:paraId="00F59C28" w14:textId="77777777" w:rsidR="00676882" w:rsidRDefault="00676882" w:rsidP="00DF45FA">
            <w:pPr>
              <w:pStyle w:val="Tabletext"/>
              <w:jc w:val="center"/>
            </w:pPr>
            <w:r>
              <w:t>11%</w:t>
            </w:r>
          </w:p>
        </w:tc>
        <w:tc>
          <w:tcPr>
            <w:tcW w:w="1840" w:type="dxa"/>
            <w:shd w:val="clear" w:color="auto" w:fill="auto"/>
          </w:tcPr>
          <w:p w14:paraId="697450F8" w14:textId="77777777" w:rsidR="00676882" w:rsidRDefault="00676882" w:rsidP="00DF45FA">
            <w:pPr>
              <w:pStyle w:val="Tabletext"/>
              <w:jc w:val="center"/>
            </w:pPr>
            <w:r>
              <w:t>28%</w:t>
            </w:r>
          </w:p>
        </w:tc>
      </w:tr>
      <w:tr w:rsidR="00676882" w14:paraId="1D96EA29" w14:textId="77777777" w:rsidTr="00DF45FA">
        <w:trPr>
          <w:gridBefore w:val="1"/>
          <w:wBefore w:w="454" w:type="dxa"/>
        </w:trPr>
        <w:tc>
          <w:tcPr>
            <w:tcW w:w="4111" w:type="dxa"/>
            <w:shd w:val="clear" w:color="auto" w:fill="auto"/>
          </w:tcPr>
          <w:p w14:paraId="453BE8EF" w14:textId="77777777" w:rsidR="00676882" w:rsidRDefault="00676882" w:rsidP="00DF45FA">
            <w:pPr>
              <w:pStyle w:val="Tabletext"/>
            </w:pPr>
            <w:r>
              <w:t>Value of reduced mortality</w:t>
            </w:r>
          </w:p>
        </w:tc>
        <w:tc>
          <w:tcPr>
            <w:tcW w:w="1985" w:type="dxa"/>
            <w:shd w:val="clear" w:color="auto" w:fill="auto"/>
          </w:tcPr>
          <w:p w14:paraId="2663EA93" w14:textId="77777777" w:rsidR="00676882" w:rsidRDefault="00676882" w:rsidP="00DF45FA">
            <w:pPr>
              <w:pStyle w:val="Tabletext"/>
              <w:jc w:val="center"/>
            </w:pPr>
            <w:r>
              <w:t>76%</w:t>
            </w:r>
          </w:p>
        </w:tc>
        <w:tc>
          <w:tcPr>
            <w:tcW w:w="1840" w:type="dxa"/>
            <w:shd w:val="clear" w:color="auto" w:fill="auto"/>
          </w:tcPr>
          <w:p w14:paraId="622AC365" w14:textId="77777777" w:rsidR="00676882" w:rsidRDefault="00676882" w:rsidP="00DF45FA">
            <w:pPr>
              <w:pStyle w:val="Tabletext"/>
              <w:jc w:val="center"/>
            </w:pPr>
            <w:r>
              <w:t>68%</w:t>
            </w:r>
          </w:p>
        </w:tc>
      </w:tr>
      <w:tr w:rsidR="00676882" w14:paraId="7CF4F5A2" w14:textId="77777777" w:rsidTr="00DF45FA">
        <w:trPr>
          <w:gridBefore w:val="1"/>
          <w:wBefore w:w="454" w:type="dxa"/>
        </w:trPr>
        <w:tc>
          <w:tcPr>
            <w:tcW w:w="7936" w:type="dxa"/>
            <w:gridSpan w:val="3"/>
            <w:tcBorders>
              <w:bottom w:val="single" w:sz="4" w:space="0" w:color="646464"/>
            </w:tcBorders>
            <w:shd w:val="clear" w:color="auto" w:fill="auto"/>
          </w:tcPr>
          <w:p w14:paraId="41A1F306" w14:textId="77777777" w:rsidR="00676882" w:rsidRDefault="00676882" w:rsidP="00DF45FA">
            <w:pPr>
              <w:pStyle w:val="Source"/>
            </w:pPr>
            <w:r>
              <w:t>Source:</w:t>
            </w:r>
            <w:sdt>
              <w:sdtPr>
                <w:id w:val="-1633250067"/>
                <w:citation/>
              </w:sdtPr>
              <w:sdtContent>
                <w:r>
                  <w:fldChar w:fldCharType="begin"/>
                </w:r>
                <w:r>
                  <w:rPr>
                    <w:lang w:val="en-US"/>
                  </w:rPr>
                  <w:instrText xml:space="preserve"> CITATION Gri12 \l 1033 </w:instrText>
                </w:r>
                <w:r>
                  <w:fldChar w:fldCharType="separate"/>
                </w:r>
                <w:r>
                  <w:rPr>
                    <w:noProof/>
                    <w:lang w:val="en-US"/>
                  </w:rPr>
                  <w:t xml:space="preserve"> (Grimes, Denne, &amp; Howden-Chapman, 2012)</w:t>
                </w:r>
                <w:r>
                  <w:fldChar w:fldCharType="end"/>
                </w:r>
              </w:sdtContent>
            </w:sdt>
          </w:p>
        </w:tc>
      </w:tr>
      <w:tr w:rsidR="00676882" w14:paraId="3E50CA51" w14:textId="77777777" w:rsidTr="00DF45FA">
        <w:trPr>
          <w:gridBefore w:val="1"/>
          <w:wBefore w:w="454" w:type="dxa"/>
          <w:trHeight w:hRule="exact" w:val="160"/>
        </w:trPr>
        <w:tc>
          <w:tcPr>
            <w:tcW w:w="7936" w:type="dxa"/>
            <w:gridSpan w:val="3"/>
            <w:tcBorders>
              <w:top w:val="single" w:sz="4" w:space="0" w:color="646464"/>
              <w:bottom w:val="nil"/>
            </w:tcBorders>
            <w:shd w:val="clear" w:color="auto" w:fill="auto"/>
          </w:tcPr>
          <w:p w14:paraId="5C803A7E" w14:textId="77777777" w:rsidR="00676882" w:rsidRDefault="00676882" w:rsidP="00DF45FA">
            <w:pPr>
              <w:pStyle w:val="spacer"/>
            </w:pPr>
          </w:p>
        </w:tc>
      </w:tr>
    </w:tbl>
    <w:p w14:paraId="3C6E5766" w14:textId="77777777" w:rsidR="00676882" w:rsidRDefault="00676882" w:rsidP="00676882">
      <w:pPr>
        <w:pStyle w:val="BodyText"/>
      </w:pPr>
      <w:r>
        <w:t>The New Zealand study did not quantify the comfort benefits associated with additional interior warmth.</w:t>
      </w:r>
    </w:p>
    <w:p w14:paraId="701BB2F4" w14:textId="77777777" w:rsidR="00676882" w:rsidRDefault="00676882" w:rsidP="00676882">
      <w:pPr>
        <w:pStyle w:val="BodyText"/>
      </w:pPr>
      <w:proofErr w:type="gramStart"/>
      <w:r>
        <w:t>The vast majority of</w:t>
      </w:r>
      <w:proofErr w:type="gramEnd"/>
      <w:r>
        <w:t xml:space="preserve"> the benefits was attributed to ceiling insulation upgrades rather than clean heating upgrades. The study also found that health benefits constituted 99 per cent of all program benefits, compared with 1 per cent for energy savings (from a societal perspective), indicating a high rebound effect.</w:t>
      </w:r>
    </w:p>
    <w:p w14:paraId="71AD1EBE" w14:textId="77777777" w:rsidR="00676882" w:rsidRDefault="00676882" w:rsidP="00676882">
      <w:pPr>
        <w:pStyle w:val="BodyText"/>
      </w:pPr>
      <w:r>
        <w:t>We estimated the health benefits for insulating an uninsulated class 1 or 2 building in the sensitivity analysis by drawing on the findings of the New Zealand study in combination with the following assumptions:</w:t>
      </w:r>
    </w:p>
    <w:p w14:paraId="198152A4" w14:textId="77777777" w:rsidR="00676882" w:rsidRDefault="00676882" w:rsidP="00676882">
      <w:pPr>
        <w:pStyle w:val="ListBullet"/>
      </w:pPr>
      <w:r>
        <w:t>an exchange rate of AUD0.95 for each NZD</w:t>
      </w:r>
    </w:p>
    <w:p w14:paraId="114C1B8C" w14:textId="77777777" w:rsidR="00676882" w:rsidRDefault="00676882" w:rsidP="00676882">
      <w:pPr>
        <w:pStyle w:val="ListBullet"/>
      </w:pPr>
      <w:r>
        <w:t>placing a 30 per cent weight on the benefits for community service card holders and 70 per cent for other households to arrive at an average health benefit per household</w:t>
      </w:r>
    </w:p>
    <w:p w14:paraId="2FC985A7" w14:textId="77777777" w:rsidR="00676882" w:rsidRDefault="00676882" w:rsidP="00676882">
      <w:pPr>
        <w:pStyle w:val="ListBullet"/>
      </w:pPr>
      <w:r w:rsidRPr="008A22FF">
        <w:t xml:space="preserve">a 30 per cent </w:t>
      </w:r>
      <w:r w:rsidRPr="004046A4">
        <w:t>downward</w:t>
      </w:r>
      <w:r>
        <w:t xml:space="preserve"> adjustment for the climatic differences between New Zealand and the Australian Capital Territory, and to account for the fact that the New Zealand program required both ceiling and underfloor insulation be installed wherever possible, and there was also funding for operational measures – clean heating, draught proofing, on-ground vapour barrier, pipe lagging and cylinder wrapping</w:t>
      </w:r>
    </w:p>
    <w:p w14:paraId="61192F8F" w14:textId="77777777" w:rsidR="00676882" w:rsidRDefault="00676882" w:rsidP="00676882">
      <w:pPr>
        <w:pStyle w:val="ListBullet"/>
      </w:pPr>
      <w:r>
        <w:t>scaling the benefits associated with reduced mortality by the difference in the Value of a Statistical Life assumed in the study and for Australia</w:t>
      </w:r>
      <w:r>
        <w:rPr>
          <w:rStyle w:val="FootnoteReference"/>
        </w:rPr>
        <w:footnoteReference w:id="18"/>
      </w:r>
    </w:p>
    <w:p w14:paraId="1E425D43" w14:textId="77777777" w:rsidR="00676882" w:rsidRDefault="00676882" w:rsidP="00676882">
      <w:pPr>
        <w:pStyle w:val="ListBullet"/>
      </w:pPr>
      <w:r>
        <w:t>scaling based on the rebound factor – the higher the rebound factor, the higher the proportion of estimated health benefits assumed</w:t>
      </w:r>
    </w:p>
    <w:p w14:paraId="7300A4C9" w14:textId="77777777" w:rsidR="00676882" w:rsidRDefault="00676882" w:rsidP="00676882">
      <w:pPr>
        <w:pStyle w:val="ListBullet"/>
      </w:pPr>
      <w:r>
        <w:t>escalating by the Consumer Price Index from 2012 to June 2021.</w:t>
      </w:r>
    </w:p>
    <w:p w14:paraId="7ABE9DDD" w14:textId="77777777" w:rsidR="00676882" w:rsidRDefault="00676882" w:rsidP="00676882">
      <w:pPr>
        <w:pStyle w:val="BodyText"/>
      </w:pPr>
      <w:r>
        <w:t xml:space="preserve">Under these assumptions, the health benefits from insulating an uninsulated Class 1 or 2 building, prior to scaling for the scenarios, were assumed to </w:t>
      </w:r>
      <w:r w:rsidRPr="008A22FF">
        <w:t>b</w:t>
      </w:r>
      <w:r w:rsidRPr="004046A4">
        <w:t xml:space="preserve">e </w:t>
      </w:r>
      <w:r>
        <w:t xml:space="preserve">valued at </w:t>
      </w:r>
      <w:r w:rsidRPr="004046A4">
        <w:t>$467</w:t>
      </w:r>
      <w:r>
        <w:t xml:space="preserve">. The health benefits for </w:t>
      </w:r>
      <w:r>
        <w:lastRenderedPageBreak/>
        <w:t>upgrading the insulation of a class 1 or 2 building were estimated by scaling the health benefits for an uninsulated building based on the difference in the energy required to heat or cool the building.</w:t>
      </w:r>
    </w:p>
    <w:p w14:paraId="7DBB2862" w14:textId="77777777" w:rsidR="00676882" w:rsidRDefault="00676882" w:rsidP="00676882">
      <w:pPr>
        <w:pStyle w:val="BodyText"/>
      </w:pPr>
      <w:r>
        <w:t xml:space="preserve">As discussed above, stakeholders discussed the reduced effectiveness of ceiling insulation if there are any gaps. We have assumed that the likelihood of gaps in the insulation will be greater when the ceiling insulation is installed by a DIYer rather than a professional. We have therefore discounted the health benefits by 20 per cent if the installation is undertaken by a DIYer rather than a professional. </w:t>
      </w:r>
    </w:p>
    <w:p w14:paraId="1009369C" w14:textId="77777777" w:rsidR="00676882" w:rsidRPr="00A60B3F" w:rsidRDefault="00676882" w:rsidP="00676882">
      <w:pPr>
        <w:pStyle w:val="BodyText"/>
      </w:pPr>
      <w:r>
        <w:t>A specific study would be required to understand thermal control and thermal comfort for ACT residents, given the unique combination of housing stock, demographics and climate. For example, the assumptions above will not account for the local conditions in Jervis Bay, or in the ACT’s more alpine areas.</w:t>
      </w:r>
    </w:p>
    <w:p w14:paraId="4C80ADA7" w14:textId="77777777" w:rsidR="00676882" w:rsidRDefault="00676882" w:rsidP="00676882">
      <w:pPr>
        <w:pStyle w:val="Heading4AP"/>
        <w:numPr>
          <w:ilvl w:val="3"/>
          <w:numId w:val="45"/>
        </w:numPr>
      </w:pPr>
      <w:r>
        <w:t>Reduced greenhouse gas emissions</w:t>
      </w:r>
    </w:p>
    <w:p w14:paraId="7F92B53C" w14:textId="77777777" w:rsidR="00676882" w:rsidRDefault="00676882" w:rsidP="00676882">
      <w:pPr>
        <w:pStyle w:val="BodyText"/>
      </w:pPr>
      <w:r>
        <w:t xml:space="preserve">The proposed minimum rental standards will also reduce greenhouse emissions from energy generation. In the case of the ACT, these reductions are likely to be modest because of its 100 per cent renewables electricity, so reductions in gas consumption or woodfired heating are likely to be the only significant source of emissions savings in the ACT. </w:t>
      </w:r>
    </w:p>
    <w:p w14:paraId="3A3FA945" w14:textId="77777777" w:rsidR="00676882" w:rsidRPr="00CF47F3" w:rsidRDefault="00676882" w:rsidP="00676882">
      <w:pPr>
        <w:pStyle w:val="BodyText"/>
      </w:pPr>
      <w:r w:rsidRPr="00CF47F3">
        <w:t>The</w:t>
      </w:r>
      <w:r>
        <w:t xml:space="preserve"> </w:t>
      </w:r>
      <w:r w:rsidRPr="00CF47F3">
        <w:t>avoided</w:t>
      </w:r>
      <w:r>
        <w:t xml:space="preserve"> </w:t>
      </w:r>
      <w:r w:rsidRPr="00CF47F3">
        <w:t>greenhouse</w:t>
      </w:r>
      <w:r>
        <w:t xml:space="preserve"> </w:t>
      </w:r>
      <w:r w:rsidRPr="00CF47F3">
        <w:t>gas</w:t>
      </w:r>
      <w:r>
        <w:t xml:space="preserve"> (</w:t>
      </w:r>
      <w:r w:rsidRPr="00CF47F3">
        <w:t>GHG</w:t>
      </w:r>
      <w:r>
        <w:t xml:space="preserve">) </w:t>
      </w:r>
      <w:r w:rsidRPr="00CF47F3">
        <w:t>emissions</w:t>
      </w:r>
      <w:r>
        <w:t xml:space="preserve"> associated with the minimum standards were </w:t>
      </w:r>
      <w:r w:rsidRPr="00CF47F3">
        <w:t>calculated</w:t>
      </w:r>
      <w:r>
        <w:t xml:space="preserve"> </w:t>
      </w:r>
      <w:r w:rsidRPr="00CF47F3">
        <w:t>by:</w:t>
      </w:r>
    </w:p>
    <w:p w14:paraId="374D9A41" w14:textId="77777777" w:rsidR="00676882" w:rsidRPr="00CF47F3" w:rsidRDefault="00676882" w:rsidP="00676882">
      <w:pPr>
        <w:pStyle w:val="ListBullet"/>
      </w:pPr>
      <w:r w:rsidRPr="00CF47F3">
        <w:t>estimating</w:t>
      </w:r>
      <w:r>
        <w:t xml:space="preserve"> </w:t>
      </w:r>
      <w:r w:rsidRPr="00CF47F3">
        <w:t>the</w:t>
      </w:r>
      <w:r>
        <w:t xml:space="preserve"> </w:t>
      </w:r>
      <w:r w:rsidRPr="00CF47F3">
        <w:t>reduction</w:t>
      </w:r>
      <w:r>
        <w:t xml:space="preserve"> </w:t>
      </w:r>
      <w:r w:rsidRPr="00CF47F3">
        <w:t>in</w:t>
      </w:r>
      <w:r>
        <w:t xml:space="preserve"> </w:t>
      </w:r>
      <w:r w:rsidRPr="00CF47F3">
        <w:t>GHG</w:t>
      </w:r>
      <w:r>
        <w:t xml:space="preserve"> </w:t>
      </w:r>
      <w:r w:rsidRPr="00CF47F3">
        <w:t>emissions</w:t>
      </w:r>
      <w:r>
        <w:t xml:space="preserve"> </w:t>
      </w:r>
      <w:r w:rsidRPr="00CF47F3">
        <w:t>associated</w:t>
      </w:r>
      <w:r>
        <w:t xml:space="preserve"> </w:t>
      </w:r>
      <w:r w:rsidRPr="00CF47F3">
        <w:t>with</w:t>
      </w:r>
      <w:r>
        <w:t xml:space="preserve"> </w:t>
      </w:r>
      <w:r w:rsidRPr="00CF47F3">
        <w:t>the</w:t>
      </w:r>
      <w:r>
        <w:t xml:space="preserve"> proposed changes </w:t>
      </w:r>
      <w:r w:rsidRPr="00CF47F3">
        <w:t>by</w:t>
      </w:r>
      <w:r>
        <w:t xml:space="preserve"> </w:t>
      </w:r>
      <w:r w:rsidRPr="00CF47F3">
        <w:t>applying</w:t>
      </w:r>
      <w:r>
        <w:t xml:space="preserve"> </w:t>
      </w:r>
      <w:r w:rsidRPr="00CF47F3">
        <w:t>appropriate</w:t>
      </w:r>
      <w:r>
        <w:t xml:space="preserve"> </w:t>
      </w:r>
      <w:r w:rsidRPr="00CF47F3">
        <w:t>emissions</w:t>
      </w:r>
      <w:r>
        <w:t xml:space="preserve"> </w:t>
      </w:r>
      <w:r w:rsidRPr="00CF47F3">
        <w:t>intensity</w:t>
      </w:r>
      <w:r>
        <w:t xml:space="preserve"> </w:t>
      </w:r>
      <w:r w:rsidRPr="00CF47F3">
        <w:t>factors</w:t>
      </w:r>
      <w:r>
        <w:t xml:space="preserve"> </w:t>
      </w:r>
      <w:r w:rsidRPr="00CF47F3">
        <w:t>to</w:t>
      </w:r>
      <w:r>
        <w:t xml:space="preserve"> </w:t>
      </w:r>
      <w:r w:rsidRPr="00CF47F3">
        <w:t>energy</w:t>
      </w:r>
      <w:r>
        <w:t xml:space="preserve"> </w:t>
      </w:r>
      <w:r w:rsidRPr="00CF47F3">
        <w:t>savings</w:t>
      </w:r>
      <w:r>
        <w:t xml:space="preserve"> </w:t>
      </w:r>
      <w:r w:rsidRPr="00CF47F3">
        <w:t>(by</w:t>
      </w:r>
      <w:r>
        <w:t xml:space="preserve"> </w:t>
      </w:r>
      <w:r w:rsidRPr="00CF47F3">
        <w:t>source)</w:t>
      </w:r>
    </w:p>
    <w:p w14:paraId="37236F74" w14:textId="77777777" w:rsidR="00676882" w:rsidRPr="00CF47F3" w:rsidRDefault="00676882" w:rsidP="00676882">
      <w:pPr>
        <w:pStyle w:val="ListBullet"/>
      </w:pPr>
      <w:r w:rsidRPr="00CF47F3">
        <w:t>estimating</w:t>
      </w:r>
      <w:r>
        <w:t xml:space="preserve"> </w:t>
      </w:r>
      <w:r w:rsidRPr="00CF47F3">
        <w:t>the</w:t>
      </w:r>
      <w:r>
        <w:t xml:space="preserve"> </w:t>
      </w:r>
      <w:r w:rsidRPr="00CF47F3">
        <w:t>costs</w:t>
      </w:r>
      <w:r>
        <w:t xml:space="preserve"> </w:t>
      </w:r>
      <w:r w:rsidRPr="00CF47F3">
        <w:t>of</w:t>
      </w:r>
      <w:r>
        <w:t xml:space="preserve"> </w:t>
      </w:r>
      <w:r w:rsidRPr="00CF47F3">
        <w:t>these</w:t>
      </w:r>
      <w:r>
        <w:t xml:space="preserve"> </w:t>
      </w:r>
      <w:r w:rsidRPr="00CF47F3">
        <w:t>emissions</w:t>
      </w:r>
      <w:r>
        <w:t xml:space="preserve"> </w:t>
      </w:r>
      <w:r w:rsidRPr="00CF47F3">
        <w:t>by</w:t>
      </w:r>
      <w:r>
        <w:t xml:space="preserve"> </w:t>
      </w:r>
      <w:r w:rsidRPr="00CF47F3">
        <w:t>applying</w:t>
      </w:r>
      <w:r>
        <w:t xml:space="preserve"> </w:t>
      </w:r>
      <w:r w:rsidRPr="00CF47F3">
        <w:t>an</w:t>
      </w:r>
      <w:r>
        <w:t xml:space="preserve"> </w:t>
      </w:r>
      <w:r w:rsidRPr="00CF47F3">
        <w:t>appropriate</w:t>
      </w:r>
      <w:r>
        <w:t xml:space="preserve"> </w:t>
      </w:r>
      <w:r w:rsidRPr="00CF47F3">
        <w:t>carbon</w:t>
      </w:r>
      <w:r>
        <w:t xml:space="preserve"> </w:t>
      </w:r>
      <w:r w:rsidRPr="00CF47F3">
        <w:t>price</w:t>
      </w:r>
      <w:r>
        <w:t xml:space="preserve"> </w:t>
      </w:r>
      <w:r w:rsidRPr="00CF47F3">
        <w:t>series.</w:t>
      </w:r>
    </w:p>
    <w:p w14:paraId="657785B0" w14:textId="77777777" w:rsidR="00676882" w:rsidRDefault="00676882" w:rsidP="00676882">
      <w:pPr>
        <w:pStyle w:val="BodyText"/>
      </w:pPr>
      <w:r>
        <w:t xml:space="preserve">More details about the information and assumptions used to produce these estimates are provided below. </w:t>
      </w:r>
    </w:p>
    <w:p w14:paraId="355094E5" w14:textId="77777777" w:rsidR="00676882" w:rsidRDefault="00676882" w:rsidP="00676882">
      <w:pPr>
        <w:pStyle w:val="Heading5AP"/>
      </w:pPr>
      <w:r>
        <w:t>Emissions intensity factors</w:t>
      </w:r>
    </w:p>
    <w:p w14:paraId="6F6CD481" w14:textId="77777777" w:rsidR="00676882" w:rsidRPr="00FE3E7E" w:rsidRDefault="00676882" w:rsidP="00676882">
      <w:pPr>
        <w:pStyle w:val="Heading6AP"/>
      </w:pPr>
      <w:r w:rsidRPr="00FE3E7E">
        <w:t>Gas</w:t>
      </w:r>
    </w:p>
    <w:p w14:paraId="3D21455C" w14:textId="77777777" w:rsidR="00676882" w:rsidRDefault="00676882" w:rsidP="00676882">
      <w:pPr>
        <w:pStyle w:val="BodyText"/>
      </w:pPr>
      <w:r>
        <w:t xml:space="preserve">For natural gas emissions, we used the latest estimates of emissions factors for natural gas consumption reported in the </w:t>
      </w:r>
      <w:r w:rsidRPr="00FF2924">
        <w:t>National</w:t>
      </w:r>
      <w:r>
        <w:t xml:space="preserve"> </w:t>
      </w:r>
      <w:r w:rsidRPr="00FF2924">
        <w:t>Greenhouse</w:t>
      </w:r>
      <w:r>
        <w:t xml:space="preserve"> </w:t>
      </w:r>
      <w:r w:rsidRPr="00FF2924">
        <w:t>Accounts</w:t>
      </w:r>
      <w:r>
        <w:t xml:space="preserve"> </w:t>
      </w:r>
      <w:r w:rsidRPr="00FF2924">
        <w:t>Factors</w:t>
      </w:r>
      <w:r>
        <w:t xml:space="preserve"> (Scope 1</w:t>
      </w:r>
      <w:r>
        <w:rPr>
          <w:rStyle w:val="FootnoteReference"/>
        </w:rPr>
        <w:footnoteReference w:id="19"/>
      </w:r>
      <w:r>
        <w:t xml:space="preserve"> and Scope 3</w:t>
      </w:r>
      <w:r>
        <w:rPr>
          <w:rStyle w:val="FootnoteReference"/>
        </w:rPr>
        <w:footnoteReference w:id="20"/>
      </w:r>
      <w:r>
        <w:t xml:space="preserve"> metro). </w:t>
      </w:r>
      <w:r w:rsidRPr="009E4AB1">
        <w:fldChar w:fldCharType="begin"/>
      </w:r>
      <w:r w:rsidRPr="009E4AB1">
        <w:instrText xml:space="preserve"> REF _Ref80257880 \h  \* MERGEFORMAT </w:instrText>
      </w:r>
      <w:r w:rsidRPr="009E4AB1">
        <w:fldChar w:fldCharType="separate"/>
      </w:r>
      <w:r w:rsidRPr="00F32FCC">
        <w:t>Table B.3</w:t>
      </w:r>
      <w:r w:rsidRPr="009E4AB1">
        <w:fldChar w:fldCharType="end"/>
      </w:r>
      <w:r>
        <w:t xml:space="preserve"> </w:t>
      </w:r>
      <w:r w:rsidRPr="00CD4F67">
        <w:t>provides</w:t>
      </w:r>
      <w:r>
        <w:t xml:space="preserve"> details of the emissions factors used.</w:t>
      </w:r>
    </w:p>
    <w:p w14:paraId="406EB4DC" w14:textId="77777777" w:rsidR="00676882" w:rsidRDefault="00676882" w:rsidP="00676882">
      <w:pPr>
        <w:pStyle w:val="Caption"/>
      </w:pPr>
      <w:bookmarkStart w:id="389" w:name="_Ref80257880"/>
      <w:bookmarkStart w:id="390" w:name="_Toc80191510"/>
      <w:bookmarkStart w:id="391" w:name="_Toc79341757"/>
      <w:bookmarkStart w:id="392" w:name="_Toc80719340"/>
      <w:r w:rsidRPr="00A60B3F">
        <w:rPr>
          <w:rStyle w:val="CaptionLabel"/>
        </w:rPr>
        <w:t>Table </w:t>
      </w:r>
      <w:r w:rsidRPr="00A60B3F">
        <w:rPr>
          <w:rStyle w:val="CaptionLabel"/>
        </w:rPr>
        <w:fldChar w:fldCharType="begin"/>
      </w:r>
      <w:r w:rsidRPr="00A60B3F">
        <w:rPr>
          <w:rStyle w:val="CaptionLabel"/>
        </w:rPr>
        <w:instrText xml:space="preserve"> STYLEREF 9 \S \* MERGEFORMAT </w:instrText>
      </w:r>
      <w:r w:rsidRPr="00A60B3F">
        <w:rPr>
          <w:rStyle w:val="CaptionLabel"/>
        </w:rPr>
        <w:fldChar w:fldCharType="separate"/>
      </w:r>
      <w:r>
        <w:rPr>
          <w:rStyle w:val="CaptionLabel"/>
          <w:noProof/>
        </w:rPr>
        <w:t>B</w:t>
      </w:r>
      <w:r w:rsidRPr="00A60B3F">
        <w:rPr>
          <w:rStyle w:val="CaptionLabel"/>
        </w:rPr>
        <w:fldChar w:fldCharType="end"/>
      </w:r>
      <w:r w:rsidRPr="00A60B3F">
        <w:rPr>
          <w:rStyle w:val="CaptionLabel"/>
        </w:rPr>
        <w:t>.</w:t>
      </w:r>
      <w:r w:rsidRPr="00A60B3F">
        <w:rPr>
          <w:rStyle w:val="CaptionLabel"/>
        </w:rPr>
        <w:fldChar w:fldCharType="begin"/>
      </w:r>
      <w:r w:rsidRPr="00A60B3F">
        <w:rPr>
          <w:rStyle w:val="CaptionLabel"/>
        </w:rPr>
        <w:instrText xml:space="preserve"> SEQ Table_AP \* ARABIC \S 9 \* MERGEFORMAT </w:instrText>
      </w:r>
      <w:r w:rsidRPr="00A60B3F">
        <w:rPr>
          <w:rStyle w:val="CaptionLabel"/>
        </w:rPr>
        <w:fldChar w:fldCharType="separate"/>
      </w:r>
      <w:r>
        <w:rPr>
          <w:rStyle w:val="CaptionLabel"/>
          <w:noProof/>
        </w:rPr>
        <w:t>3</w:t>
      </w:r>
      <w:r w:rsidRPr="00A60B3F">
        <w:rPr>
          <w:rStyle w:val="CaptionLabel"/>
        </w:rPr>
        <w:fldChar w:fldCharType="end"/>
      </w:r>
      <w:bookmarkEnd w:id="389"/>
      <w:r>
        <w:tab/>
      </w:r>
      <w:bookmarkStart w:id="393" w:name="_Toc67566827"/>
      <w:r w:rsidRPr="00FE3E7E">
        <w:t>Natural</w:t>
      </w:r>
      <w:r>
        <w:t xml:space="preserve"> </w:t>
      </w:r>
      <w:r w:rsidRPr="00FE3E7E">
        <w:t>gas</w:t>
      </w:r>
      <w:r>
        <w:t xml:space="preserve"> </w:t>
      </w:r>
      <w:r w:rsidRPr="00FE3E7E">
        <w:t>emissions</w:t>
      </w:r>
      <w:r>
        <w:t xml:space="preserve"> </w:t>
      </w:r>
      <w:r w:rsidRPr="00FE3E7E">
        <w:t>factors</w:t>
      </w:r>
      <w:r>
        <w:t>, k</w:t>
      </w:r>
      <w:r w:rsidRPr="00ED7309">
        <w:t>g</w:t>
      </w:r>
      <w:r>
        <w:t xml:space="preserve"> </w:t>
      </w:r>
      <w:r w:rsidRPr="00ED7309">
        <w:t>CO2-e/GJ</w:t>
      </w:r>
      <w:bookmarkEnd w:id="390"/>
      <w:bookmarkEnd w:id="391"/>
      <w:bookmarkEnd w:id="392"/>
      <w:bookmarkEnd w:id="393"/>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Natural gas emissions factors, kg CO2-e/GJ"/>
        <w:tblDescription w:val="Emissions factors used to calculate emissions from natural gas, by state."/>
      </w:tblPr>
      <w:tblGrid>
        <w:gridCol w:w="454"/>
        <w:gridCol w:w="1984"/>
        <w:gridCol w:w="1984"/>
        <w:gridCol w:w="1984"/>
        <w:gridCol w:w="1984"/>
      </w:tblGrid>
      <w:tr w:rsidR="00676882" w14:paraId="0A3C8C2E" w14:textId="77777777" w:rsidTr="00DF45FA">
        <w:trPr>
          <w:tblHeader/>
        </w:trPr>
        <w:tc>
          <w:tcPr>
            <w:tcW w:w="2438" w:type="dxa"/>
            <w:gridSpan w:val="2"/>
            <w:tcBorders>
              <w:top w:val="nil"/>
              <w:bottom w:val="nil"/>
            </w:tcBorders>
            <w:shd w:val="clear" w:color="auto" w:fill="140034"/>
            <w:tcMar>
              <w:left w:w="454" w:type="dxa"/>
            </w:tcMar>
          </w:tcPr>
          <w:p w14:paraId="721D3EF9" w14:textId="77777777" w:rsidR="00676882" w:rsidRDefault="00676882" w:rsidP="00DF45FA">
            <w:pPr>
              <w:pStyle w:val="Tablecolumnheadings"/>
            </w:pPr>
            <w:r>
              <w:t>State</w:t>
            </w:r>
          </w:p>
        </w:tc>
        <w:tc>
          <w:tcPr>
            <w:tcW w:w="1984" w:type="dxa"/>
            <w:tcBorders>
              <w:top w:val="nil"/>
              <w:bottom w:val="nil"/>
            </w:tcBorders>
            <w:shd w:val="clear" w:color="auto" w:fill="140034"/>
          </w:tcPr>
          <w:p w14:paraId="6705DB9A" w14:textId="77777777" w:rsidR="00676882" w:rsidRDefault="00676882" w:rsidP="00DF45FA">
            <w:pPr>
              <w:pStyle w:val="Tablecolumnheadings"/>
              <w:jc w:val="center"/>
            </w:pPr>
            <w:r>
              <w:t>Scope 3</w:t>
            </w:r>
            <w:r w:rsidRPr="00ED7309">
              <w:rPr>
                <w:vertAlign w:val="superscript"/>
              </w:rPr>
              <w:t>a</w:t>
            </w:r>
          </w:p>
        </w:tc>
        <w:tc>
          <w:tcPr>
            <w:tcW w:w="1984" w:type="dxa"/>
            <w:tcBorders>
              <w:top w:val="nil"/>
              <w:bottom w:val="nil"/>
            </w:tcBorders>
            <w:shd w:val="clear" w:color="auto" w:fill="140034"/>
          </w:tcPr>
          <w:p w14:paraId="66C69A9B" w14:textId="77777777" w:rsidR="00676882" w:rsidRDefault="00676882" w:rsidP="00DF45FA">
            <w:pPr>
              <w:pStyle w:val="Tablecolumnheadings"/>
              <w:jc w:val="center"/>
            </w:pPr>
            <w:r>
              <w:t>Scope 1</w:t>
            </w:r>
          </w:p>
        </w:tc>
        <w:tc>
          <w:tcPr>
            <w:tcW w:w="1984" w:type="dxa"/>
            <w:tcBorders>
              <w:top w:val="nil"/>
              <w:bottom w:val="nil"/>
              <w:right w:val="single" w:sz="6" w:space="0" w:color="140034"/>
            </w:tcBorders>
            <w:shd w:val="clear" w:color="auto" w:fill="140034"/>
          </w:tcPr>
          <w:p w14:paraId="6C260938" w14:textId="77777777" w:rsidR="00676882" w:rsidRDefault="00676882" w:rsidP="00DF45FA">
            <w:pPr>
              <w:pStyle w:val="Tablecolumnheadings"/>
              <w:jc w:val="center"/>
            </w:pPr>
            <w:r>
              <w:t>Scope 1+3</w:t>
            </w:r>
          </w:p>
        </w:tc>
      </w:tr>
      <w:tr w:rsidR="00676882" w14:paraId="573A1FA8" w14:textId="77777777" w:rsidTr="00DF45FA">
        <w:trPr>
          <w:gridBefore w:val="1"/>
          <w:wBefore w:w="454" w:type="dxa"/>
        </w:trPr>
        <w:tc>
          <w:tcPr>
            <w:tcW w:w="1984" w:type="dxa"/>
            <w:shd w:val="clear" w:color="auto" w:fill="auto"/>
          </w:tcPr>
          <w:p w14:paraId="4FDA644D" w14:textId="77777777" w:rsidR="00676882" w:rsidRDefault="00676882" w:rsidP="00DF45FA">
            <w:pPr>
              <w:pStyle w:val="Tabletext"/>
            </w:pPr>
            <w:r w:rsidRPr="00ED11EC">
              <w:t>ACT</w:t>
            </w:r>
          </w:p>
        </w:tc>
        <w:tc>
          <w:tcPr>
            <w:tcW w:w="1984" w:type="dxa"/>
            <w:shd w:val="clear" w:color="auto" w:fill="auto"/>
          </w:tcPr>
          <w:p w14:paraId="0846C288" w14:textId="77777777" w:rsidR="00676882" w:rsidRDefault="00676882" w:rsidP="00DF45FA">
            <w:pPr>
              <w:pStyle w:val="Tabletext"/>
              <w:jc w:val="center"/>
            </w:pPr>
            <w:r w:rsidRPr="00430D15">
              <w:t>13.10</w:t>
            </w:r>
          </w:p>
        </w:tc>
        <w:tc>
          <w:tcPr>
            <w:tcW w:w="1984" w:type="dxa"/>
            <w:shd w:val="clear" w:color="auto" w:fill="auto"/>
          </w:tcPr>
          <w:p w14:paraId="1DA185BE" w14:textId="77777777" w:rsidR="00676882" w:rsidRDefault="00676882" w:rsidP="00DF45FA">
            <w:pPr>
              <w:pStyle w:val="Tabletext"/>
              <w:jc w:val="center"/>
            </w:pPr>
            <w:r w:rsidRPr="00B55103">
              <w:t>51.4</w:t>
            </w:r>
          </w:p>
        </w:tc>
        <w:tc>
          <w:tcPr>
            <w:tcW w:w="1984" w:type="dxa"/>
            <w:shd w:val="clear" w:color="auto" w:fill="auto"/>
          </w:tcPr>
          <w:p w14:paraId="5894958D" w14:textId="77777777" w:rsidR="00676882" w:rsidRDefault="00676882" w:rsidP="00DF45FA">
            <w:pPr>
              <w:pStyle w:val="Tabletext"/>
              <w:jc w:val="center"/>
            </w:pPr>
            <w:r w:rsidRPr="00ED11EC">
              <w:t>64.50</w:t>
            </w:r>
          </w:p>
        </w:tc>
      </w:tr>
      <w:tr w:rsidR="00676882" w14:paraId="6FBB51B8" w14:textId="77777777" w:rsidTr="00DF45FA">
        <w:trPr>
          <w:gridBefore w:val="1"/>
          <w:wBefore w:w="454" w:type="dxa"/>
        </w:trPr>
        <w:tc>
          <w:tcPr>
            <w:tcW w:w="7936" w:type="dxa"/>
            <w:gridSpan w:val="4"/>
            <w:tcBorders>
              <w:bottom w:val="single" w:sz="4" w:space="0" w:color="646464"/>
            </w:tcBorders>
            <w:shd w:val="clear" w:color="auto" w:fill="auto"/>
          </w:tcPr>
          <w:p w14:paraId="6BDD5D46" w14:textId="77777777" w:rsidR="00676882" w:rsidRDefault="00676882" w:rsidP="00DF45FA">
            <w:pPr>
              <w:pStyle w:val="Note"/>
            </w:pPr>
            <w:r w:rsidRPr="00ED7309">
              <w:rPr>
                <w:rStyle w:val="Notelabel"/>
              </w:rPr>
              <w:t>a</w:t>
            </w:r>
            <w:r>
              <w:rPr>
                <w:rStyle w:val="Notelabel"/>
              </w:rPr>
              <w:t xml:space="preserve"> </w:t>
            </w:r>
            <w:r w:rsidRPr="00ED7309">
              <w:t>Scope</w:t>
            </w:r>
            <w:r>
              <w:t xml:space="preserve"> </w:t>
            </w:r>
            <w:r w:rsidRPr="00ED7309">
              <w:t>3</w:t>
            </w:r>
            <w:r>
              <w:t xml:space="preserve"> </w:t>
            </w:r>
            <w:r w:rsidRPr="00ED7309">
              <w:t>emissions</w:t>
            </w:r>
            <w:r>
              <w:t xml:space="preserve"> </w:t>
            </w:r>
            <w:r w:rsidRPr="00ED7309">
              <w:t>factors</w:t>
            </w:r>
            <w:r>
              <w:t xml:space="preserve"> </w:t>
            </w:r>
            <w:r w:rsidRPr="00ED7309">
              <w:t>based</w:t>
            </w:r>
            <w:r>
              <w:t xml:space="preserve"> </w:t>
            </w:r>
            <w:r w:rsidRPr="00ED7309">
              <w:t>on</w:t>
            </w:r>
            <w:r>
              <w:t xml:space="preserve"> </w:t>
            </w:r>
            <w:r w:rsidRPr="00ED7309">
              <w:t>estimate</w:t>
            </w:r>
            <w:r>
              <w:t xml:space="preserve"> </w:t>
            </w:r>
            <w:r w:rsidRPr="00ED7309">
              <w:t>for</w:t>
            </w:r>
            <w:r>
              <w:t xml:space="preserve"> </w:t>
            </w:r>
            <w:r w:rsidRPr="00ED7309">
              <w:t>metro</w:t>
            </w:r>
            <w:r>
              <w:t xml:space="preserve"> </w:t>
            </w:r>
            <w:r w:rsidRPr="00ED7309">
              <w:t>areas</w:t>
            </w:r>
            <w:r>
              <w:t xml:space="preserve"> </w:t>
            </w:r>
            <w:r w:rsidRPr="00ED7309">
              <w:t>in</w:t>
            </w:r>
            <w:r>
              <w:t xml:space="preserve"> </w:t>
            </w:r>
            <w:r w:rsidRPr="00ED7309">
              <w:t>each</w:t>
            </w:r>
            <w:r>
              <w:t xml:space="preserve"> s</w:t>
            </w:r>
            <w:r w:rsidRPr="00ED7309">
              <w:t>tate.</w:t>
            </w:r>
            <w:r>
              <w:t xml:space="preserve"> </w:t>
            </w:r>
            <w:r w:rsidRPr="00ED7309">
              <w:t>Estimates</w:t>
            </w:r>
            <w:r>
              <w:t xml:space="preserve"> </w:t>
            </w:r>
            <w:r w:rsidRPr="00ED7309">
              <w:t>for</w:t>
            </w:r>
            <w:r>
              <w:t xml:space="preserve"> </w:t>
            </w:r>
            <w:r w:rsidRPr="00ED7309">
              <w:t>non-metro</w:t>
            </w:r>
            <w:r>
              <w:t xml:space="preserve"> </w:t>
            </w:r>
            <w:r w:rsidRPr="00ED7309">
              <w:t>areas</w:t>
            </w:r>
            <w:r>
              <w:t xml:space="preserve"> </w:t>
            </w:r>
            <w:r w:rsidRPr="00ED7309">
              <w:t>vary</w:t>
            </w:r>
            <w:r>
              <w:t xml:space="preserve"> </w:t>
            </w:r>
            <w:r w:rsidRPr="00ED7309">
              <w:t>slightly but</w:t>
            </w:r>
            <w:r>
              <w:t xml:space="preserve"> </w:t>
            </w:r>
            <w:r w:rsidRPr="00ED7309">
              <w:t>would</w:t>
            </w:r>
            <w:r>
              <w:t xml:space="preserve"> </w:t>
            </w:r>
            <w:r w:rsidRPr="00ED7309">
              <w:t>not</w:t>
            </w:r>
            <w:r>
              <w:t xml:space="preserve"> </w:t>
            </w:r>
            <w:r w:rsidRPr="00ED7309">
              <w:t>make</w:t>
            </w:r>
            <w:r>
              <w:t xml:space="preserve"> </w:t>
            </w:r>
            <w:r w:rsidRPr="00ED7309">
              <w:t>a</w:t>
            </w:r>
            <w:r>
              <w:t xml:space="preserve"> </w:t>
            </w:r>
            <w:r w:rsidRPr="00ED7309">
              <w:t>significant</w:t>
            </w:r>
            <w:r>
              <w:t xml:space="preserve"> </w:t>
            </w:r>
            <w:r w:rsidRPr="00ED7309">
              <w:t>difference</w:t>
            </w:r>
            <w:r>
              <w:t xml:space="preserve"> </w:t>
            </w:r>
            <w:r w:rsidRPr="00ED7309">
              <w:t>to</w:t>
            </w:r>
            <w:r>
              <w:t xml:space="preserve"> </w:t>
            </w:r>
            <w:r w:rsidRPr="00ED7309">
              <w:t>the</w:t>
            </w:r>
            <w:r>
              <w:t xml:space="preserve"> </w:t>
            </w:r>
            <w:r w:rsidRPr="00ED7309">
              <w:t>overall</w:t>
            </w:r>
            <w:r>
              <w:t xml:space="preserve"> </w:t>
            </w:r>
            <w:r w:rsidRPr="00ED7309">
              <w:t>results</w:t>
            </w:r>
            <w:r>
              <w:t>.</w:t>
            </w:r>
          </w:p>
          <w:p w14:paraId="26504031" w14:textId="77777777" w:rsidR="00676882" w:rsidRDefault="00676882" w:rsidP="00DF45FA">
            <w:pPr>
              <w:pStyle w:val="Source"/>
            </w:pPr>
            <w:r>
              <w:t xml:space="preserve">Source: ACIL Allen based on </w:t>
            </w:r>
            <w:r w:rsidRPr="00134A56">
              <w:t>DISER</w:t>
            </w:r>
            <w:r>
              <w:t xml:space="preserve"> </w:t>
            </w:r>
            <w:r w:rsidRPr="00134A56">
              <w:t>2020,</w:t>
            </w:r>
            <w:r>
              <w:t xml:space="preserve"> </w:t>
            </w:r>
            <w:r w:rsidRPr="00134A56">
              <w:t>National</w:t>
            </w:r>
            <w:r>
              <w:t xml:space="preserve"> </w:t>
            </w:r>
            <w:r w:rsidRPr="00134A56">
              <w:t>Greenhouse</w:t>
            </w:r>
            <w:r>
              <w:t xml:space="preserve"> </w:t>
            </w:r>
            <w:r w:rsidRPr="00134A56">
              <w:t>Accounts</w:t>
            </w:r>
            <w:r>
              <w:t xml:space="preserve"> </w:t>
            </w:r>
            <w:r w:rsidRPr="00134A56">
              <w:t>Factors,</w:t>
            </w:r>
            <w:r>
              <w:t xml:space="preserve"> </w:t>
            </w:r>
            <w:r w:rsidRPr="00134A56">
              <w:t>Australian</w:t>
            </w:r>
            <w:r>
              <w:t xml:space="preserve"> </w:t>
            </w:r>
            <w:r w:rsidRPr="00134A56">
              <w:t>National</w:t>
            </w:r>
            <w:r>
              <w:t xml:space="preserve"> </w:t>
            </w:r>
            <w:r w:rsidRPr="00134A56">
              <w:t>Greenhouse</w:t>
            </w:r>
            <w:r>
              <w:t xml:space="preserve"> </w:t>
            </w:r>
            <w:r w:rsidRPr="00134A56">
              <w:t>Accounts,</w:t>
            </w:r>
            <w:r>
              <w:t xml:space="preserve"> </w:t>
            </w:r>
            <w:r w:rsidRPr="00134A56">
              <w:t>October</w:t>
            </w:r>
          </w:p>
        </w:tc>
      </w:tr>
      <w:tr w:rsidR="00676882" w14:paraId="6F16A537"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003AE959" w14:textId="77777777" w:rsidR="00676882" w:rsidRDefault="00676882" w:rsidP="00DF45FA">
            <w:pPr>
              <w:pStyle w:val="spacer"/>
            </w:pPr>
          </w:p>
        </w:tc>
      </w:tr>
    </w:tbl>
    <w:p w14:paraId="52CD1D6D" w14:textId="77777777" w:rsidR="00676882" w:rsidRDefault="00676882" w:rsidP="00676882">
      <w:pPr>
        <w:pStyle w:val="Heading6AP"/>
      </w:pPr>
      <w:r>
        <w:t>Firewood</w:t>
      </w:r>
    </w:p>
    <w:p w14:paraId="21EEBCC9" w14:textId="77777777" w:rsidR="00676882" w:rsidRDefault="00676882" w:rsidP="00676882">
      <w:pPr>
        <w:pStyle w:val="BodyText"/>
      </w:pPr>
      <w:r>
        <w:t xml:space="preserve">For firewood, a greenhouse gas intensity </w:t>
      </w:r>
      <w:r w:rsidRPr="000D6FBB">
        <w:t>of</w:t>
      </w:r>
      <w:r>
        <w:t xml:space="preserve"> </w:t>
      </w:r>
      <w:r w:rsidRPr="000D6FBB">
        <w:t>5</w:t>
      </w:r>
      <w:r>
        <w:t xml:space="preserve"> k</w:t>
      </w:r>
      <w:r w:rsidRPr="000D6FBB">
        <w:t>g</w:t>
      </w:r>
      <w:r>
        <w:t xml:space="preserve"> </w:t>
      </w:r>
      <w:r w:rsidRPr="000D6FBB">
        <w:t>CO2-e</w:t>
      </w:r>
      <w:r>
        <w:t xml:space="preserve"> </w:t>
      </w:r>
      <w:r w:rsidRPr="000D6FBB">
        <w:t>/GJ</w:t>
      </w:r>
      <w:r>
        <w:t xml:space="preserve"> was used in the modelling based on estimates prepared by George Wilkenfeld and Associates for the Commonwealth Government in </w:t>
      </w:r>
      <w:r>
        <w:lastRenderedPageBreak/>
        <w:t xml:space="preserve">relation to closed combustion type heaters </w:t>
      </w:r>
      <w:sdt>
        <w:sdtPr>
          <w:id w:val="1506786944"/>
          <w:citation/>
        </w:sdtPr>
        <w:sdtContent>
          <w:r>
            <w:fldChar w:fldCharType="begin"/>
          </w:r>
          <w:r>
            <w:instrText xml:space="preserve"> CITATION Ene211 \l 3081 </w:instrText>
          </w:r>
          <w:r>
            <w:fldChar w:fldCharType="separate"/>
          </w:r>
          <w:r>
            <w:rPr>
              <w:noProof/>
            </w:rPr>
            <w:t>(Energy Efficient Strategies, 2021)</w:t>
          </w:r>
          <w:r>
            <w:fldChar w:fldCharType="end"/>
          </w:r>
        </w:sdtContent>
      </w:sdt>
      <w:r>
        <w:t>. This has been assumed to remain constant over time.</w:t>
      </w:r>
    </w:p>
    <w:p w14:paraId="5ECD2ADB" w14:textId="77777777" w:rsidR="00676882" w:rsidRDefault="00676882" w:rsidP="00676882">
      <w:pPr>
        <w:pStyle w:val="Heading5AP"/>
      </w:pPr>
      <w:r>
        <w:t>Cost of emissions</w:t>
      </w:r>
    </w:p>
    <w:p w14:paraId="7FF20A77" w14:textId="77777777" w:rsidR="00676882" w:rsidRDefault="00676882" w:rsidP="00676882">
      <w:pPr>
        <w:pStyle w:val="BodyText"/>
      </w:pPr>
      <w:r>
        <w:t>There are multiple approaches to estimate the cost of GHG emissions. Because the burden (costs) of emissions is almost entirely borne by third parties (neither the consumer, nor the electricity generator), it is an example of an economic externality. The value of GHG emissions, therefore, is not internalised in the market, which means that individuals do not make decisions based on the overall impact. This is a classic market failure, making the value of emissions difficult to estimate accurately.</w:t>
      </w:r>
    </w:p>
    <w:p w14:paraId="0388818D" w14:textId="77777777" w:rsidR="00676882" w:rsidRDefault="00676882" w:rsidP="00676882">
      <w:pPr>
        <w:pStyle w:val="BodyText"/>
      </w:pPr>
      <w:r>
        <w:t>Two approaches have been taken to estimate the value of GHG emissions:</w:t>
      </w:r>
    </w:p>
    <w:p w14:paraId="26DEBDB0" w14:textId="77777777" w:rsidR="00676882" w:rsidRDefault="00676882" w:rsidP="00676882">
      <w:pPr>
        <w:pStyle w:val="ListBullet"/>
      </w:pPr>
      <w:r>
        <w:t xml:space="preserve">The </w:t>
      </w:r>
      <w:r>
        <w:rPr>
          <w:b/>
          <w:bCs/>
        </w:rPr>
        <w:t xml:space="preserve">social cost of carbon </w:t>
      </w:r>
      <w:r>
        <w:t>(SCC, or sometimes rendered as SC-CO</w:t>
      </w:r>
      <w:r>
        <w:rPr>
          <w:vertAlign w:val="subscript"/>
        </w:rPr>
        <w:t>2</w:t>
      </w:r>
      <w:r>
        <w:t xml:space="preserve">), which tries to estimate the marginal impact of an additional tonne of carbon (or equivalent GHG emission) based on the future costs associated with those emissions. The SCC is an inherently difficult to use measure, both because of the difficulty in measuring the impact of a tonne of carbon a long time in the future; and because of the assumptions around the discount rate used to evaluate those impacts. Typically, the SCC is given as a very high, high, medium, and low value — deriving from different measures of the discount rate. This is the approach </w:t>
      </w:r>
      <w:proofErr w:type="gramStart"/>
      <w:r>
        <w:t>most commonly taken</w:t>
      </w:r>
      <w:proofErr w:type="gramEnd"/>
      <w:r>
        <w:t xml:space="preserve"> before the advent of carbon markets and was the approach in the United States and currently in many places throughout the world. Though, given the uneven distribution of effects of climate change, the SCC </w:t>
      </w:r>
      <w:r>
        <w:rPr>
          <w:i/>
          <w:iCs/>
        </w:rPr>
        <w:t xml:space="preserve">can </w:t>
      </w:r>
      <w:r>
        <w:t xml:space="preserve">vary between countries if the impacts are estimated locally </w:t>
      </w:r>
      <w:sdt>
        <w:sdtPr>
          <w:id w:val="2104062998"/>
          <w:citation/>
        </w:sdtPr>
        <w:sdtContent>
          <w:r>
            <w:fldChar w:fldCharType="begin"/>
          </w:r>
          <w:r>
            <w:instrText xml:space="preserve"> CITATION Ric18 \l 3081 </w:instrText>
          </w:r>
          <w:r>
            <w:fldChar w:fldCharType="separate"/>
          </w:r>
          <w:r>
            <w:rPr>
              <w:noProof/>
            </w:rPr>
            <w:t>(Ricke, Drouet, &amp; Calderia, 2018)</w:t>
          </w:r>
          <w:r>
            <w:fldChar w:fldCharType="end"/>
          </w:r>
        </w:sdtContent>
      </w:sdt>
      <w:r>
        <w:t>.</w:t>
      </w:r>
    </w:p>
    <w:p w14:paraId="4A1FDD02" w14:textId="77777777" w:rsidR="00676882" w:rsidRDefault="00676882" w:rsidP="00676882">
      <w:pPr>
        <w:pStyle w:val="ListBullet"/>
      </w:pPr>
      <w:r>
        <w:t xml:space="preserve">The </w:t>
      </w:r>
      <w:r>
        <w:rPr>
          <w:b/>
          <w:bCs/>
        </w:rPr>
        <w:t>resource cost of carbon</w:t>
      </w:r>
      <w:r>
        <w:t>, which is based on the current cost of abatement. In the Australian context, this is the present value of the spot price for fixed delivery of a tonne of carbon (delivered to the Emissions Reduction Fund, ERF). The average price of a tonne of abatement at the most recent auction (September 2020) was $15.74. Though the particulars of the Australian reverse-auction scheme mean the price is not a reflection of a freely operating market, the British and European governments have recently moved to carbon variations using the resource cost of carbon approach.</w:t>
      </w:r>
    </w:p>
    <w:p w14:paraId="436E67EC" w14:textId="77777777" w:rsidR="00676882" w:rsidRDefault="00676882" w:rsidP="00676882">
      <w:pPr>
        <w:pStyle w:val="ListBullet"/>
        <w:numPr>
          <w:ilvl w:val="0"/>
          <w:numId w:val="0"/>
        </w:numPr>
      </w:pPr>
      <w:r>
        <w:t xml:space="preserve">These two methods can be roughly described as a demand-price and a supply-price (respectively). In a perfectly operating market — with accurate information, well-defined property rights, and rational decision making — these two prices would be </w:t>
      </w:r>
      <w:proofErr w:type="gramStart"/>
      <w:r>
        <w:t>identical</w:t>
      </w:r>
      <w:proofErr w:type="gramEnd"/>
      <w:r>
        <w:t xml:space="preserve"> and the carbon market would equilibrate. Both approaches introduce uncertainty and inaccuracy for different reasons. However, both approaches have been used in policy contexts and have been upheld in courts in legal contexts.</w:t>
      </w:r>
    </w:p>
    <w:p w14:paraId="7D95AC89" w14:textId="77777777" w:rsidR="00676882" w:rsidRDefault="00676882" w:rsidP="00676882">
      <w:pPr>
        <w:pStyle w:val="BodyText"/>
      </w:pPr>
      <w:r>
        <w:t>In line with the ACT Climate Change Strategy Action 5.5 (e</w:t>
      </w:r>
      <w:r w:rsidRPr="00FB28AB">
        <w:t>nsure the social cost of carbon and climate change adaptation outcomes are considered in all ACT Government policies, budget decisions, capital works projects and procurements</w:t>
      </w:r>
      <w:r>
        <w:t xml:space="preserve">), for this analysis we have been instructed by the Directorate to use the SCC approach based on estimates from the </w:t>
      </w:r>
      <w:r w:rsidRPr="00FB28AB">
        <w:t>United States (US) Government’s Interagency Working Group (IWG) on Social Cost of Greenhouse Gases</w:t>
      </w:r>
      <w:r>
        <w:t xml:space="preserve">. The IWG estimates are based on </w:t>
      </w:r>
      <w:r w:rsidRPr="00151C25">
        <w:t>a frequency distribution for the future costs of climate change per tonne of CO2-e based on climate modelling.</w:t>
      </w:r>
      <w:r>
        <w:t xml:space="preserve"> The IWG estimates the social costs of carbon for the following scenarios:</w:t>
      </w:r>
    </w:p>
    <w:p w14:paraId="720901DF" w14:textId="77777777" w:rsidR="00676882" w:rsidRDefault="00676882" w:rsidP="00676882">
      <w:pPr>
        <w:pStyle w:val="ListBullet"/>
      </w:pPr>
      <w:r>
        <w:t>The low scenario shows the average estimate</w:t>
      </w:r>
      <w:r>
        <w:rPr>
          <w:rStyle w:val="FootnoteReference"/>
        </w:rPr>
        <w:footnoteReference w:id="21"/>
      </w:r>
      <w:r>
        <w:t xml:space="preserve"> of the future social cost of climate change discounted using a discount rate of 5 per cent. </w:t>
      </w:r>
    </w:p>
    <w:p w14:paraId="5E99BCD3" w14:textId="77777777" w:rsidR="00676882" w:rsidRDefault="00676882" w:rsidP="00676882">
      <w:pPr>
        <w:pStyle w:val="ListBullet"/>
      </w:pPr>
      <w:r>
        <w:lastRenderedPageBreak/>
        <w:t xml:space="preserve">The medium scenario shows the average estimate of the future social cost of climate change discounted using a discount rate of 3 per cent. </w:t>
      </w:r>
    </w:p>
    <w:p w14:paraId="4AEDCB62" w14:textId="77777777" w:rsidR="00676882" w:rsidRDefault="00676882" w:rsidP="00676882">
      <w:pPr>
        <w:pStyle w:val="ListBullet"/>
      </w:pPr>
      <w:r>
        <w:t xml:space="preserve">The high scenario shows the average estimate of the future social cost of climate change discounted using a discount rate of 2.5 per cent. </w:t>
      </w:r>
    </w:p>
    <w:p w14:paraId="1FA05B8D" w14:textId="77777777" w:rsidR="00676882" w:rsidRDefault="00676882" w:rsidP="00676882">
      <w:pPr>
        <w:pStyle w:val="ListBullet"/>
      </w:pPr>
      <w:r w:rsidRPr="007A4DA6">
        <w:t xml:space="preserve">The </w:t>
      </w:r>
      <w:r>
        <w:t xml:space="preserve">high impact scenario </w:t>
      </w:r>
      <w:r w:rsidRPr="007A4DA6">
        <w:t>represent</w:t>
      </w:r>
      <w:r>
        <w:t>s</w:t>
      </w:r>
      <w:r w:rsidRPr="007A4DA6">
        <w:t xml:space="preserve"> higher-than-expected economic impacts from climate change further out in the tails of the </w:t>
      </w:r>
      <w:r>
        <w:t>social cost of carbon</w:t>
      </w:r>
      <w:r w:rsidRPr="007A4DA6">
        <w:t xml:space="preserve"> distribution. </w:t>
      </w:r>
      <w:r>
        <w:t>I</w:t>
      </w:r>
      <w:r w:rsidRPr="007A4DA6">
        <w:t>t use</w:t>
      </w:r>
      <w:r>
        <w:t>s</w:t>
      </w:r>
      <w:r w:rsidRPr="007A4DA6">
        <w:t xml:space="preserve"> the </w:t>
      </w:r>
      <w:r>
        <w:t>social cost of carbon</w:t>
      </w:r>
      <w:r w:rsidRPr="007A4DA6">
        <w:t xml:space="preserve"> value for the 95th percentile </w:t>
      </w:r>
      <w:r>
        <w:t xml:space="preserve">of the frequency distribution of the future costs of climate change discounted </w:t>
      </w:r>
      <w:r w:rsidRPr="007A4DA6">
        <w:t>at a 3 percent discount rate.</w:t>
      </w:r>
    </w:p>
    <w:p w14:paraId="65E4E7BE" w14:textId="77777777" w:rsidR="00676882" w:rsidRDefault="00676882" w:rsidP="00676882">
      <w:pPr>
        <w:pStyle w:val="BodyText"/>
      </w:pPr>
      <w:r>
        <w:t xml:space="preserve">For the central analysis in this RIS we have used the SCC for the medium scenario using a discount rate of 3 per cent based on estimates in Australian dollars produced by </w:t>
      </w:r>
      <w:r w:rsidRPr="00987249">
        <w:t xml:space="preserve">Rovingstone Advisory </w:t>
      </w:r>
      <w:sdt>
        <w:sdtPr>
          <w:id w:val="-1593316455"/>
          <w:citation/>
        </w:sdtPr>
        <w:sdtContent>
          <w:r>
            <w:fldChar w:fldCharType="begin"/>
          </w:r>
          <w:r>
            <w:instrText xml:space="preserve">CITATION Rov21 \n  \t  \l 3081 </w:instrText>
          </w:r>
          <w:r>
            <w:fldChar w:fldCharType="separate"/>
          </w:r>
          <w:r>
            <w:rPr>
              <w:noProof/>
            </w:rPr>
            <w:t>(2021)</w:t>
          </w:r>
          <w:r>
            <w:fldChar w:fldCharType="end"/>
          </w:r>
        </w:sdtContent>
      </w:sdt>
      <w:r w:rsidDel="002528B2">
        <w:t xml:space="preserve"> </w:t>
      </w:r>
      <w:r>
        <w:t xml:space="preserve">for the ACT Government (see </w:t>
      </w:r>
      <w:r w:rsidRPr="009E4AB1">
        <w:fldChar w:fldCharType="begin"/>
      </w:r>
      <w:r w:rsidRPr="009E4AB1">
        <w:instrText xml:space="preserve"> REF _Ref71278920 \h  \* MERGEFORMAT </w:instrText>
      </w:r>
      <w:r w:rsidRPr="009E4AB1">
        <w:fldChar w:fldCharType="separate"/>
      </w:r>
      <w:r w:rsidRPr="00F32FCC">
        <w:t>Table B.4</w:t>
      </w:r>
      <w:r w:rsidRPr="009E4AB1">
        <w:fldChar w:fldCharType="end"/>
      </w:r>
      <w:r>
        <w:t>). We have also conducted sensitivity testing using the SCC from the low scenario (at 5 per cent discount rate) and from the high impact scenario given that, as noted by Rovingstone Advisory (p.34), ‘</w:t>
      </w:r>
      <w:r w:rsidRPr="00987249">
        <w:t>current SCC estimates are deemed to be conservative</w:t>
      </w:r>
      <w:r>
        <w:t xml:space="preserve">’. </w:t>
      </w:r>
    </w:p>
    <w:p w14:paraId="199B54B8" w14:textId="77777777" w:rsidR="00676882" w:rsidRDefault="00676882" w:rsidP="00676882">
      <w:pPr>
        <w:pStyle w:val="Caption"/>
      </w:pPr>
      <w:bookmarkStart w:id="394" w:name="_Ref71278920"/>
      <w:bookmarkStart w:id="395" w:name="_Ref80276813"/>
      <w:bookmarkStart w:id="396" w:name="_Toc80719341"/>
      <w:r w:rsidRPr="00CD4F67">
        <w:rPr>
          <w:rStyle w:val="CaptionLabel"/>
        </w:rPr>
        <w:t>Table </w:t>
      </w:r>
      <w:r>
        <w:rPr>
          <w:rStyle w:val="CaptionLabel"/>
        </w:rPr>
        <w:fldChar w:fldCharType="begin"/>
      </w:r>
      <w:r>
        <w:rPr>
          <w:rStyle w:val="CaptionLabel"/>
        </w:rPr>
        <w:instrText xml:space="preserve"> STYLEREF 9 \s </w:instrText>
      </w:r>
      <w:r>
        <w:rPr>
          <w:rStyle w:val="CaptionLabel"/>
        </w:rPr>
        <w:fldChar w:fldCharType="separate"/>
      </w:r>
      <w:r>
        <w:rPr>
          <w:rStyle w:val="CaptionLabel"/>
          <w:noProof/>
        </w:rPr>
        <w:t>B</w:t>
      </w:r>
      <w:r>
        <w:rPr>
          <w:rStyle w:val="CaptionLabel"/>
        </w:rPr>
        <w:fldChar w:fldCharType="end"/>
      </w:r>
      <w:r>
        <w:rPr>
          <w:rStyle w:val="CaptionLabel"/>
        </w:rPr>
        <w:t>.</w:t>
      </w:r>
      <w:r>
        <w:rPr>
          <w:rStyle w:val="CaptionLabel"/>
        </w:rPr>
        <w:fldChar w:fldCharType="begin"/>
      </w:r>
      <w:r>
        <w:rPr>
          <w:rStyle w:val="CaptionLabel"/>
        </w:rPr>
        <w:instrText xml:space="preserve"> SEQ Table_AP \* ARABIC \s 9 </w:instrText>
      </w:r>
      <w:r>
        <w:rPr>
          <w:rStyle w:val="CaptionLabel"/>
        </w:rPr>
        <w:fldChar w:fldCharType="separate"/>
      </w:r>
      <w:r>
        <w:rPr>
          <w:rStyle w:val="CaptionLabel"/>
          <w:noProof/>
        </w:rPr>
        <w:t>4</w:t>
      </w:r>
      <w:r>
        <w:rPr>
          <w:rStyle w:val="CaptionLabel"/>
        </w:rPr>
        <w:fldChar w:fldCharType="end"/>
      </w:r>
      <w:bookmarkEnd w:id="394"/>
      <w:r>
        <w:tab/>
        <w:t xml:space="preserve">Social cost of carbon estimates, </w:t>
      </w:r>
      <w:r w:rsidRPr="001C6892">
        <w:t>2020 – 2050 (in</w:t>
      </w:r>
      <w:r>
        <w:t xml:space="preserve"> Australian</w:t>
      </w:r>
      <w:r w:rsidRPr="001C6892">
        <w:t xml:space="preserve"> 2020 dollars</w:t>
      </w:r>
      <w:r>
        <w:t>,</w:t>
      </w:r>
      <w:r w:rsidRPr="001C6892">
        <w:t xml:space="preserve"> per ton</w:t>
      </w:r>
      <w:r>
        <w:t>ne</w:t>
      </w:r>
      <w:r w:rsidRPr="001C6892">
        <w:t xml:space="preserve"> of CO2)</w:t>
      </w:r>
      <w:bookmarkEnd w:id="395"/>
      <w:bookmarkEnd w:id="396"/>
    </w:p>
    <w:tbl>
      <w:tblPr>
        <w:tblW w:w="8391" w:type="dxa"/>
        <w:tblInd w:w="-454"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B.4"/>
        <w:tblDescription w:val="Social cost of carbon estimates, 2020 – 2050 (in Australian 2020 dollars, per tonne of CO2)"/>
      </w:tblPr>
      <w:tblGrid>
        <w:gridCol w:w="454"/>
        <w:gridCol w:w="1425"/>
        <w:gridCol w:w="1628"/>
        <w:gridCol w:w="1628"/>
        <w:gridCol w:w="1628"/>
        <w:gridCol w:w="1628"/>
      </w:tblGrid>
      <w:tr w:rsidR="00676882" w:rsidRPr="00057260" w14:paraId="659CA6E8" w14:textId="77777777" w:rsidTr="00DF45FA">
        <w:trPr>
          <w:tblHeader/>
        </w:trPr>
        <w:tc>
          <w:tcPr>
            <w:tcW w:w="1879" w:type="dxa"/>
            <w:gridSpan w:val="2"/>
            <w:tcBorders>
              <w:top w:val="nil"/>
              <w:bottom w:val="nil"/>
            </w:tcBorders>
            <w:shd w:val="clear" w:color="auto" w:fill="140034"/>
            <w:noWrap/>
            <w:tcMar>
              <w:left w:w="454" w:type="dxa"/>
            </w:tcMar>
          </w:tcPr>
          <w:p w14:paraId="770DD182" w14:textId="77777777" w:rsidR="00676882" w:rsidRPr="00057260" w:rsidRDefault="00676882" w:rsidP="00DF45FA">
            <w:pPr>
              <w:pStyle w:val="Tablecolumnheadings"/>
              <w:rPr>
                <w:lang w:eastAsia="en-AU"/>
              </w:rPr>
            </w:pPr>
            <w:r w:rsidRPr="00057260">
              <w:rPr>
                <w:lang w:eastAsia="en-AU"/>
              </w:rPr>
              <w:t>Emissions year</w:t>
            </w:r>
          </w:p>
        </w:tc>
        <w:tc>
          <w:tcPr>
            <w:tcW w:w="6512" w:type="dxa"/>
            <w:gridSpan w:val="4"/>
            <w:tcBorders>
              <w:top w:val="nil"/>
              <w:bottom w:val="nil"/>
              <w:right w:val="single" w:sz="6" w:space="0" w:color="140034"/>
            </w:tcBorders>
            <w:shd w:val="clear" w:color="auto" w:fill="140034"/>
            <w:noWrap/>
          </w:tcPr>
          <w:p w14:paraId="682B710B" w14:textId="77777777" w:rsidR="00676882" w:rsidRPr="00057260" w:rsidRDefault="00676882" w:rsidP="00DF45FA">
            <w:pPr>
              <w:pStyle w:val="Tablecolumnheadings"/>
              <w:jc w:val="center"/>
              <w:rPr>
                <w:bCs/>
                <w:color w:val="000000"/>
                <w:lang w:eastAsia="en-AU"/>
              </w:rPr>
            </w:pPr>
            <w:r>
              <w:rPr>
                <w:bCs/>
                <w:lang w:eastAsia="en-AU"/>
              </w:rPr>
              <w:t>Scenario (discount rate and statistic)</w:t>
            </w:r>
          </w:p>
        </w:tc>
      </w:tr>
      <w:tr w:rsidR="00676882" w:rsidRPr="00057260" w14:paraId="4DEDDEE5" w14:textId="77777777" w:rsidTr="00DF45FA">
        <w:trPr>
          <w:gridBefore w:val="1"/>
          <w:wBefore w:w="454" w:type="dxa"/>
        </w:trPr>
        <w:tc>
          <w:tcPr>
            <w:tcW w:w="1425" w:type="dxa"/>
            <w:shd w:val="clear" w:color="auto" w:fill="auto"/>
            <w:noWrap/>
          </w:tcPr>
          <w:p w14:paraId="45BC1269" w14:textId="77777777" w:rsidR="00676882" w:rsidRPr="006B0263" w:rsidRDefault="00676882" w:rsidP="00DF45FA">
            <w:pPr>
              <w:pStyle w:val="Tabletext"/>
              <w:rPr>
                <w:i/>
                <w:iCs/>
                <w:lang w:eastAsia="en-AU"/>
              </w:rPr>
            </w:pPr>
            <w:r w:rsidRPr="006B0263">
              <w:rPr>
                <w:i/>
                <w:iCs/>
                <w:lang w:eastAsia="en-AU"/>
              </w:rPr>
              <w:t>Scenario</w:t>
            </w:r>
          </w:p>
        </w:tc>
        <w:tc>
          <w:tcPr>
            <w:tcW w:w="1628" w:type="dxa"/>
            <w:shd w:val="clear" w:color="auto" w:fill="auto"/>
            <w:noWrap/>
          </w:tcPr>
          <w:p w14:paraId="5B1B10D9" w14:textId="77777777" w:rsidR="00676882" w:rsidRPr="00057260" w:rsidRDefault="00676882" w:rsidP="00DF45FA">
            <w:pPr>
              <w:pStyle w:val="Tabletext"/>
              <w:jc w:val="center"/>
              <w:rPr>
                <w:b/>
                <w:bCs/>
                <w:color w:val="000000"/>
                <w:lang w:eastAsia="en-AU"/>
              </w:rPr>
            </w:pPr>
            <w:r>
              <w:rPr>
                <w:b/>
                <w:bCs/>
                <w:color w:val="000000"/>
                <w:lang w:eastAsia="en-AU"/>
              </w:rPr>
              <w:t>Low</w:t>
            </w:r>
          </w:p>
        </w:tc>
        <w:tc>
          <w:tcPr>
            <w:tcW w:w="1628" w:type="dxa"/>
            <w:shd w:val="clear" w:color="auto" w:fill="auto"/>
            <w:noWrap/>
          </w:tcPr>
          <w:p w14:paraId="38623258" w14:textId="77777777" w:rsidR="00676882" w:rsidRPr="00057260" w:rsidRDefault="00676882" w:rsidP="00DF45FA">
            <w:pPr>
              <w:pStyle w:val="Tabletext"/>
              <w:jc w:val="center"/>
              <w:rPr>
                <w:b/>
                <w:bCs/>
                <w:color w:val="000000"/>
                <w:lang w:eastAsia="en-AU"/>
              </w:rPr>
            </w:pPr>
            <w:r>
              <w:rPr>
                <w:b/>
                <w:bCs/>
                <w:color w:val="000000"/>
                <w:lang w:eastAsia="en-AU"/>
              </w:rPr>
              <w:t>Medium</w:t>
            </w:r>
          </w:p>
        </w:tc>
        <w:tc>
          <w:tcPr>
            <w:tcW w:w="1628" w:type="dxa"/>
            <w:shd w:val="clear" w:color="auto" w:fill="auto"/>
            <w:noWrap/>
          </w:tcPr>
          <w:p w14:paraId="2A3227D2" w14:textId="77777777" w:rsidR="00676882" w:rsidRPr="00057260" w:rsidRDefault="00676882" w:rsidP="00DF45FA">
            <w:pPr>
              <w:pStyle w:val="Tabletext"/>
              <w:jc w:val="center"/>
              <w:rPr>
                <w:b/>
                <w:bCs/>
                <w:color w:val="000000"/>
                <w:lang w:eastAsia="en-AU"/>
              </w:rPr>
            </w:pPr>
            <w:r>
              <w:rPr>
                <w:b/>
                <w:bCs/>
                <w:color w:val="000000"/>
                <w:lang w:eastAsia="en-AU"/>
              </w:rPr>
              <w:t>High</w:t>
            </w:r>
          </w:p>
        </w:tc>
        <w:tc>
          <w:tcPr>
            <w:tcW w:w="1628" w:type="dxa"/>
            <w:shd w:val="clear" w:color="auto" w:fill="auto"/>
            <w:noWrap/>
          </w:tcPr>
          <w:p w14:paraId="612E7290" w14:textId="77777777" w:rsidR="00676882" w:rsidRPr="00057260" w:rsidRDefault="00676882" w:rsidP="00DF45FA">
            <w:pPr>
              <w:pStyle w:val="Tabletext"/>
              <w:jc w:val="center"/>
              <w:rPr>
                <w:b/>
                <w:bCs/>
                <w:color w:val="000000"/>
                <w:lang w:eastAsia="en-AU"/>
              </w:rPr>
            </w:pPr>
            <w:r>
              <w:rPr>
                <w:b/>
                <w:bCs/>
                <w:color w:val="000000"/>
                <w:lang w:eastAsia="en-AU"/>
              </w:rPr>
              <w:t>High impact</w:t>
            </w:r>
          </w:p>
        </w:tc>
      </w:tr>
      <w:tr w:rsidR="00676882" w:rsidRPr="00057260" w14:paraId="09C835BE" w14:textId="77777777" w:rsidTr="00DF45FA">
        <w:trPr>
          <w:gridBefore w:val="1"/>
          <w:wBefore w:w="454" w:type="dxa"/>
        </w:trPr>
        <w:tc>
          <w:tcPr>
            <w:tcW w:w="1425" w:type="dxa"/>
            <w:shd w:val="clear" w:color="auto" w:fill="auto"/>
            <w:noWrap/>
            <w:hideMark/>
          </w:tcPr>
          <w:p w14:paraId="398CD634" w14:textId="77777777" w:rsidR="00676882" w:rsidRPr="006B0263" w:rsidRDefault="00676882" w:rsidP="00DF45FA">
            <w:pPr>
              <w:pStyle w:val="Tabletext"/>
              <w:rPr>
                <w:i/>
                <w:iCs/>
                <w:lang w:eastAsia="en-AU"/>
              </w:rPr>
            </w:pPr>
            <w:r>
              <w:rPr>
                <w:i/>
                <w:iCs/>
                <w:lang w:eastAsia="en-AU"/>
              </w:rPr>
              <w:t>Discount rate</w:t>
            </w:r>
          </w:p>
        </w:tc>
        <w:tc>
          <w:tcPr>
            <w:tcW w:w="1628" w:type="dxa"/>
            <w:shd w:val="clear" w:color="auto" w:fill="auto"/>
            <w:noWrap/>
            <w:hideMark/>
          </w:tcPr>
          <w:p w14:paraId="6B0248A7" w14:textId="77777777" w:rsidR="00676882" w:rsidRPr="00057260" w:rsidRDefault="00676882" w:rsidP="00DF45FA">
            <w:pPr>
              <w:pStyle w:val="Tabletext"/>
              <w:jc w:val="center"/>
              <w:rPr>
                <w:b/>
                <w:bCs/>
                <w:color w:val="000000"/>
                <w:lang w:eastAsia="en-AU"/>
              </w:rPr>
            </w:pPr>
            <w:r w:rsidRPr="00057260">
              <w:rPr>
                <w:b/>
                <w:bCs/>
                <w:color w:val="000000"/>
                <w:lang w:eastAsia="en-AU"/>
              </w:rPr>
              <w:t>5%</w:t>
            </w:r>
          </w:p>
        </w:tc>
        <w:tc>
          <w:tcPr>
            <w:tcW w:w="1628" w:type="dxa"/>
            <w:shd w:val="clear" w:color="auto" w:fill="auto"/>
            <w:noWrap/>
            <w:hideMark/>
          </w:tcPr>
          <w:p w14:paraId="51AA1E9C" w14:textId="77777777" w:rsidR="00676882" w:rsidRPr="00057260" w:rsidRDefault="00676882" w:rsidP="00DF45FA">
            <w:pPr>
              <w:pStyle w:val="Tabletext"/>
              <w:jc w:val="center"/>
              <w:rPr>
                <w:b/>
                <w:bCs/>
                <w:color w:val="000000"/>
                <w:lang w:eastAsia="en-AU"/>
              </w:rPr>
            </w:pPr>
            <w:r w:rsidRPr="00057260">
              <w:rPr>
                <w:b/>
                <w:bCs/>
                <w:color w:val="000000"/>
                <w:lang w:eastAsia="en-AU"/>
              </w:rPr>
              <w:t>3%</w:t>
            </w:r>
          </w:p>
        </w:tc>
        <w:tc>
          <w:tcPr>
            <w:tcW w:w="1628" w:type="dxa"/>
            <w:shd w:val="clear" w:color="auto" w:fill="auto"/>
            <w:noWrap/>
            <w:hideMark/>
          </w:tcPr>
          <w:p w14:paraId="06652EE7" w14:textId="77777777" w:rsidR="00676882" w:rsidRPr="00057260" w:rsidRDefault="00676882" w:rsidP="00DF45FA">
            <w:pPr>
              <w:pStyle w:val="Tabletext"/>
              <w:jc w:val="center"/>
              <w:rPr>
                <w:b/>
                <w:bCs/>
                <w:color w:val="000000"/>
                <w:lang w:eastAsia="en-AU"/>
              </w:rPr>
            </w:pPr>
            <w:r w:rsidRPr="00057260">
              <w:rPr>
                <w:b/>
                <w:bCs/>
                <w:color w:val="000000"/>
                <w:lang w:eastAsia="en-AU"/>
              </w:rPr>
              <w:t>2.50%</w:t>
            </w:r>
          </w:p>
        </w:tc>
        <w:tc>
          <w:tcPr>
            <w:tcW w:w="1628" w:type="dxa"/>
            <w:shd w:val="clear" w:color="auto" w:fill="auto"/>
            <w:noWrap/>
            <w:hideMark/>
          </w:tcPr>
          <w:p w14:paraId="72C4FA6E" w14:textId="77777777" w:rsidR="00676882" w:rsidRPr="00057260" w:rsidRDefault="00676882" w:rsidP="00DF45FA">
            <w:pPr>
              <w:pStyle w:val="Tabletext"/>
              <w:jc w:val="center"/>
              <w:rPr>
                <w:b/>
                <w:bCs/>
                <w:color w:val="000000"/>
                <w:lang w:eastAsia="en-AU"/>
              </w:rPr>
            </w:pPr>
            <w:r w:rsidRPr="00057260">
              <w:rPr>
                <w:b/>
                <w:bCs/>
                <w:color w:val="000000"/>
                <w:lang w:eastAsia="en-AU"/>
              </w:rPr>
              <w:t>3%</w:t>
            </w:r>
          </w:p>
        </w:tc>
      </w:tr>
      <w:tr w:rsidR="00676882" w:rsidRPr="00057260" w14:paraId="7FB05AE6" w14:textId="77777777" w:rsidTr="00DF45FA">
        <w:trPr>
          <w:gridBefore w:val="1"/>
          <w:wBefore w:w="454" w:type="dxa"/>
        </w:trPr>
        <w:tc>
          <w:tcPr>
            <w:tcW w:w="1425" w:type="dxa"/>
            <w:tcBorders>
              <w:bottom w:val="single" w:sz="4" w:space="0" w:color="646464"/>
            </w:tcBorders>
            <w:shd w:val="clear" w:color="auto" w:fill="auto"/>
            <w:noWrap/>
            <w:hideMark/>
          </w:tcPr>
          <w:p w14:paraId="60C25D2A" w14:textId="77777777" w:rsidR="00676882" w:rsidRPr="006B0263" w:rsidRDefault="00676882" w:rsidP="00DF45FA">
            <w:pPr>
              <w:pStyle w:val="Tabletext"/>
              <w:rPr>
                <w:i/>
                <w:iCs/>
                <w:color w:val="000000"/>
                <w:lang w:eastAsia="en-AU"/>
              </w:rPr>
            </w:pPr>
            <w:r w:rsidRPr="006B0263">
              <w:rPr>
                <w:i/>
                <w:iCs/>
                <w:color w:val="000000"/>
                <w:lang w:eastAsia="en-AU"/>
              </w:rPr>
              <w:t>Impacts assumed</w:t>
            </w:r>
          </w:p>
        </w:tc>
        <w:tc>
          <w:tcPr>
            <w:tcW w:w="1628" w:type="dxa"/>
            <w:tcBorders>
              <w:bottom w:val="single" w:sz="4" w:space="0" w:color="646464"/>
            </w:tcBorders>
            <w:shd w:val="clear" w:color="auto" w:fill="auto"/>
            <w:noWrap/>
            <w:hideMark/>
          </w:tcPr>
          <w:p w14:paraId="1B7CF55E" w14:textId="77777777" w:rsidR="00676882" w:rsidRPr="00057260" w:rsidRDefault="00676882" w:rsidP="00DF45FA">
            <w:pPr>
              <w:pStyle w:val="Tabletext"/>
              <w:jc w:val="center"/>
              <w:rPr>
                <w:b/>
                <w:bCs/>
                <w:color w:val="000000"/>
                <w:lang w:eastAsia="en-AU"/>
              </w:rPr>
            </w:pPr>
            <w:r w:rsidRPr="00057260">
              <w:rPr>
                <w:b/>
                <w:bCs/>
                <w:color w:val="000000"/>
                <w:lang w:eastAsia="en-AU"/>
              </w:rPr>
              <w:t>Average</w:t>
            </w:r>
          </w:p>
        </w:tc>
        <w:tc>
          <w:tcPr>
            <w:tcW w:w="1628" w:type="dxa"/>
            <w:tcBorders>
              <w:bottom w:val="single" w:sz="4" w:space="0" w:color="646464"/>
            </w:tcBorders>
            <w:shd w:val="clear" w:color="auto" w:fill="auto"/>
            <w:noWrap/>
            <w:hideMark/>
          </w:tcPr>
          <w:p w14:paraId="23DDDA36" w14:textId="77777777" w:rsidR="00676882" w:rsidRPr="00057260" w:rsidRDefault="00676882" w:rsidP="00DF45FA">
            <w:pPr>
              <w:pStyle w:val="Tabletext"/>
              <w:jc w:val="center"/>
              <w:rPr>
                <w:b/>
                <w:bCs/>
                <w:color w:val="000000"/>
                <w:lang w:eastAsia="en-AU"/>
              </w:rPr>
            </w:pPr>
            <w:r w:rsidRPr="00057260">
              <w:rPr>
                <w:b/>
                <w:bCs/>
                <w:color w:val="000000"/>
                <w:lang w:eastAsia="en-AU"/>
              </w:rPr>
              <w:t>Average</w:t>
            </w:r>
          </w:p>
        </w:tc>
        <w:tc>
          <w:tcPr>
            <w:tcW w:w="1628" w:type="dxa"/>
            <w:tcBorders>
              <w:bottom w:val="single" w:sz="4" w:space="0" w:color="646464"/>
            </w:tcBorders>
            <w:shd w:val="clear" w:color="auto" w:fill="auto"/>
            <w:noWrap/>
            <w:hideMark/>
          </w:tcPr>
          <w:p w14:paraId="110912E6" w14:textId="77777777" w:rsidR="00676882" w:rsidRPr="00057260" w:rsidRDefault="00676882" w:rsidP="00DF45FA">
            <w:pPr>
              <w:pStyle w:val="Tabletext"/>
              <w:jc w:val="center"/>
              <w:rPr>
                <w:b/>
                <w:bCs/>
                <w:color w:val="000000"/>
                <w:lang w:eastAsia="en-AU"/>
              </w:rPr>
            </w:pPr>
            <w:r w:rsidRPr="00057260">
              <w:rPr>
                <w:b/>
                <w:bCs/>
                <w:color w:val="000000"/>
                <w:lang w:eastAsia="en-AU"/>
              </w:rPr>
              <w:t>Average</w:t>
            </w:r>
          </w:p>
        </w:tc>
        <w:tc>
          <w:tcPr>
            <w:tcW w:w="1628" w:type="dxa"/>
            <w:tcBorders>
              <w:bottom w:val="single" w:sz="4" w:space="0" w:color="646464"/>
            </w:tcBorders>
            <w:shd w:val="clear" w:color="auto" w:fill="auto"/>
            <w:noWrap/>
            <w:hideMark/>
          </w:tcPr>
          <w:p w14:paraId="2426CDC2" w14:textId="77777777" w:rsidR="00676882" w:rsidRPr="00057260" w:rsidRDefault="00676882" w:rsidP="00DF45FA">
            <w:pPr>
              <w:pStyle w:val="Tabletext"/>
              <w:jc w:val="center"/>
              <w:rPr>
                <w:b/>
                <w:bCs/>
                <w:color w:val="000000"/>
                <w:lang w:eastAsia="en-AU"/>
              </w:rPr>
            </w:pPr>
            <w:r w:rsidRPr="00057260">
              <w:rPr>
                <w:b/>
                <w:bCs/>
                <w:color w:val="000000"/>
                <w:lang w:eastAsia="en-AU"/>
              </w:rPr>
              <w:t>95th percentile</w:t>
            </w:r>
          </w:p>
        </w:tc>
      </w:tr>
      <w:tr w:rsidR="00676882" w:rsidRPr="00057260" w14:paraId="57D03F0E"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2B9C1813" w14:textId="77777777" w:rsidR="00676882" w:rsidRPr="00057260" w:rsidRDefault="00676882" w:rsidP="00DF45FA">
            <w:pPr>
              <w:pStyle w:val="Tabletext"/>
              <w:rPr>
                <w:color w:val="000000"/>
                <w:lang w:eastAsia="en-AU"/>
              </w:rPr>
            </w:pPr>
            <w:r w:rsidRPr="00057260">
              <w:rPr>
                <w:color w:val="000000"/>
                <w:lang w:eastAsia="en-AU"/>
              </w:rPr>
              <w:t>2020</w:t>
            </w:r>
          </w:p>
        </w:tc>
        <w:tc>
          <w:tcPr>
            <w:tcW w:w="1628" w:type="dxa"/>
            <w:tcBorders>
              <w:top w:val="single" w:sz="4" w:space="0" w:color="646464"/>
              <w:bottom w:val="single" w:sz="4" w:space="0" w:color="646464"/>
            </w:tcBorders>
            <w:shd w:val="clear" w:color="auto" w:fill="auto"/>
            <w:noWrap/>
            <w:vAlign w:val="center"/>
            <w:hideMark/>
          </w:tcPr>
          <w:p w14:paraId="1E5467BF" w14:textId="77777777" w:rsidR="00676882" w:rsidRPr="00057260" w:rsidRDefault="00676882" w:rsidP="00DF45FA">
            <w:pPr>
              <w:pStyle w:val="Tabletext"/>
              <w:jc w:val="center"/>
              <w:rPr>
                <w:lang w:eastAsia="en-AU"/>
              </w:rPr>
            </w:pPr>
            <w:r>
              <w:t>$20</w:t>
            </w:r>
          </w:p>
        </w:tc>
        <w:tc>
          <w:tcPr>
            <w:tcW w:w="1628" w:type="dxa"/>
            <w:tcBorders>
              <w:top w:val="single" w:sz="4" w:space="0" w:color="646464"/>
              <w:bottom w:val="single" w:sz="4" w:space="0" w:color="646464"/>
            </w:tcBorders>
            <w:shd w:val="clear" w:color="auto" w:fill="auto"/>
            <w:noWrap/>
            <w:vAlign w:val="center"/>
            <w:hideMark/>
          </w:tcPr>
          <w:p w14:paraId="271CD1DF" w14:textId="77777777" w:rsidR="00676882" w:rsidRPr="00057260" w:rsidRDefault="00676882" w:rsidP="00DF45FA">
            <w:pPr>
              <w:pStyle w:val="Tabletext"/>
              <w:jc w:val="center"/>
              <w:rPr>
                <w:lang w:eastAsia="en-AU"/>
              </w:rPr>
            </w:pPr>
            <w:r>
              <w:t>$71</w:t>
            </w:r>
          </w:p>
        </w:tc>
        <w:tc>
          <w:tcPr>
            <w:tcW w:w="1628" w:type="dxa"/>
            <w:tcBorders>
              <w:top w:val="single" w:sz="4" w:space="0" w:color="646464"/>
              <w:bottom w:val="single" w:sz="4" w:space="0" w:color="646464"/>
            </w:tcBorders>
            <w:shd w:val="clear" w:color="auto" w:fill="auto"/>
            <w:noWrap/>
            <w:vAlign w:val="center"/>
            <w:hideMark/>
          </w:tcPr>
          <w:p w14:paraId="17AC166E" w14:textId="77777777" w:rsidR="00676882" w:rsidRPr="00057260" w:rsidRDefault="00676882" w:rsidP="00DF45FA">
            <w:pPr>
              <w:pStyle w:val="Tabletext"/>
              <w:jc w:val="center"/>
              <w:rPr>
                <w:lang w:eastAsia="en-AU"/>
              </w:rPr>
            </w:pPr>
            <w:r>
              <w:t>$104</w:t>
            </w:r>
          </w:p>
        </w:tc>
        <w:tc>
          <w:tcPr>
            <w:tcW w:w="1628" w:type="dxa"/>
            <w:tcBorders>
              <w:top w:val="single" w:sz="4" w:space="0" w:color="646464"/>
              <w:bottom w:val="single" w:sz="4" w:space="0" w:color="646464"/>
            </w:tcBorders>
            <w:shd w:val="clear" w:color="auto" w:fill="auto"/>
            <w:noWrap/>
            <w:vAlign w:val="center"/>
            <w:hideMark/>
          </w:tcPr>
          <w:p w14:paraId="3FE53933" w14:textId="77777777" w:rsidR="00676882" w:rsidRPr="00057260" w:rsidRDefault="00676882" w:rsidP="00DF45FA">
            <w:pPr>
              <w:pStyle w:val="Tabletext"/>
              <w:jc w:val="center"/>
              <w:rPr>
                <w:lang w:eastAsia="en-AU"/>
              </w:rPr>
            </w:pPr>
            <w:r>
              <w:t>$207</w:t>
            </w:r>
          </w:p>
        </w:tc>
      </w:tr>
      <w:tr w:rsidR="00676882" w:rsidRPr="00057260" w14:paraId="04ABD4BA"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6B0FDAA5" w14:textId="77777777" w:rsidR="00676882" w:rsidRPr="00057260" w:rsidRDefault="00676882" w:rsidP="00DF45FA">
            <w:pPr>
              <w:pStyle w:val="Tabletext"/>
              <w:rPr>
                <w:color w:val="000000"/>
                <w:lang w:eastAsia="en-AU"/>
              </w:rPr>
            </w:pPr>
            <w:r w:rsidRPr="00057260">
              <w:rPr>
                <w:color w:val="000000"/>
                <w:lang w:eastAsia="en-AU"/>
              </w:rPr>
              <w:t>2025</w:t>
            </w:r>
          </w:p>
        </w:tc>
        <w:tc>
          <w:tcPr>
            <w:tcW w:w="1628" w:type="dxa"/>
            <w:tcBorders>
              <w:top w:val="single" w:sz="4" w:space="0" w:color="646464"/>
              <w:bottom w:val="single" w:sz="4" w:space="0" w:color="646464"/>
            </w:tcBorders>
            <w:shd w:val="clear" w:color="auto" w:fill="auto"/>
            <w:noWrap/>
            <w:vAlign w:val="center"/>
            <w:hideMark/>
          </w:tcPr>
          <w:p w14:paraId="5A43CE9F" w14:textId="77777777" w:rsidR="00676882" w:rsidRPr="00057260" w:rsidRDefault="00676882" w:rsidP="00DF45FA">
            <w:pPr>
              <w:pStyle w:val="Tabletext"/>
              <w:jc w:val="center"/>
              <w:rPr>
                <w:lang w:eastAsia="en-AU"/>
              </w:rPr>
            </w:pPr>
            <w:r>
              <w:t>$24</w:t>
            </w:r>
          </w:p>
        </w:tc>
        <w:tc>
          <w:tcPr>
            <w:tcW w:w="1628" w:type="dxa"/>
            <w:tcBorders>
              <w:top w:val="single" w:sz="4" w:space="0" w:color="646464"/>
              <w:bottom w:val="single" w:sz="4" w:space="0" w:color="646464"/>
            </w:tcBorders>
            <w:shd w:val="clear" w:color="auto" w:fill="auto"/>
            <w:noWrap/>
            <w:vAlign w:val="center"/>
            <w:hideMark/>
          </w:tcPr>
          <w:p w14:paraId="765A8C24" w14:textId="77777777" w:rsidR="00676882" w:rsidRPr="00057260" w:rsidRDefault="00676882" w:rsidP="00DF45FA">
            <w:pPr>
              <w:pStyle w:val="Tabletext"/>
              <w:jc w:val="center"/>
              <w:rPr>
                <w:lang w:eastAsia="en-AU"/>
              </w:rPr>
            </w:pPr>
            <w:r>
              <w:t>$77</w:t>
            </w:r>
          </w:p>
        </w:tc>
        <w:tc>
          <w:tcPr>
            <w:tcW w:w="1628" w:type="dxa"/>
            <w:tcBorders>
              <w:top w:val="single" w:sz="4" w:space="0" w:color="646464"/>
              <w:bottom w:val="single" w:sz="4" w:space="0" w:color="646464"/>
            </w:tcBorders>
            <w:shd w:val="clear" w:color="auto" w:fill="auto"/>
            <w:noWrap/>
            <w:vAlign w:val="center"/>
            <w:hideMark/>
          </w:tcPr>
          <w:p w14:paraId="0ABF2DE1" w14:textId="77777777" w:rsidR="00676882" w:rsidRPr="00057260" w:rsidRDefault="00676882" w:rsidP="00DF45FA">
            <w:pPr>
              <w:pStyle w:val="Tabletext"/>
              <w:jc w:val="center"/>
              <w:rPr>
                <w:lang w:eastAsia="en-AU"/>
              </w:rPr>
            </w:pPr>
            <w:r>
              <w:t>$114</w:t>
            </w:r>
          </w:p>
        </w:tc>
        <w:tc>
          <w:tcPr>
            <w:tcW w:w="1628" w:type="dxa"/>
            <w:tcBorders>
              <w:top w:val="single" w:sz="4" w:space="0" w:color="646464"/>
              <w:bottom w:val="single" w:sz="4" w:space="0" w:color="646464"/>
            </w:tcBorders>
            <w:shd w:val="clear" w:color="auto" w:fill="auto"/>
            <w:noWrap/>
            <w:vAlign w:val="center"/>
            <w:hideMark/>
          </w:tcPr>
          <w:p w14:paraId="634FBA52" w14:textId="77777777" w:rsidR="00676882" w:rsidRPr="00057260" w:rsidRDefault="00676882" w:rsidP="00DF45FA">
            <w:pPr>
              <w:pStyle w:val="Tabletext"/>
              <w:jc w:val="center"/>
              <w:rPr>
                <w:lang w:eastAsia="en-AU"/>
              </w:rPr>
            </w:pPr>
            <w:r>
              <w:t>$232</w:t>
            </w:r>
          </w:p>
        </w:tc>
      </w:tr>
      <w:tr w:rsidR="00676882" w:rsidRPr="00057260" w14:paraId="53731511"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4F0C9D7D" w14:textId="77777777" w:rsidR="00676882" w:rsidRPr="00057260" w:rsidRDefault="00676882" w:rsidP="00DF45FA">
            <w:pPr>
              <w:pStyle w:val="Tabletext"/>
              <w:rPr>
                <w:color w:val="000000"/>
                <w:lang w:eastAsia="en-AU"/>
              </w:rPr>
            </w:pPr>
            <w:r w:rsidRPr="00057260">
              <w:rPr>
                <w:color w:val="000000"/>
                <w:lang w:eastAsia="en-AU"/>
              </w:rPr>
              <w:t>2030</w:t>
            </w:r>
          </w:p>
        </w:tc>
        <w:tc>
          <w:tcPr>
            <w:tcW w:w="1628" w:type="dxa"/>
            <w:tcBorders>
              <w:top w:val="single" w:sz="4" w:space="0" w:color="646464"/>
              <w:bottom w:val="single" w:sz="4" w:space="0" w:color="646464"/>
            </w:tcBorders>
            <w:shd w:val="clear" w:color="auto" w:fill="auto"/>
            <w:noWrap/>
            <w:vAlign w:val="center"/>
            <w:hideMark/>
          </w:tcPr>
          <w:p w14:paraId="3202ADE9" w14:textId="77777777" w:rsidR="00676882" w:rsidRPr="00057260" w:rsidRDefault="00676882" w:rsidP="00DF45FA">
            <w:pPr>
              <w:pStyle w:val="Tabletext"/>
              <w:jc w:val="center"/>
              <w:rPr>
                <w:lang w:eastAsia="en-AU"/>
              </w:rPr>
            </w:pPr>
            <w:r>
              <w:t>$27</w:t>
            </w:r>
          </w:p>
        </w:tc>
        <w:tc>
          <w:tcPr>
            <w:tcW w:w="1628" w:type="dxa"/>
            <w:tcBorders>
              <w:top w:val="single" w:sz="4" w:space="0" w:color="646464"/>
              <w:bottom w:val="single" w:sz="4" w:space="0" w:color="646464"/>
            </w:tcBorders>
            <w:shd w:val="clear" w:color="auto" w:fill="auto"/>
            <w:noWrap/>
            <w:vAlign w:val="center"/>
            <w:hideMark/>
          </w:tcPr>
          <w:p w14:paraId="2BD693E5" w14:textId="77777777" w:rsidR="00676882" w:rsidRPr="00057260" w:rsidRDefault="00676882" w:rsidP="00DF45FA">
            <w:pPr>
              <w:pStyle w:val="Tabletext"/>
              <w:jc w:val="center"/>
              <w:rPr>
                <w:lang w:eastAsia="en-AU"/>
              </w:rPr>
            </w:pPr>
            <w:r>
              <w:t>$84</w:t>
            </w:r>
          </w:p>
        </w:tc>
        <w:tc>
          <w:tcPr>
            <w:tcW w:w="1628" w:type="dxa"/>
            <w:tcBorders>
              <w:top w:val="single" w:sz="4" w:space="0" w:color="646464"/>
              <w:bottom w:val="single" w:sz="4" w:space="0" w:color="646464"/>
            </w:tcBorders>
            <w:shd w:val="clear" w:color="auto" w:fill="auto"/>
            <w:noWrap/>
            <w:vAlign w:val="center"/>
            <w:hideMark/>
          </w:tcPr>
          <w:p w14:paraId="61F48045" w14:textId="77777777" w:rsidR="00676882" w:rsidRPr="00057260" w:rsidRDefault="00676882" w:rsidP="00DF45FA">
            <w:pPr>
              <w:pStyle w:val="Tabletext"/>
              <w:jc w:val="center"/>
              <w:rPr>
                <w:lang w:eastAsia="en-AU"/>
              </w:rPr>
            </w:pPr>
            <w:r>
              <w:t>$123</w:t>
            </w:r>
          </w:p>
        </w:tc>
        <w:tc>
          <w:tcPr>
            <w:tcW w:w="1628" w:type="dxa"/>
            <w:tcBorders>
              <w:top w:val="single" w:sz="4" w:space="0" w:color="646464"/>
              <w:bottom w:val="single" w:sz="4" w:space="0" w:color="646464"/>
            </w:tcBorders>
            <w:shd w:val="clear" w:color="auto" w:fill="auto"/>
            <w:noWrap/>
            <w:vAlign w:val="center"/>
            <w:hideMark/>
          </w:tcPr>
          <w:p w14:paraId="7BE9CD3A" w14:textId="77777777" w:rsidR="00676882" w:rsidRPr="00057260" w:rsidRDefault="00676882" w:rsidP="00DF45FA">
            <w:pPr>
              <w:pStyle w:val="Tabletext"/>
              <w:jc w:val="center"/>
              <w:rPr>
                <w:lang w:eastAsia="en-AU"/>
              </w:rPr>
            </w:pPr>
            <w:r>
              <w:t>$255</w:t>
            </w:r>
          </w:p>
        </w:tc>
      </w:tr>
      <w:tr w:rsidR="00676882" w:rsidRPr="00057260" w14:paraId="7AF0C682"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00FC15B4" w14:textId="77777777" w:rsidR="00676882" w:rsidRPr="00057260" w:rsidRDefault="00676882" w:rsidP="00DF45FA">
            <w:pPr>
              <w:pStyle w:val="Tabletext"/>
              <w:rPr>
                <w:color w:val="000000"/>
                <w:lang w:eastAsia="en-AU"/>
              </w:rPr>
            </w:pPr>
            <w:r w:rsidRPr="00057260">
              <w:rPr>
                <w:color w:val="000000"/>
                <w:lang w:eastAsia="en-AU"/>
              </w:rPr>
              <w:t>2035</w:t>
            </w:r>
          </w:p>
        </w:tc>
        <w:tc>
          <w:tcPr>
            <w:tcW w:w="1628" w:type="dxa"/>
            <w:tcBorders>
              <w:top w:val="single" w:sz="4" w:space="0" w:color="646464"/>
              <w:bottom w:val="single" w:sz="4" w:space="0" w:color="646464"/>
            </w:tcBorders>
            <w:shd w:val="clear" w:color="auto" w:fill="auto"/>
            <w:noWrap/>
            <w:vAlign w:val="center"/>
            <w:hideMark/>
          </w:tcPr>
          <w:p w14:paraId="61D95CC6" w14:textId="77777777" w:rsidR="00676882" w:rsidRPr="00057260" w:rsidRDefault="00676882" w:rsidP="00DF45FA">
            <w:pPr>
              <w:pStyle w:val="Tabletext"/>
              <w:jc w:val="center"/>
              <w:rPr>
                <w:lang w:eastAsia="en-AU"/>
              </w:rPr>
            </w:pPr>
            <w:r>
              <w:t>$30</w:t>
            </w:r>
          </w:p>
        </w:tc>
        <w:tc>
          <w:tcPr>
            <w:tcW w:w="1628" w:type="dxa"/>
            <w:tcBorders>
              <w:top w:val="single" w:sz="4" w:space="0" w:color="646464"/>
              <w:bottom w:val="single" w:sz="4" w:space="0" w:color="646464"/>
            </w:tcBorders>
            <w:shd w:val="clear" w:color="auto" w:fill="auto"/>
            <w:noWrap/>
            <w:vAlign w:val="center"/>
            <w:hideMark/>
          </w:tcPr>
          <w:p w14:paraId="6AC91595" w14:textId="77777777" w:rsidR="00676882" w:rsidRPr="00057260" w:rsidRDefault="00676882" w:rsidP="00DF45FA">
            <w:pPr>
              <w:pStyle w:val="Tabletext"/>
              <w:jc w:val="center"/>
              <w:rPr>
                <w:lang w:eastAsia="en-AU"/>
              </w:rPr>
            </w:pPr>
            <w:r>
              <w:t>$92</w:t>
            </w:r>
          </w:p>
        </w:tc>
        <w:tc>
          <w:tcPr>
            <w:tcW w:w="1628" w:type="dxa"/>
            <w:tcBorders>
              <w:top w:val="single" w:sz="4" w:space="0" w:color="646464"/>
              <w:bottom w:val="single" w:sz="4" w:space="0" w:color="646464"/>
            </w:tcBorders>
            <w:shd w:val="clear" w:color="auto" w:fill="auto"/>
            <w:noWrap/>
            <w:vAlign w:val="center"/>
            <w:hideMark/>
          </w:tcPr>
          <w:p w14:paraId="3F4DF1E3" w14:textId="77777777" w:rsidR="00676882" w:rsidRPr="00057260" w:rsidRDefault="00676882" w:rsidP="00DF45FA">
            <w:pPr>
              <w:pStyle w:val="Tabletext"/>
              <w:jc w:val="center"/>
              <w:rPr>
                <w:lang w:eastAsia="en-AU"/>
              </w:rPr>
            </w:pPr>
            <w:r>
              <w:t>$131</w:t>
            </w:r>
          </w:p>
        </w:tc>
        <w:tc>
          <w:tcPr>
            <w:tcW w:w="1628" w:type="dxa"/>
            <w:tcBorders>
              <w:top w:val="single" w:sz="4" w:space="0" w:color="646464"/>
              <w:bottom w:val="single" w:sz="4" w:space="0" w:color="646464"/>
            </w:tcBorders>
            <w:shd w:val="clear" w:color="auto" w:fill="auto"/>
            <w:noWrap/>
            <w:vAlign w:val="center"/>
            <w:hideMark/>
          </w:tcPr>
          <w:p w14:paraId="2C455594" w14:textId="77777777" w:rsidR="00676882" w:rsidRPr="00057260" w:rsidRDefault="00676882" w:rsidP="00DF45FA">
            <w:pPr>
              <w:pStyle w:val="Tabletext"/>
              <w:jc w:val="center"/>
              <w:rPr>
                <w:lang w:eastAsia="en-AU"/>
              </w:rPr>
            </w:pPr>
            <w:r>
              <w:t>$282</w:t>
            </w:r>
          </w:p>
        </w:tc>
      </w:tr>
      <w:tr w:rsidR="00676882" w:rsidRPr="00057260" w14:paraId="4A0EFCFB"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01FC6ED4" w14:textId="77777777" w:rsidR="00676882" w:rsidRPr="00057260" w:rsidRDefault="00676882" w:rsidP="00DF45FA">
            <w:pPr>
              <w:pStyle w:val="Tabletext"/>
              <w:rPr>
                <w:color w:val="000000"/>
                <w:lang w:eastAsia="en-AU"/>
              </w:rPr>
            </w:pPr>
            <w:r w:rsidRPr="00057260">
              <w:rPr>
                <w:color w:val="000000"/>
                <w:lang w:eastAsia="en-AU"/>
              </w:rPr>
              <w:t>2040</w:t>
            </w:r>
          </w:p>
        </w:tc>
        <w:tc>
          <w:tcPr>
            <w:tcW w:w="1628" w:type="dxa"/>
            <w:tcBorders>
              <w:top w:val="single" w:sz="4" w:space="0" w:color="646464"/>
              <w:bottom w:val="single" w:sz="4" w:space="0" w:color="646464"/>
            </w:tcBorders>
            <w:shd w:val="clear" w:color="auto" w:fill="auto"/>
            <w:noWrap/>
            <w:vAlign w:val="center"/>
            <w:hideMark/>
          </w:tcPr>
          <w:p w14:paraId="4C346965" w14:textId="77777777" w:rsidR="00676882" w:rsidRPr="00057260" w:rsidRDefault="00676882" w:rsidP="00DF45FA">
            <w:pPr>
              <w:pStyle w:val="Tabletext"/>
              <w:jc w:val="center"/>
              <w:rPr>
                <w:lang w:eastAsia="en-AU"/>
              </w:rPr>
            </w:pPr>
            <w:r>
              <w:t>$35</w:t>
            </w:r>
          </w:p>
        </w:tc>
        <w:tc>
          <w:tcPr>
            <w:tcW w:w="1628" w:type="dxa"/>
            <w:tcBorders>
              <w:top w:val="single" w:sz="4" w:space="0" w:color="646464"/>
              <w:bottom w:val="single" w:sz="4" w:space="0" w:color="646464"/>
            </w:tcBorders>
            <w:shd w:val="clear" w:color="auto" w:fill="auto"/>
            <w:noWrap/>
            <w:vAlign w:val="center"/>
            <w:hideMark/>
          </w:tcPr>
          <w:p w14:paraId="11BC323F" w14:textId="77777777" w:rsidR="00676882" w:rsidRPr="00057260" w:rsidRDefault="00676882" w:rsidP="00DF45FA">
            <w:pPr>
              <w:pStyle w:val="Tabletext"/>
              <w:jc w:val="center"/>
              <w:rPr>
                <w:lang w:eastAsia="en-AU"/>
              </w:rPr>
            </w:pPr>
            <w:r>
              <w:t>$101</w:t>
            </w:r>
          </w:p>
        </w:tc>
        <w:tc>
          <w:tcPr>
            <w:tcW w:w="1628" w:type="dxa"/>
            <w:tcBorders>
              <w:top w:val="single" w:sz="4" w:space="0" w:color="646464"/>
              <w:bottom w:val="single" w:sz="4" w:space="0" w:color="646464"/>
            </w:tcBorders>
            <w:shd w:val="clear" w:color="auto" w:fill="auto"/>
            <w:noWrap/>
            <w:vAlign w:val="center"/>
            <w:hideMark/>
          </w:tcPr>
          <w:p w14:paraId="7BE04A3D" w14:textId="77777777" w:rsidR="00676882" w:rsidRPr="00057260" w:rsidRDefault="00676882" w:rsidP="00DF45FA">
            <w:pPr>
              <w:pStyle w:val="Tabletext"/>
              <w:jc w:val="center"/>
              <w:rPr>
                <w:lang w:eastAsia="en-AU"/>
              </w:rPr>
            </w:pPr>
            <w:r>
              <w:t>$141</w:t>
            </w:r>
          </w:p>
        </w:tc>
        <w:tc>
          <w:tcPr>
            <w:tcW w:w="1628" w:type="dxa"/>
            <w:tcBorders>
              <w:top w:val="single" w:sz="4" w:space="0" w:color="646464"/>
              <w:bottom w:val="single" w:sz="4" w:space="0" w:color="646464"/>
            </w:tcBorders>
            <w:shd w:val="clear" w:color="auto" w:fill="auto"/>
            <w:noWrap/>
            <w:vAlign w:val="center"/>
            <w:hideMark/>
          </w:tcPr>
          <w:p w14:paraId="668CFE91" w14:textId="77777777" w:rsidR="00676882" w:rsidRPr="00057260" w:rsidRDefault="00676882" w:rsidP="00DF45FA">
            <w:pPr>
              <w:pStyle w:val="Tabletext"/>
              <w:jc w:val="center"/>
              <w:rPr>
                <w:lang w:eastAsia="en-AU"/>
              </w:rPr>
            </w:pPr>
            <w:r>
              <w:t>$307</w:t>
            </w:r>
          </w:p>
        </w:tc>
      </w:tr>
      <w:tr w:rsidR="00676882" w:rsidRPr="00057260" w14:paraId="58AEE656"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3C0C1023" w14:textId="77777777" w:rsidR="00676882" w:rsidRPr="00057260" w:rsidRDefault="00676882" w:rsidP="00DF45FA">
            <w:pPr>
              <w:pStyle w:val="Tabletext"/>
              <w:rPr>
                <w:color w:val="000000"/>
                <w:lang w:eastAsia="en-AU"/>
              </w:rPr>
            </w:pPr>
            <w:r w:rsidRPr="00057260">
              <w:rPr>
                <w:color w:val="000000"/>
                <w:lang w:eastAsia="en-AU"/>
              </w:rPr>
              <w:t>2045</w:t>
            </w:r>
          </w:p>
        </w:tc>
        <w:tc>
          <w:tcPr>
            <w:tcW w:w="1628" w:type="dxa"/>
            <w:tcBorders>
              <w:top w:val="single" w:sz="4" w:space="0" w:color="646464"/>
              <w:bottom w:val="single" w:sz="4" w:space="0" w:color="646464"/>
            </w:tcBorders>
            <w:shd w:val="clear" w:color="auto" w:fill="auto"/>
            <w:noWrap/>
            <w:vAlign w:val="center"/>
            <w:hideMark/>
          </w:tcPr>
          <w:p w14:paraId="35D3D838" w14:textId="77777777" w:rsidR="00676882" w:rsidRPr="00057260" w:rsidRDefault="00676882" w:rsidP="00DF45FA">
            <w:pPr>
              <w:pStyle w:val="Tabletext"/>
              <w:jc w:val="center"/>
              <w:rPr>
                <w:lang w:eastAsia="en-AU"/>
              </w:rPr>
            </w:pPr>
            <w:r>
              <w:t>$39</w:t>
            </w:r>
          </w:p>
        </w:tc>
        <w:tc>
          <w:tcPr>
            <w:tcW w:w="1628" w:type="dxa"/>
            <w:tcBorders>
              <w:top w:val="single" w:sz="4" w:space="0" w:color="646464"/>
              <w:bottom w:val="single" w:sz="4" w:space="0" w:color="646464"/>
            </w:tcBorders>
            <w:shd w:val="clear" w:color="auto" w:fill="auto"/>
            <w:noWrap/>
            <w:vAlign w:val="center"/>
            <w:hideMark/>
          </w:tcPr>
          <w:p w14:paraId="1B1ABD74" w14:textId="77777777" w:rsidR="00676882" w:rsidRPr="00057260" w:rsidRDefault="00676882" w:rsidP="00DF45FA">
            <w:pPr>
              <w:pStyle w:val="Tabletext"/>
              <w:jc w:val="center"/>
              <w:rPr>
                <w:lang w:eastAsia="en-AU"/>
              </w:rPr>
            </w:pPr>
            <w:r>
              <w:t>$107</w:t>
            </w:r>
          </w:p>
        </w:tc>
        <w:tc>
          <w:tcPr>
            <w:tcW w:w="1628" w:type="dxa"/>
            <w:tcBorders>
              <w:top w:val="single" w:sz="4" w:space="0" w:color="646464"/>
              <w:bottom w:val="single" w:sz="4" w:space="0" w:color="646464"/>
            </w:tcBorders>
            <w:shd w:val="clear" w:color="auto" w:fill="auto"/>
            <w:noWrap/>
            <w:vAlign w:val="center"/>
            <w:hideMark/>
          </w:tcPr>
          <w:p w14:paraId="6BE2CE33" w14:textId="77777777" w:rsidR="00676882" w:rsidRPr="00057260" w:rsidRDefault="00676882" w:rsidP="00DF45FA">
            <w:pPr>
              <w:pStyle w:val="Tabletext"/>
              <w:jc w:val="center"/>
              <w:rPr>
                <w:lang w:eastAsia="en-AU"/>
              </w:rPr>
            </w:pPr>
            <w:r>
              <w:t>$149</w:t>
            </w:r>
          </w:p>
        </w:tc>
        <w:tc>
          <w:tcPr>
            <w:tcW w:w="1628" w:type="dxa"/>
            <w:tcBorders>
              <w:top w:val="single" w:sz="4" w:space="0" w:color="646464"/>
              <w:bottom w:val="single" w:sz="4" w:space="0" w:color="646464"/>
            </w:tcBorders>
            <w:shd w:val="clear" w:color="auto" w:fill="auto"/>
            <w:noWrap/>
            <w:vAlign w:val="center"/>
            <w:hideMark/>
          </w:tcPr>
          <w:p w14:paraId="770D6A2B" w14:textId="77777777" w:rsidR="00676882" w:rsidRPr="00057260" w:rsidRDefault="00676882" w:rsidP="00DF45FA">
            <w:pPr>
              <w:pStyle w:val="Tabletext"/>
              <w:jc w:val="center"/>
              <w:rPr>
                <w:lang w:eastAsia="en-AU"/>
              </w:rPr>
            </w:pPr>
            <w:r>
              <w:t>$331</w:t>
            </w:r>
          </w:p>
        </w:tc>
      </w:tr>
      <w:tr w:rsidR="00676882" w:rsidRPr="00057260" w14:paraId="09726F09" w14:textId="77777777" w:rsidTr="00DF45FA">
        <w:trPr>
          <w:gridBefore w:val="1"/>
          <w:wBefore w:w="454" w:type="dxa"/>
        </w:trPr>
        <w:tc>
          <w:tcPr>
            <w:tcW w:w="1425" w:type="dxa"/>
            <w:tcBorders>
              <w:top w:val="single" w:sz="4" w:space="0" w:color="646464"/>
              <w:bottom w:val="single" w:sz="4" w:space="0" w:color="646464"/>
            </w:tcBorders>
            <w:shd w:val="clear" w:color="auto" w:fill="auto"/>
            <w:noWrap/>
            <w:hideMark/>
          </w:tcPr>
          <w:p w14:paraId="48C74EAD" w14:textId="77777777" w:rsidR="00676882" w:rsidRPr="00057260" w:rsidRDefault="00676882" w:rsidP="00DF45FA">
            <w:pPr>
              <w:pStyle w:val="Tabletext"/>
              <w:rPr>
                <w:color w:val="000000"/>
                <w:lang w:eastAsia="en-AU"/>
              </w:rPr>
            </w:pPr>
            <w:r w:rsidRPr="00057260">
              <w:rPr>
                <w:color w:val="000000"/>
                <w:lang w:eastAsia="en-AU"/>
              </w:rPr>
              <w:t>2050</w:t>
            </w:r>
          </w:p>
        </w:tc>
        <w:tc>
          <w:tcPr>
            <w:tcW w:w="1628" w:type="dxa"/>
            <w:tcBorders>
              <w:top w:val="single" w:sz="4" w:space="0" w:color="646464"/>
              <w:bottom w:val="single" w:sz="4" w:space="0" w:color="646464"/>
            </w:tcBorders>
            <w:shd w:val="clear" w:color="auto" w:fill="auto"/>
            <w:noWrap/>
            <w:vAlign w:val="center"/>
            <w:hideMark/>
          </w:tcPr>
          <w:p w14:paraId="21223018" w14:textId="77777777" w:rsidR="00676882" w:rsidRPr="00057260" w:rsidRDefault="00676882" w:rsidP="00DF45FA">
            <w:pPr>
              <w:pStyle w:val="Tabletext"/>
              <w:jc w:val="center"/>
              <w:rPr>
                <w:lang w:eastAsia="en-AU"/>
              </w:rPr>
            </w:pPr>
            <w:r>
              <w:t>$44</w:t>
            </w:r>
          </w:p>
        </w:tc>
        <w:tc>
          <w:tcPr>
            <w:tcW w:w="1628" w:type="dxa"/>
            <w:tcBorders>
              <w:top w:val="single" w:sz="4" w:space="0" w:color="646464"/>
              <w:bottom w:val="single" w:sz="4" w:space="0" w:color="646464"/>
            </w:tcBorders>
            <w:shd w:val="clear" w:color="auto" w:fill="auto"/>
            <w:noWrap/>
            <w:vAlign w:val="center"/>
            <w:hideMark/>
          </w:tcPr>
          <w:p w14:paraId="379BDC1D" w14:textId="77777777" w:rsidR="00676882" w:rsidRPr="00057260" w:rsidRDefault="00676882" w:rsidP="00DF45FA">
            <w:pPr>
              <w:pStyle w:val="Tabletext"/>
              <w:jc w:val="center"/>
              <w:rPr>
                <w:lang w:eastAsia="en-AU"/>
              </w:rPr>
            </w:pPr>
            <w:r>
              <w:t>$116</w:t>
            </w:r>
          </w:p>
        </w:tc>
        <w:tc>
          <w:tcPr>
            <w:tcW w:w="1628" w:type="dxa"/>
            <w:tcBorders>
              <w:top w:val="single" w:sz="4" w:space="0" w:color="646464"/>
              <w:bottom w:val="single" w:sz="4" w:space="0" w:color="646464"/>
            </w:tcBorders>
            <w:shd w:val="clear" w:color="auto" w:fill="auto"/>
            <w:noWrap/>
            <w:vAlign w:val="center"/>
            <w:hideMark/>
          </w:tcPr>
          <w:p w14:paraId="715824BE" w14:textId="77777777" w:rsidR="00676882" w:rsidRPr="00057260" w:rsidRDefault="00676882" w:rsidP="00DF45FA">
            <w:pPr>
              <w:pStyle w:val="Tabletext"/>
              <w:jc w:val="center"/>
              <w:rPr>
                <w:lang w:eastAsia="en-AU"/>
              </w:rPr>
            </w:pPr>
            <w:r>
              <w:t>$160</w:t>
            </w:r>
          </w:p>
        </w:tc>
        <w:tc>
          <w:tcPr>
            <w:tcW w:w="1628" w:type="dxa"/>
            <w:tcBorders>
              <w:top w:val="single" w:sz="4" w:space="0" w:color="646464"/>
              <w:bottom w:val="single" w:sz="4" w:space="0" w:color="646464"/>
            </w:tcBorders>
            <w:shd w:val="clear" w:color="auto" w:fill="auto"/>
            <w:noWrap/>
            <w:vAlign w:val="center"/>
            <w:hideMark/>
          </w:tcPr>
          <w:p w14:paraId="5D866F8D" w14:textId="77777777" w:rsidR="00676882" w:rsidRPr="00057260" w:rsidRDefault="00676882" w:rsidP="00DF45FA">
            <w:pPr>
              <w:pStyle w:val="Tabletext"/>
              <w:jc w:val="center"/>
              <w:rPr>
                <w:lang w:eastAsia="en-AU"/>
              </w:rPr>
            </w:pPr>
            <w:r>
              <w:t>$356</w:t>
            </w:r>
          </w:p>
        </w:tc>
      </w:tr>
      <w:tr w:rsidR="00676882" w:rsidRPr="00057260" w14:paraId="3B2BA754" w14:textId="77777777" w:rsidTr="00DF45FA">
        <w:trPr>
          <w:gridBefore w:val="1"/>
          <w:wBefore w:w="454" w:type="dxa"/>
        </w:trPr>
        <w:tc>
          <w:tcPr>
            <w:tcW w:w="7937" w:type="dxa"/>
            <w:gridSpan w:val="5"/>
            <w:tcBorders>
              <w:top w:val="single" w:sz="4" w:space="0" w:color="646464"/>
              <w:bottom w:val="single" w:sz="4" w:space="0" w:color="646464"/>
            </w:tcBorders>
            <w:shd w:val="clear" w:color="auto" w:fill="auto"/>
            <w:noWrap/>
          </w:tcPr>
          <w:p w14:paraId="061A5496" w14:textId="77777777" w:rsidR="00676882" w:rsidRPr="00057260" w:rsidRDefault="00676882" w:rsidP="00DF45FA">
            <w:pPr>
              <w:pStyle w:val="Source"/>
              <w:rPr>
                <w:lang w:eastAsia="en-AU"/>
              </w:rPr>
            </w:pPr>
            <w:r>
              <w:rPr>
                <w:lang w:eastAsia="en-AU"/>
              </w:rPr>
              <w:t xml:space="preserve">Source: </w:t>
            </w:r>
            <w:sdt>
              <w:sdtPr>
                <w:rPr>
                  <w:lang w:eastAsia="en-AU"/>
                </w:rPr>
                <w:id w:val="-2041572033"/>
                <w:citation/>
              </w:sdtPr>
              <w:sdtContent>
                <w:r>
                  <w:rPr>
                    <w:lang w:eastAsia="en-AU"/>
                  </w:rPr>
                  <w:fldChar w:fldCharType="begin"/>
                </w:r>
                <w:r>
                  <w:rPr>
                    <w:lang w:eastAsia="en-AU"/>
                  </w:rPr>
                  <w:instrText xml:space="preserve"> CITATION Rov21 \l 3081 </w:instrText>
                </w:r>
                <w:r>
                  <w:rPr>
                    <w:lang w:eastAsia="en-AU"/>
                  </w:rPr>
                  <w:fldChar w:fldCharType="separate"/>
                </w:r>
                <w:r>
                  <w:rPr>
                    <w:noProof/>
                    <w:lang w:eastAsia="en-AU"/>
                  </w:rPr>
                  <w:t>(Rovingstone Advisory Pty Ltd, 2021)</w:t>
                </w:r>
                <w:r>
                  <w:rPr>
                    <w:lang w:eastAsia="en-AU"/>
                  </w:rPr>
                  <w:fldChar w:fldCharType="end"/>
                </w:r>
              </w:sdtContent>
            </w:sdt>
          </w:p>
        </w:tc>
      </w:tr>
      <w:tr w:rsidR="00676882" w:rsidRPr="00057260" w14:paraId="0280A41F" w14:textId="77777777" w:rsidTr="00DF45FA">
        <w:trPr>
          <w:gridBefore w:val="1"/>
          <w:wBefore w:w="454" w:type="dxa"/>
          <w:trHeight w:hRule="exact" w:val="160"/>
        </w:trPr>
        <w:tc>
          <w:tcPr>
            <w:tcW w:w="7937" w:type="dxa"/>
            <w:gridSpan w:val="5"/>
            <w:tcBorders>
              <w:top w:val="single" w:sz="4" w:space="0" w:color="646464"/>
              <w:bottom w:val="nil"/>
            </w:tcBorders>
            <w:shd w:val="clear" w:color="auto" w:fill="auto"/>
            <w:noWrap/>
            <w:tcMar>
              <w:bottom w:w="0" w:type="dxa"/>
            </w:tcMar>
          </w:tcPr>
          <w:p w14:paraId="14BF1B22" w14:textId="77777777" w:rsidR="00676882" w:rsidRPr="00057260" w:rsidRDefault="00676882" w:rsidP="00DF45FA">
            <w:pPr>
              <w:pStyle w:val="spacer"/>
              <w:rPr>
                <w:lang w:eastAsia="en-AU"/>
              </w:rPr>
            </w:pPr>
          </w:p>
        </w:tc>
      </w:tr>
    </w:tbl>
    <w:p w14:paraId="1C24F8A7" w14:textId="77777777" w:rsidR="00676882" w:rsidRDefault="00676882" w:rsidP="00676882">
      <w:pPr>
        <w:pStyle w:val="Heading4AP"/>
        <w:numPr>
          <w:ilvl w:val="3"/>
          <w:numId w:val="45"/>
        </w:numPr>
      </w:pPr>
      <w:r>
        <w:t>Avoided electricity network costs</w:t>
      </w:r>
    </w:p>
    <w:p w14:paraId="5163EBC5" w14:textId="77777777" w:rsidR="00676882" w:rsidRDefault="00676882" w:rsidP="00676882">
      <w:pPr>
        <w:pStyle w:val="BodyText"/>
      </w:pPr>
      <w:r>
        <w:t>The avoided electricity network costs have been calculated as they were in two recent RISs relating to energy efficiency by:</w:t>
      </w:r>
    </w:p>
    <w:p w14:paraId="0158D1E4" w14:textId="77777777" w:rsidR="00676882" w:rsidRDefault="00676882" w:rsidP="00676882">
      <w:pPr>
        <w:pStyle w:val="ListBullet"/>
      </w:pPr>
      <w:r>
        <w:t>imputing a reduction in energy use to a reduction in peak demand using a conservation load factor (CLF)</w:t>
      </w:r>
    </w:p>
    <w:p w14:paraId="4778CBD4" w14:textId="77777777" w:rsidR="00676882" w:rsidRDefault="00676882" w:rsidP="00676882">
      <w:pPr>
        <w:pStyle w:val="ListBullet"/>
      </w:pPr>
      <w:r>
        <w:t>quantifying the deferred network benefits by applying a dollar value per unit reduction in peak demand.</w:t>
      </w:r>
    </w:p>
    <w:p w14:paraId="0030601C" w14:textId="77777777" w:rsidR="00676882" w:rsidRDefault="00676882" w:rsidP="00676882">
      <w:pPr>
        <w:pStyle w:val="BodyText"/>
      </w:pPr>
      <w:r>
        <w:t xml:space="preserve">We note that </w:t>
      </w:r>
      <w:proofErr w:type="gramStart"/>
      <w:r>
        <w:t>a number of</w:t>
      </w:r>
      <w:proofErr w:type="gramEnd"/>
      <w:r>
        <w:t xml:space="preserve"> assumptions need to be made in applying this approach, but that the savings are secondary benefits compared with saved energy bills or reduced greenhouse gas emissions.</w:t>
      </w:r>
    </w:p>
    <w:p w14:paraId="5AE3B3D0" w14:textId="77777777" w:rsidR="00676882" w:rsidRDefault="00676882" w:rsidP="00676882">
      <w:pPr>
        <w:pStyle w:val="Heading5AP"/>
        <w:numPr>
          <w:ilvl w:val="4"/>
          <w:numId w:val="45"/>
        </w:numPr>
      </w:pPr>
      <w:r>
        <w:lastRenderedPageBreak/>
        <w:t>Imputing a reduction in peak demand</w:t>
      </w:r>
    </w:p>
    <w:p w14:paraId="6C7621C1" w14:textId="77777777" w:rsidR="00676882" w:rsidRDefault="00676882" w:rsidP="00676882">
      <w:pPr>
        <w:pStyle w:val="BodyText"/>
      </w:pPr>
      <w:r>
        <w:t xml:space="preserve">The most recent RIS for energy efficiency in residential buildings to estimate the reduction in peak demand applied a CLF of 0.4 based on a 2011 SKM MMA (now Jacobs) report and a 2012 Oakley Greenwood/ Marchment Hill report. A Jacobs </w:t>
      </w:r>
      <w:sdt>
        <w:sdtPr>
          <w:id w:val="150336399"/>
          <w:citation/>
        </w:sdtPr>
        <w:sdtContent>
          <w:r>
            <w:fldChar w:fldCharType="begin"/>
          </w:r>
          <w:r>
            <w:instrText xml:space="preserve">CITATION Jac19 \n  \t  \l 3081 </w:instrText>
          </w:r>
          <w:r>
            <w:fldChar w:fldCharType="separate"/>
          </w:r>
          <w:r>
            <w:rPr>
              <w:noProof/>
            </w:rPr>
            <w:t>(2019)</w:t>
          </w:r>
          <w:r>
            <w:fldChar w:fldCharType="end"/>
          </w:r>
        </w:sdtContent>
      </w:sdt>
      <w:r>
        <w:t xml:space="preserve"> report provided the CLFs as set out in </w:t>
      </w:r>
      <w:r w:rsidRPr="009E4AB1">
        <w:fldChar w:fldCharType="begin"/>
      </w:r>
      <w:r w:rsidRPr="009E4AB1">
        <w:instrText xml:space="preserve"> REF _Ref80699522 \h  \* MERGEFORMAT </w:instrText>
      </w:r>
      <w:r w:rsidRPr="009E4AB1">
        <w:fldChar w:fldCharType="separate"/>
      </w:r>
      <w:r w:rsidRPr="00F32FCC">
        <w:t>Table B.5</w:t>
      </w:r>
      <w:r w:rsidRPr="009E4AB1">
        <w:fldChar w:fldCharType="end"/>
      </w:r>
      <w:r>
        <w:t xml:space="preserve">, which indicate that this figure likely overstates the peak demand reductions (the lower the CLF, the higher the peak demand reductions for a given reduction in energy use). </w:t>
      </w:r>
    </w:p>
    <w:p w14:paraId="0AF9E69F" w14:textId="77777777" w:rsidR="00676882" w:rsidRDefault="00676882" w:rsidP="00676882">
      <w:pPr>
        <w:pStyle w:val="BodyText"/>
      </w:pPr>
      <w:r>
        <w:t xml:space="preserve">Based on the CLFs as set out in the </w:t>
      </w:r>
      <w:r w:rsidRPr="00A60B3F">
        <w:t>2019</w:t>
      </w:r>
      <w:r>
        <w:t xml:space="preserve"> </w:t>
      </w:r>
      <w:r w:rsidRPr="00A60B3F">
        <w:t>Jacobs</w:t>
      </w:r>
      <w:r>
        <w:t xml:space="preserve"> report, we have applied a CLF of 0.50.</w:t>
      </w:r>
    </w:p>
    <w:p w14:paraId="30111ED4" w14:textId="77777777" w:rsidR="00676882" w:rsidRDefault="00676882" w:rsidP="00676882">
      <w:pPr>
        <w:pStyle w:val="ListBullet"/>
        <w:numPr>
          <w:ilvl w:val="0"/>
          <w:numId w:val="0"/>
        </w:numPr>
        <w:ind w:left="420"/>
      </w:pPr>
      <w:bookmarkStart w:id="397" w:name="_Ref80699522"/>
      <w:bookmarkStart w:id="398" w:name="_Toc80719342"/>
      <w:r>
        <w:rPr>
          <w:rStyle w:val="CaptionLabel"/>
        </w:rPr>
        <w:t>Table </w:t>
      </w:r>
      <w:r>
        <w:fldChar w:fldCharType="begin"/>
      </w:r>
      <w:r>
        <w:rPr>
          <w:rStyle w:val="CaptionLabel"/>
        </w:rPr>
        <w:instrText xml:space="preserve"> STYLEREF 9 \S \* MERGEFORMAT </w:instrText>
      </w:r>
      <w:r>
        <w:fldChar w:fldCharType="separate"/>
      </w:r>
      <w:r>
        <w:rPr>
          <w:rStyle w:val="CaptionLabel"/>
          <w:noProof/>
        </w:rPr>
        <w:t>B</w:t>
      </w:r>
      <w:r>
        <w:fldChar w:fldCharType="end"/>
      </w:r>
      <w:r>
        <w:rPr>
          <w:rStyle w:val="CaptionLabel"/>
        </w:rPr>
        <w:t>.</w:t>
      </w:r>
      <w:r>
        <w:fldChar w:fldCharType="begin"/>
      </w:r>
      <w:r>
        <w:rPr>
          <w:rStyle w:val="CaptionLabel"/>
        </w:rPr>
        <w:instrText xml:space="preserve"> SEQ Table_AP \* ARABIC \S 9 \* MERGEFORMAT </w:instrText>
      </w:r>
      <w:r>
        <w:fldChar w:fldCharType="separate"/>
      </w:r>
      <w:r>
        <w:rPr>
          <w:rStyle w:val="CaptionLabel"/>
          <w:noProof/>
        </w:rPr>
        <w:t>5</w:t>
      </w:r>
      <w:r>
        <w:fldChar w:fldCharType="end"/>
      </w:r>
      <w:bookmarkEnd w:id="397"/>
      <w:r>
        <w:tab/>
        <w:t>Conservation load factors</w:t>
      </w:r>
      <w:bookmarkEnd w:id="398"/>
    </w:p>
    <w:tbl>
      <w:tblPr>
        <w:tblW w:w="8385" w:type="dxa"/>
        <w:tblInd w:w="-454"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B.5"/>
        <w:tblDescription w:val="Conservation load factors"/>
      </w:tblPr>
      <w:tblGrid>
        <w:gridCol w:w="453"/>
        <w:gridCol w:w="1983"/>
        <w:gridCol w:w="1983"/>
        <w:gridCol w:w="1983"/>
        <w:gridCol w:w="1983"/>
      </w:tblGrid>
      <w:tr w:rsidR="00676882" w14:paraId="0C5DDFBC" w14:textId="77777777" w:rsidTr="00DF45FA">
        <w:trPr>
          <w:tblHeader/>
        </w:trPr>
        <w:tc>
          <w:tcPr>
            <w:tcW w:w="2438" w:type="dxa"/>
            <w:gridSpan w:val="2"/>
            <w:tcBorders>
              <w:top w:val="nil"/>
              <w:left w:val="nil"/>
              <w:bottom w:val="nil"/>
              <w:right w:val="nil"/>
            </w:tcBorders>
            <w:shd w:val="clear" w:color="auto" w:fill="140034"/>
            <w:tcMar>
              <w:top w:w="0" w:type="dxa"/>
              <w:left w:w="454" w:type="dxa"/>
              <w:bottom w:w="40" w:type="dxa"/>
              <w:right w:w="0" w:type="dxa"/>
            </w:tcMar>
            <w:hideMark/>
          </w:tcPr>
          <w:p w14:paraId="1BD88648" w14:textId="77777777" w:rsidR="00676882" w:rsidRDefault="00676882" w:rsidP="00DF45FA">
            <w:pPr>
              <w:pStyle w:val="Tablecolumnheadings"/>
            </w:pPr>
            <w:r>
              <w:t>Residential end-use</w:t>
            </w:r>
          </w:p>
        </w:tc>
        <w:tc>
          <w:tcPr>
            <w:tcW w:w="1984" w:type="dxa"/>
            <w:tcBorders>
              <w:top w:val="nil"/>
              <w:left w:val="nil"/>
              <w:bottom w:val="nil"/>
              <w:right w:val="nil"/>
            </w:tcBorders>
            <w:shd w:val="clear" w:color="auto" w:fill="140034"/>
            <w:hideMark/>
          </w:tcPr>
          <w:p w14:paraId="5CA434C6" w14:textId="77777777" w:rsidR="00676882" w:rsidRDefault="00676882" w:rsidP="00DF45FA">
            <w:pPr>
              <w:pStyle w:val="Tablecolumnheadings"/>
            </w:pPr>
            <w:r>
              <w:t>Basis / Source</w:t>
            </w:r>
          </w:p>
        </w:tc>
        <w:tc>
          <w:tcPr>
            <w:tcW w:w="3968" w:type="dxa"/>
            <w:gridSpan w:val="2"/>
            <w:tcBorders>
              <w:top w:val="nil"/>
              <w:left w:val="nil"/>
              <w:bottom w:val="nil"/>
              <w:right w:val="single" w:sz="6" w:space="0" w:color="140034"/>
            </w:tcBorders>
            <w:shd w:val="clear" w:color="auto" w:fill="140034"/>
            <w:hideMark/>
          </w:tcPr>
          <w:p w14:paraId="228967BF" w14:textId="77777777" w:rsidR="00676882" w:rsidRDefault="00676882" w:rsidP="00DF45FA">
            <w:pPr>
              <w:pStyle w:val="Tablecolumnheadings"/>
              <w:jc w:val="center"/>
            </w:pPr>
            <w:r>
              <w:t>Conservation load factor</w:t>
            </w:r>
          </w:p>
        </w:tc>
      </w:tr>
      <w:tr w:rsidR="00676882" w14:paraId="25572864" w14:textId="77777777" w:rsidTr="00DF45FA">
        <w:trPr>
          <w:gridBefore w:val="1"/>
          <w:wBefore w:w="454" w:type="dxa"/>
        </w:trPr>
        <w:tc>
          <w:tcPr>
            <w:tcW w:w="1984" w:type="dxa"/>
            <w:tcBorders>
              <w:top w:val="nil"/>
              <w:left w:val="nil"/>
              <w:bottom w:val="single" w:sz="4" w:space="0" w:color="646464"/>
              <w:right w:val="nil"/>
            </w:tcBorders>
            <w:shd w:val="clear" w:color="auto" w:fill="E5E5E5"/>
          </w:tcPr>
          <w:p w14:paraId="085CDE81" w14:textId="77777777" w:rsidR="00676882" w:rsidRDefault="00676882" w:rsidP="00DF45FA">
            <w:pPr>
              <w:pStyle w:val="Tabletext"/>
            </w:pPr>
          </w:p>
        </w:tc>
        <w:tc>
          <w:tcPr>
            <w:tcW w:w="1984" w:type="dxa"/>
            <w:tcBorders>
              <w:top w:val="nil"/>
              <w:left w:val="nil"/>
              <w:bottom w:val="single" w:sz="4" w:space="0" w:color="646464"/>
              <w:right w:val="nil"/>
            </w:tcBorders>
            <w:shd w:val="clear" w:color="auto" w:fill="E5E5E5"/>
          </w:tcPr>
          <w:p w14:paraId="6DD0BEF8" w14:textId="77777777" w:rsidR="00676882" w:rsidRDefault="00676882" w:rsidP="00DF45FA">
            <w:pPr>
              <w:pStyle w:val="Tabletext"/>
            </w:pPr>
          </w:p>
        </w:tc>
        <w:tc>
          <w:tcPr>
            <w:tcW w:w="1984" w:type="dxa"/>
            <w:tcBorders>
              <w:top w:val="nil"/>
              <w:left w:val="nil"/>
              <w:bottom w:val="single" w:sz="4" w:space="0" w:color="646464"/>
              <w:right w:val="nil"/>
            </w:tcBorders>
            <w:shd w:val="clear" w:color="auto" w:fill="E5E5E5"/>
            <w:hideMark/>
          </w:tcPr>
          <w:p w14:paraId="7C3B3490" w14:textId="77777777" w:rsidR="00676882" w:rsidRDefault="00676882" w:rsidP="00DF45FA">
            <w:pPr>
              <w:pStyle w:val="Tabletext"/>
            </w:pPr>
            <w:r>
              <w:t>Summer 4 pm peak</w:t>
            </w:r>
          </w:p>
        </w:tc>
        <w:tc>
          <w:tcPr>
            <w:tcW w:w="1984" w:type="dxa"/>
            <w:tcBorders>
              <w:top w:val="nil"/>
              <w:left w:val="nil"/>
              <w:bottom w:val="single" w:sz="4" w:space="0" w:color="646464"/>
              <w:right w:val="nil"/>
            </w:tcBorders>
            <w:shd w:val="clear" w:color="auto" w:fill="E5E5E5"/>
            <w:hideMark/>
          </w:tcPr>
          <w:p w14:paraId="065C7DEA" w14:textId="77777777" w:rsidR="00676882" w:rsidRDefault="00676882" w:rsidP="00DF45FA">
            <w:pPr>
              <w:pStyle w:val="Tabletext"/>
            </w:pPr>
            <w:r>
              <w:t>Winter 6 pm peak</w:t>
            </w:r>
          </w:p>
        </w:tc>
      </w:tr>
      <w:tr w:rsidR="00676882" w14:paraId="1F965B2A" w14:textId="77777777" w:rsidTr="00DF45FA">
        <w:trPr>
          <w:gridBefore w:val="1"/>
          <w:wBefore w:w="454" w:type="dxa"/>
        </w:trPr>
        <w:tc>
          <w:tcPr>
            <w:tcW w:w="1984" w:type="dxa"/>
            <w:tcBorders>
              <w:top w:val="nil"/>
              <w:left w:val="nil"/>
              <w:bottom w:val="single" w:sz="4" w:space="0" w:color="646464"/>
              <w:right w:val="nil"/>
            </w:tcBorders>
            <w:hideMark/>
          </w:tcPr>
          <w:p w14:paraId="1BB54884" w14:textId="77777777" w:rsidR="00676882" w:rsidRDefault="00676882" w:rsidP="00DF45FA">
            <w:pPr>
              <w:pStyle w:val="Tabletext"/>
            </w:pPr>
            <w:r>
              <w:t>Building shell upgrade</w:t>
            </w:r>
          </w:p>
        </w:tc>
        <w:tc>
          <w:tcPr>
            <w:tcW w:w="1984" w:type="dxa"/>
            <w:tcBorders>
              <w:top w:val="nil"/>
              <w:left w:val="nil"/>
              <w:bottom w:val="single" w:sz="4" w:space="0" w:color="646464"/>
              <w:right w:val="nil"/>
            </w:tcBorders>
            <w:hideMark/>
          </w:tcPr>
          <w:p w14:paraId="14ABAEAC" w14:textId="77777777" w:rsidR="00676882" w:rsidRDefault="00676882" w:rsidP="00DF45FA">
            <w:pPr>
              <w:pStyle w:val="Tabletext"/>
            </w:pPr>
            <w:r>
              <w:t>Summer cooling + Winter heating</w:t>
            </w:r>
          </w:p>
        </w:tc>
        <w:tc>
          <w:tcPr>
            <w:tcW w:w="1984" w:type="dxa"/>
            <w:tcBorders>
              <w:top w:val="nil"/>
              <w:left w:val="nil"/>
              <w:bottom w:val="single" w:sz="4" w:space="0" w:color="646464"/>
              <w:right w:val="nil"/>
            </w:tcBorders>
            <w:hideMark/>
          </w:tcPr>
          <w:p w14:paraId="1958B13D" w14:textId="77777777" w:rsidR="00676882" w:rsidRDefault="00676882" w:rsidP="00DF45FA">
            <w:pPr>
              <w:pStyle w:val="Tabletext"/>
              <w:jc w:val="center"/>
            </w:pPr>
            <w:r>
              <w:t>0.48</w:t>
            </w:r>
          </w:p>
        </w:tc>
        <w:tc>
          <w:tcPr>
            <w:tcW w:w="1984" w:type="dxa"/>
            <w:tcBorders>
              <w:top w:val="nil"/>
              <w:left w:val="nil"/>
              <w:bottom w:val="single" w:sz="4" w:space="0" w:color="646464"/>
              <w:right w:val="nil"/>
            </w:tcBorders>
            <w:hideMark/>
          </w:tcPr>
          <w:p w14:paraId="7A941FD6" w14:textId="77777777" w:rsidR="00676882" w:rsidRDefault="00676882" w:rsidP="00DF45FA">
            <w:pPr>
              <w:pStyle w:val="Tabletext"/>
              <w:jc w:val="center"/>
            </w:pPr>
            <w:r>
              <w:t>0.50</w:t>
            </w:r>
          </w:p>
        </w:tc>
      </w:tr>
      <w:tr w:rsidR="00676882" w14:paraId="36D290E3" w14:textId="77777777" w:rsidTr="00DF45FA">
        <w:trPr>
          <w:gridBefore w:val="1"/>
          <w:wBefore w:w="454" w:type="dxa"/>
        </w:trPr>
        <w:tc>
          <w:tcPr>
            <w:tcW w:w="1984" w:type="dxa"/>
            <w:tcBorders>
              <w:top w:val="nil"/>
              <w:left w:val="nil"/>
              <w:bottom w:val="single" w:sz="4" w:space="0" w:color="646464"/>
              <w:right w:val="nil"/>
            </w:tcBorders>
            <w:hideMark/>
          </w:tcPr>
          <w:p w14:paraId="66342F00" w14:textId="77777777" w:rsidR="00676882" w:rsidRDefault="00676882" w:rsidP="00DF45FA">
            <w:pPr>
              <w:pStyle w:val="Tabletext"/>
            </w:pPr>
            <w:r>
              <w:t>Residential cooling</w:t>
            </w:r>
          </w:p>
        </w:tc>
        <w:tc>
          <w:tcPr>
            <w:tcW w:w="1984" w:type="dxa"/>
            <w:tcBorders>
              <w:top w:val="nil"/>
              <w:left w:val="nil"/>
              <w:bottom w:val="single" w:sz="4" w:space="0" w:color="646464"/>
              <w:right w:val="nil"/>
            </w:tcBorders>
            <w:hideMark/>
          </w:tcPr>
          <w:p w14:paraId="7AFBFD8B" w14:textId="77777777" w:rsidR="00676882" w:rsidRDefault="00676882" w:rsidP="00DF45FA">
            <w:pPr>
              <w:pStyle w:val="Tabletext"/>
            </w:pPr>
            <w:r>
              <w:t>RC AC profile</w:t>
            </w:r>
          </w:p>
        </w:tc>
        <w:tc>
          <w:tcPr>
            <w:tcW w:w="1984" w:type="dxa"/>
            <w:tcBorders>
              <w:top w:val="nil"/>
              <w:left w:val="nil"/>
              <w:bottom w:val="single" w:sz="4" w:space="0" w:color="646464"/>
              <w:right w:val="nil"/>
            </w:tcBorders>
            <w:hideMark/>
          </w:tcPr>
          <w:p w14:paraId="303AC8F0" w14:textId="77777777" w:rsidR="00676882" w:rsidRDefault="00676882" w:rsidP="00DF45FA">
            <w:pPr>
              <w:pStyle w:val="Tabletext"/>
              <w:jc w:val="center"/>
            </w:pPr>
            <w:r>
              <w:t>0.48</w:t>
            </w:r>
          </w:p>
        </w:tc>
        <w:tc>
          <w:tcPr>
            <w:tcW w:w="1984" w:type="dxa"/>
            <w:tcBorders>
              <w:top w:val="nil"/>
              <w:left w:val="nil"/>
              <w:bottom w:val="single" w:sz="4" w:space="0" w:color="646464"/>
              <w:right w:val="nil"/>
            </w:tcBorders>
            <w:hideMark/>
          </w:tcPr>
          <w:p w14:paraId="5A3B7A60" w14:textId="77777777" w:rsidR="00676882" w:rsidRDefault="00676882" w:rsidP="00DF45FA">
            <w:pPr>
              <w:pStyle w:val="Tabletext"/>
              <w:jc w:val="center"/>
            </w:pPr>
            <w:r>
              <w:t>-</w:t>
            </w:r>
          </w:p>
        </w:tc>
      </w:tr>
      <w:tr w:rsidR="00676882" w14:paraId="6A100CB5"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470D3067" w14:textId="77777777" w:rsidR="00676882" w:rsidRDefault="00676882" w:rsidP="00DF45FA">
            <w:pPr>
              <w:pStyle w:val="Tabletext"/>
            </w:pPr>
            <w:r>
              <w:t>Residential heating</w:t>
            </w:r>
          </w:p>
        </w:tc>
        <w:tc>
          <w:tcPr>
            <w:tcW w:w="1984" w:type="dxa"/>
            <w:tcBorders>
              <w:top w:val="single" w:sz="4" w:space="0" w:color="646464"/>
              <w:left w:val="nil"/>
              <w:bottom w:val="single" w:sz="4" w:space="0" w:color="646464"/>
              <w:right w:val="nil"/>
            </w:tcBorders>
            <w:hideMark/>
          </w:tcPr>
          <w:p w14:paraId="6006B463" w14:textId="77777777" w:rsidR="00676882" w:rsidRDefault="00676882" w:rsidP="00DF45FA">
            <w:pPr>
              <w:pStyle w:val="Tabletext"/>
            </w:pPr>
            <w:r>
              <w:t>RC AC profile</w:t>
            </w:r>
          </w:p>
        </w:tc>
        <w:tc>
          <w:tcPr>
            <w:tcW w:w="1984" w:type="dxa"/>
            <w:tcBorders>
              <w:top w:val="single" w:sz="4" w:space="0" w:color="646464"/>
              <w:left w:val="nil"/>
              <w:bottom w:val="single" w:sz="4" w:space="0" w:color="646464"/>
              <w:right w:val="nil"/>
            </w:tcBorders>
            <w:hideMark/>
          </w:tcPr>
          <w:p w14:paraId="7C43130D" w14:textId="77777777" w:rsidR="00676882" w:rsidRDefault="00676882" w:rsidP="00DF45FA">
            <w:pPr>
              <w:pStyle w:val="Tabletext"/>
              <w:jc w:val="center"/>
            </w:pPr>
            <w:r>
              <w:t>-</w:t>
            </w:r>
          </w:p>
        </w:tc>
        <w:tc>
          <w:tcPr>
            <w:tcW w:w="1984" w:type="dxa"/>
            <w:tcBorders>
              <w:top w:val="single" w:sz="4" w:space="0" w:color="646464"/>
              <w:left w:val="nil"/>
              <w:bottom w:val="single" w:sz="4" w:space="0" w:color="646464"/>
              <w:right w:val="nil"/>
            </w:tcBorders>
            <w:hideMark/>
          </w:tcPr>
          <w:p w14:paraId="343ED8CD" w14:textId="77777777" w:rsidR="00676882" w:rsidRDefault="00676882" w:rsidP="00DF45FA">
            <w:pPr>
              <w:pStyle w:val="Tabletext"/>
              <w:jc w:val="center"/>
            </w:pPr>
            <w:r>
              <w:t>0.50</w:t>
            </w:r>
          </w:p>
        </w:tc>
      </w:tr>
      <w:tr w:rsidR="00676882" w14:paraId="34F09E13"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04C46C9A" w14:textId="77777777" w:rsidR="00676882" w:rsidRDefault="00676882" w:rsidP="00DF45FA">
            <w:pPr>
              <w:pStyle w:val="Tabletext"/>
            </w:pPr>
            <w:r>
              <w:t>Residential lighting</w:t>
            </w:r>
          </w:p>
        </w:tc>
        <w:tc>
          <w:tcPr>
            <w:tcW w:w="1984" w:type="dxa"/>
            <w:tcBorders>
              <w:top w:val="single" w:sz="4" w:space="0" w:color="646464"/>
              <w:left w:val="nil"/>
              <w:bottom w:val="single" w:sz="4" w:space="0" w:color="646464"/>
              <w:right w:val="nil"/>
            </w:tcBorders>
            <w:hideMark/>
          </w:tcPr>
          <w:p w14:paraId="7E86F22F" w14:textId="77777777" w:rsidR="00676882" w:rsidRDefault="00676882" w:rsidP="00DF45FA">
            <w:pPr>
              <w:pStyle w:val="Tabletext"/>
            </w:pPr>
            <w:r>
              <w:t>Daylight hours &amp; Household occupancy</w:t>
            </w:r>
          </w:p>
        </w:tc>
        <w:tc>
          <w:tcPr>
            <w:tcW w:w="1984" w:type="dxa"/>
            <w:tcBorders>
              <w:top w:val="single" w:sz="4" w:space="0" w:color="646464"/>
              <w:left w:val="nil"/>
              <w:bottom w:val="single" w:sz="4" w:space="0" w:color="646464"/>
              <w:right w:val="nil"/>
            </w:tcBorders>
            <w:hideMark/>
          </w:tcPr>
          <w:p w14:paraId="1A05F5A7" w14:textId="77777777" w:rsidR="00676882" w:rsidRDefault="00676882" w:rsidP="00DF45FA">
            <w:pPr>
              <w:pStyle w:val="Tabletext"/>
              <w:jc w:val="center"/>
            </w:pPr>
            <w:r>
              <w:t>2.64</w:t>
            </w:r>
          </w:p>
        </w:tc>
        <w:tc>
          <w:tcPr>
            <w:tcW w:w="1984" w:type="dxa"/>
            <w:tcBorders>
              <w:top w:val="single" w:sz="4" w:space="0" w:color="646464"/>
              <w:left w:val="nil"/>
              <w:bottom w:val="single" w:sz="4" w:space="0" w:color="646464"/>
              <w:right w:val="nil"/>
            </w:tcBorders>
            <w:hideMark/>
          </w:tcPr>
          <w:p w14:paraId="71ADD5D1" w14:textId="77777777" w:rsidR="00676882" w:rsidRDefault="00676882" w:rsidP="00DF45FA">
            <w:pPr>
              <w:pStyle w:val="Tabletext"/>
              <w:jc w:val="center"/>
            </w:pPr>
            <w:r>
              <w:t>0.34</w:t>
            </w:r>
          </w:p>
        </w:tc>
      </w:tr>
      <w:tr w:rsidR="00676882" w14:paraId="5A2E4495"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0DED0F27" w14:textId="77777777" w:rsidR="00676882" w:rsidRDefault="00676882" w:rsidP="00DF45FA">
            <w:pPr>
              <w:pStyle w:val="Tabletext"/>
            </w:pPr>
            <w:r>
              <w:t>Residential water heating</w:t>
            </w:r>
          </w:p>
        </w:tc>
        <w:tc>
          <w:tcPr>
            <w:tcW w:w="1984" w:type="dxa"/>
            <w:tcBorders>
              <w:top w:val="single" w:sz="4" w:space="0" w:color="646464"/>
              <w:left w:val="nil"/>
              <w:bottom w:val="single" w:sz="4" w:space="0" w:color="646464"/>
              <w:right w:val="nil"/>
            </w:tcBorders>
            <w:hideMark/>
          </w:tcPr>
          <w:p w14:paraId="5A6B133F" w14:textId="77777777" w:rsidR="00676882" w:rsidRDefault="00676882" w:rsidP="00DF45FA">
            <w:pPr>
              <w:pStyle w:val="Tabletext"/>
            </w:pPr>
            <w:r>
              <w:t>NZ HEEP study</w:t>
            </w:r>
          </w:p>
        </w:tc>
        <w:tc>
          <w:tcPr>
            <w:tcW w:w="1984" w:type="dxa"/>
            <w:tcBorders>
              <w:top w:val="single" w:sz="4" w:space="0" w:color="646464"/>
              <w:left w:val="nil"/>
              <w:bottom w:val="single" w:sz="4" w:space="0" w:color="646464"/>
              <w:right w:val="nil"/>
            </w:tcBorders>
            <w:hideMark/>
          </w:tcPr>
          <w:p w14:paraId="58CE4E0C" w14:textId="77777777" w:rsidR="00676882" w:rsidRDefault="00676882" w:rsidP="00DF45FA">
            <w:pPr>
              <w:pStyle w:val="Tabletext"/>
              <w:jc w:val="center"/>
            </w:pPr>
            <w:r>
              <w:t>1.49</w:t>
            </w:r>
          </w:p>
        </w:tc>
        <w:tc>
          <w:tcPr>
            <w:tcW w:w="1984" w:type="dxa"/>
            <w:tcBorders>
              <w:top w:val="single" w:sz="4" w:space="0" w:color="646464"/>
              <w:left w:val="nil"/>
              <w:bottom w:val="single" w:sz="4" w:space="0" w:color="646464"/>
              <w:right w:val="nil"/>
            </w:tcBorders>
            <w:hideMark/>
          </w:tcPr>
          <w:p w14:paraId="7D950D5B" w14:textId="77777777" w:rsidR="00676882" w:rsidRDefault="00676882" w:rsidP="00DF45FA">
            <w:pPr>
              <w:pStyle w:val="Tabletext"/>
              <w:jc w:val="center"/>
            </w:pPr>
            <w:r>
              <w:t>1.09</w:t>
            </w:r>
          </w:p>
        </w:tc>
      </w:tr>
      <w:tr w:rsidR="00676882" w14:paraId="46F8D3F7"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3C09F0F4" w14:textId="77777777" w:rsidR="00676882" w:rsidRDefault="00676882" w:rsidP="00DF45FA">
            <w:pPr>
              <w:pStyle w:val="Tabletext"/>
            </w:pPr>
            <w:r>
              <w:t>Residential outdoor lighting</w:t>
            </w:r>
          </w:p>
        </w:tc>
        <w:tc>
          <w:tcPr>
            <w:tcW w:w="1984" w:type="dxa"/>
            <w:tcBorders>
              <w:top w:val="single" w:sz="4" w:space="0" w:color="646464"/>
              <w:left w:val="nil"/>
              <w:bottom w:val="single" w:sz="4" w:space="0" w:color="646464"/>
              <w:right w:val="nil"/>
            </w:tcBorders>
            <w:hideMark/>
          </w:tcPr>
          <w:p w14:paraId="646D9EE6" w14:textId="77777777" w:rsidR="00676882" w:rsidRDefault="00676882" w:rsidP="00DF45FA">
            <w:pPr>
              <w:pStyle w:val="Tabletext"/>
            </w:pPr>
            <w:r>
              <w:t>Daylight hours &amp; Household occupancy</w:t>
            </w:r>
          </w:p>
        </w:tc>
        <w:tc>
          <w:tcPr>
            <w:tcW w:w="1984" w:type="dxa"/>
            <w:tcBorders>
              <w:top w:val="single" w:sz="4" w:space="0" w:color="646464"/>
              <w:left w:val="nil"/>
              <w:bottom w:val="single" w:sz="4" w:space="0" w:color="646464"/>
              <w:right w:val="nil"/>
            </w:tcBorders>
            <w:hideMark/>
          </w:tcPr>
          <w:p w14:paraId="5C75CAB9" w14:textId="77777777" w:rsidR="00676882" w:rsidRDefault="00676882" w:rsidP="00DF45FA">
            <w:pPr>
              <w:pStyle w:val="Tabletext"/>
              <w:jc w:val="center"/>
            </w:pPr>
            <w:r>
              <w:t>2.64</w:t>
            </w:r>
          </w:p>
        </w:tc>
        <w:tc>
          <w:tcPr>
            <w:tcW w:w="1984" w:type="dxa"/>
            <w:tcBorders>
              <w:top w:val="single" w:sz="4" w:space="0" w:color="646464"/>
              <w:left w:val="nil"/>
              <w:bottom w:val="single" w:sz="4" w:space="0" w:color="646464"/>
              <w:right w:val="nil"/>
            </w:tcBorders>
            <w:hideMark/>
          </w:tcPr>
          <w:p w14:paraId="2DEF0E00" w14:textId="77777777" w:rsidR="00676882" w:rsidRDefault="00676882" w:rsidP="00DF45FA">
            <w:pPr>
              <w:pStyle w:val="Tabletext"/>
              <w:jc w:val="center"/>
            </w:pPr>
            <w:r>
              <w:t>0.34</w:t>
            </w:r>
          </w:p>
        </w:tc>
      </w:tr>
      <w:tr w:rsidR="00676882" w14:paraId="487CA9DA"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52E88CE3" w14:textId="77777777" w:rsidR="00676882" w:rsidRDefault="00676882" w:rsidP="00DF45FA">
            <w:pPr>
              <w:pStyle w:val="Tabletext"/>
            </w:pPr>
            <w:r>
              <w:t>Residential refrigeration</w:t>
            </w:r>
          </w:p>
        </w:tc>
        <w:tc>
          <w:tcPr>
            <w:tcW w:w="1984" w:type="dxa"/>
            <w:tcBorders>
              <w:top w:val="single" w:sz="4" w:space="0" w:color="646464"/>
              <w:left w:val="nil"/>
              <w:bottom w:val="single" w:sz="4" w:space="0" w:color="646464"/>
              <w:right w:val="nil"/>
            </w:tcBorders>
            <w:hideMark/>
          </w:tcPr>
          <w:p w14:paraId="3E71B85B" w14:textId="77777777" w:rsidR="00676882" w:rsidRDefault="00676882" w:rsidP="00DF45FA">
            <w:pPr>
              <w:pStyle w:val="Tabletext"/>
            </w:pPr>
            <w:r>
              <w:t>Adjusted cooling profile</w:t>
            </w:r>
          </w:p>
        </w:tc>
        <w:tc>
          <w:tcPr>
            <w:tcW w:w="1984" w:type="dxa"/>
            <w:tcBorders>
              <w:top w:val="single" w:sz="4" w:space="0" w:color="646464"/>
              <w:left w:val="nil"/>
              <w:bottom w:val="single" w:sz="4" w:space="0" w:color="646464"/>
              <w:right w:val="nil"/>
            </w:tcBorders>
            <w:hideMark/>
          </w:tcPr>
          <w:p w14:paraId="2BBA575F" w14:textId="77777777" w:rsidR="00676882" w:rsidRDefault="00676882" w:rsidP="00DF45FA">
            <w:pPr>
              <w:pStyle w:val="Tabletext"/>
              <w:jc w:val="center"/>
            </w:pPr>
            <w:r>
              <w:t>0.70</w:t>
            </w:r>
          </w:p>
        </w:tc>
        <w:tc>
          <w:tcPr>
            <w:tcW w:w="1984" w:type="dxa"/>
            <w:tcBorders>
              <w:top w:val="single" w:sz="4" w:space="0" w:color="646464"/>
              <w:left w:val="nil"/>
              <w:bottom w:val="single" w:sz="4" w:space="0" w:color="646464"/>
              <w:right w:val="nil"/>
            </w:tcBorders>
            <w:hideMark/>
          </w:tcPr>
          <w:p w14:paraId="26B6A8F6" w14:textId="77777777" w:rsidR="00676882" w:rsidRDefault="00676882" w:rsidP="00DF45FA">
            <w:pPr>
              <w:pStyle w:val="Tabletext"/>
              <w:jc w:val="center"/>
            </w:pPr>
            <w:r>
              <w:t>0.90</w:t>
            </w:r>
          </w:p>
        </w:tc>
      </w:tr>
      <w:tr w:rsidR="00676882" w14:paraId="667168BC"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718CEAC8" w14:textId="77777777" w:rsidR="00676882" w:rsidRDefault="00676882" w:rsidP="00DF45FA">
            <w:pPr>
              <w:pStyle w:val="Tabletext"/>
            </w:pPr>
            <w:r>
              <w:t>Televisions and set top boxes</w:t>
            </w:r>
          </w:p>
        </w:tc>
        <w:tc>
          <w:tcPr>
            <w:tcW w:w="1984" w:type="dxa"/>
            <w:tcBorders>
              <w:top w:val="single" w:sz="4" w:space="0" w:color="646464"/>
              <w:left w:val="nil"/>
              <w:bottom w:val="single" w:sz="4" w:space="0" w:color="646464"/>
              <w:right w:val="nil"/>
            </w:tcBorders>
            <w:hideMark/>
          </w:tcPr>
          <w:p w14:paraId="4617EBA6" w14:textId="77777777" w:rsidR="00676882" w:rsidRDefault="00676882" w:rsidP="00DF45FA">
            <w:pPr>
              <w:pStyle w:val="Tabletext"/>
            </w:pPr>
            <w:r>
              <w:t>Household occupancy</w:t>
            </w:r>
          </w:p>
        </w:tc>
        <w:tc>
          <w:tcPr>
            <w:tcW w:w="1984" w:type="dxa"/>
            <w:tcBorders>
              <w:top w:val="single" w:sz="4" w:space="0" w:color="646464"/>
              <w:left w:val="nil"/>
              <w:bottom w:val="single" w:sz="4" w:space="0" w:color="646464"/>
              <w:right w:val="nil"/>
            </w:tcBorders>
            <w:hideMark/>
          </w:tcPr>
          <w:p w14:paraId="1EB815D9" w14:textId="77777777" w:rsidR="00676882" w:rsidRDefault="00676882" w:rsidP="00DF45FA">
            <w:pPr>
              <w:pStyle w:val="Tabletext"/>
              <w:jc w:val="center"/>
            </w:pPr>
            <w:r>
              <w:t>0.79</w:t>
            </w:r>
          </w:p>
        </w:tc>
        <w:tc>
          <w:tcPr>
            <w:tcW w:w="1984" w:type="dxa"/>
            <w:tcBorders>
              <w:top w:val="single" w:sz="4" w:space="0" w:color="646464"/>
              <w:left w:val="nil"/>
              <w:bottom w:val="single" w:sz="4" w:space="0" w:color="646464"/>
              <w:right w:val="nil"/>
            </w:tcBorders>
            <w:hideMark/>
          </w:tcPr>
          <w:p w14:paraId="172AF7CE" w14:textId="77777777" w:rsidR="00676882" w:rsidRDefault="00676882" w:rsidP="00DF45FA">
            <w:pPr>
              <w:pStyle w:val="Tabletext"/>
              <w:jc w:val="center"/>
            </w:pPr>
            <w:r>
              <w:t>0.66</w:t>
            </w:r>
          </w:p>
        </w:tc>
      </w:tr>
      <w:tr w:rsidR="00676882" w14:paraId="479AEFD3"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27CBD867" w14:textId="77777777" w:rsidR="00676882" w:rsidRDefault="00676882" w:rsidP="00DF45FA">
            <w:pPr>
              <w:pStyle w:val="Tabletext"/>
            </w:pPr>
            <w:r>
              <w:t>Computers and laptops</w:t>
            </w:r>
          </w:p>
        </w:tc>
        <w:tc>
          <w:tcPr>
            <w:tcW w:w="1984" w:type="dxa"/>
            <w:tcBorders>
              <w:top w:val="single" w:sz="4" w:space="0" w:color="646464"/>
              <w:left w:val="nil"/>
              <w:bottom w:val="single" w:sz="4" w:space="0" w:color="646464"/>
              <w:right w:val="nil"/>
            </w:tcBorders>
            <w:hideMark/>
          </w:tcPr>
          <w:p w14:paraId="5239B4AB" w14:textId="77777777" w:rsidR="00676882" w:rsidRDefault="00676882" w:rsidP="00DF45FA">
            <w:pPr>
              <w:pStyle w:val="Tabletext"/>
            </w:pPr>
            <w:r>
              <w:t>Household occupancy</w:t>
            </w:r>
          </w:p>
        </w:tc>
        <w:tc>
          <w:tcPr>
            <w:tcW w:w="1984" w:type="dxa"/>
            <w:tcBorders>
              <w:top w:val="single" w:sz="4" w:space="0" w:color="646464"/>
              <w:left w:val="nil"/>
              <w:bottom w:val="single" w:sz="4" w:space="0" w:color="646464"/>
              <w:right w:val="nil"/>
            </w:tcBorders>
            <w:hideMark/>
          </w:tcPr>
          <w:p w14:paraId="0AD4E861" w14:textId="77777777" w:rsidR="00676882" w:rsidRDefault="00676882" w:rsidP="00DF45FA">
            <w:pPr>
              <w:pStyle w:val="Tabletext"/>
              <w:jc w:val="center"/>
            </w:pPr>
            <w:r>
              <w:t>0.79</w:t>
            </w:r>
          </w:p>
        </w:tc>
        <w:tc>
          <w:tcPr>
            <w:tcW w:w="1984" w:type="dxa"/>
            <w:tcBorders>
              <w:top w:val="single" w:sz="4" w:space="0" w:color="646464"/>
              <w:left w:val="nil"/>
              <w:bottom w:val="single" w:sz="4" w:space="0" w:color="646464"/>
              <w:right w:val="nil"/>
            </w:tcBorders>
            <w:hideMark/>
          </w:tcPr>
          <w:p w14:paraId="24E38611" w14:textId="77777777" w:rsidR="00676882" w:rsidRDefault="00676882" w:rsidP="00DF45FA">
            <w:pPr>
              <w:pStyle w:val="Tabletext"/>
              <w:jc w:val="center"/>
            </w:pPr>
            <w:r>
              <w:t>0.66</w:t>
            </w:r>
          </w:p>
        </w:tc>
      </w:tr>
      <w:tr w:rsidR="00676882" w14:paraId="10683C5D"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1DEF4D97" w14:textId="77777777" w:rsidR="00676882" w:rsidRDefault="00676882" w:rsidP="00DF45FA">
            <w:pPr>
              <w:pStyle w:val="Tabletext"/>
            </w:pPr>
            <w:r>
              <w:t>Other consumer electronics including mobile chargers, printers et cetera</w:t>
            </w:r>
          </w:p>
        </w:tc>
        <w:tc>
          <w:tcPr>
            <w:tcW w:w="1984" w:type="dxa"/>
            <w:tcBorders>
              <w:top w:val="single" w:sz="4" w:space="0" w:color="646464"/>
              <w:left w:val="nil"/>
              <w:bottom w:val="single" w:sz="4" w:space="0" w:color="646464"/>
              <w:right w:val="nil"/>
            </w:tcBorders>
            <w:hideMark/>
          </w:tcPr>
          <w:p w14:paraId="00806ED4" w14:textId="77777777" w:rsidR="00676882" w:rsidRDefault="00676882" w:rsidP="00DF45FA">
            <w:pPr>
              <w:pStyle w:val="Tabletext"/>
            </w:pPr>
            <w:r>
              <w:t>Household occupancy</w:t>
            </w:r>
          </w:p>
        </w:tc>
        <w:tc>
          <w:tcPr>
            <w:tcW w:w="1984" w:type="dxa"/>
            <w:tcBorders>
              <w:top w:val="single" w:sz="4" w:space="0" w:color="646464"/>
              <w:left w:val="nil"/>
              <w:bottom w:val="single" w:sz="4" w:space="0" w:color="646464"/>
              <w:right w:val="nil"/>
            </w:tcBorders>
            <w:hideMark/>
          </w:tcPr>
          <w:p w14:paraId="5A286DBE" w14:textId="77777777" w:rsidR="00676882" w:rsidRDefault="00676882" w:rsidP="00DF45FA">
            <w:pPr>
              <w:pStyle w:val="Tabletext"/>
              <w:jc w:val="center"/>
            </w:pPr>
            <w:r>
              <w:t>0.87</w:t>
            </w:r>
          </w:p>
        </w:tc>
        <w:tc>
          <w:tcPr>
            <w:tcW w:w="1984" w:type="dxa"/>
            <w:tcBorders>
              <w:top w:val="single" w:sz="4" w:space="0" w:color="646464"/>
              <w:left w:val="nil"/>
              <w:bottom w:val="single" w:sz="4" w:space="0" w:color="646464"/>
              <w:right w:val="nil"/>
            </w:tcBorders>
            <w:hideMark/>
          </w:tcPr>
          <w:p w14:paraId="5C06EABD" w14:textId="77777777" w:rsidR="00676882" w:rsidRDefault="00676882" w:rsidP="00DF45FA">
            <w:pPr>
              <w:pStyle w:val="Tabletext"/>
              <w:jc w:val="center"/>
            </w:pPr>
            <w:r>
              <w:t>0.73</w:t>
            </w:r>
          </w:p>
        </w:tc>
      </w:tr>
      <w:tr w:rsidR="00676882" w14:paraId="7CDB5B31"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09E07E40" w14:textId="77777777" w:rsidR="00676882" w:rsidRDefault="00676882" w:rsidP="00DF45FA">
            <w:pPr>
              <w:pStyle w:val="Tabletext"/>
            </w:pPr>
            <w:r>
              <w:t>Other miscellaneous appliances including kettles, toasters, hairdryers, shavers et cetera</w:t>
            </w:r>
          </w:p>
        </w:tc>
        <w:tc>
          <w:tcPr>
            <w:tcW w:w="1984" w:type="dxa"/>
            <w:tcBorders>
              <w:top w:val="single" w:sz="4" w:space="0" w:color="646464"/>
              <w:left w:val="nil"/>
              <w:bottom w:val="single" w:sz="4" w:space="0" w:color="646464"/>
              <w:right w:val="nil"/>
            </w:tcBorders>
            <w:hideMark/>
          </w:tcPr>
          <w:p w14:paraId="04581527" w14:textId="77777777" w:rsidR="00676882" w:rsidRDefault="00676882" w:rsidP="00DF45FA">
            <w:pPr>
              <w:pStyle w:val="Tabletext"/>
            </w:pPr>
            <w:r>
              <w:t>Household occupancy</w:t>
            </w:r>
          </w:p>
        </w:tc>
        <w:tc>
          <w:tcPr>
            <w:tcW w:w="1984" w:type="dxa"/>
            <w:tcBorders>
              <w:top w:val="single" w:sz="4" w:space="0" w:color="646464"/>
              <w:left w:val="nil"/>
              <w:bottom w:val="single" w:sz="4" w:space="0" w:color="646464"/>
              <w:right w:val="nil"/>
            </w:tcBorders>
            <w:hideMark/>
          </w:tcPr>
          <w:p w14:paraId="4230199D" w14:textId="77777777" w:rsidR="00676882" w:rsidRDefault="00676882" w:rsidP="00DF45FA">
            <w:pPr>
              <w:pStyle w:val="Tabletext"/>
              <w:jc w:val="center"/>
            </w:pPr>
            <w:r>
              <w:t>0.83</w:t>
            </w:r>
          </w:p>
        </w:tc>
        <w:tc>
          <w:tcPr>
            <w:tcW w:w="1984" w:type="dxa"/>
            <w:tcBorders>
              <w:top w:val="single" w:sz="4" w:space="0" w:color="646464"/>
              <w:left w:val="nil"/>
              <w:bottom w:val="single" w:sz="4" w:space="0" w:color="646464"/>
              <w:right w:val="nil"/>
            </w:tcBorders>
            <w:hideMark/>
          </w:tcPr>
          <w:p w14:paraId="4A536876" w14:textId="77777777" w:rsidR="00676882" w:rsidRDefault="00676882" w:rsidP="00DF45FA">
            <w:pPr>
              <w:pStyle w:val="Tabletext"/>
              <w:jc w:val="center"/>
            </w:pPr>
            <w:r>
              <w:t>0.69</w:t>
            </w:r>
          </w:p>
        </w:tc>
      </w:tr>
      <w:tr w:rsidR="00676882" w14:paraId="7235CFF3" w14:textId="77777777" w:rsidTr="00DF45FA">
        <w:trPr>
          <w:gridBefore w:val="1"/>
          <w:wBefore w:w="454" w:type="dxa"/>
        </w:trPr>
        <w:tc>
          <w:tcPr>
            <w:tcW w:w="1984" w:type="dxa"/>
            <w:tcBorders>
              <w:top w:val="single" w:sz="4" w:space="0" w:color="646464"/>
              <w:left w:val="nil"/>
              <w:bottom w:val="single" w:sz="4" w:space="0" w:color="646464"/>
              <w:right w:val="nil"/>
            </w:tcBorders>
            <w:hideMark/>
          </w:tcPr>
          <w:p w14:paraId="06466F53" w14:textId="77777777" w:rsidR="00676882" w:rsidRDefault="00676882" w:rsidP="00DF45FA">
            <w:pPr>
              <w:pStyle w:val="Tabletext"/>
            </w:pPr>
            <w:r>
              <w:t>Residential pool/spas</w:t>
            </w:r>
          </w:p>
        </w:tc>
        <w:tc>
          <w:tcPr>
            <w:tcW w:w="1984" w:type="dxa"/>
            <w:tcBorders>
              <w:top w:val="single" w:sz="4" w:space="0" w:color="646464"/>
              <w:left w:val="nil"/>
              <w:bottom w:val="single" w:sz="4" w:space="0" w:color="646464"/>
              <w:right w:val="nil"/>
            </w:tcBorders>
            <w:hideMark/>
          </w:tcPr>
          <w:p w14:paraId="572974D4" w14:textId="77777777" w:rsidR="00676882" w:rsidRDefault="00676882" w:rsidP="00DF45FA">
            <w:pPr>
              <w:pStyle w:val="Tabletext"/>
            </w:pPr>
            <w:r>
              <w:t>Household occupancy, Ergon Energy profile</w:t>
            </w:r>
          </w:p>
        </w:tc>
        <w:tc>
          <w:tcPr>
            <w:tcW w:w="1984" w:type="dxa"/>
            <w:tcBorders>
              <w:top w:val="single" w:sz="4" w:space="0" w:color="646464"/>
              <w:left w:val="nil"/>
              <w:bottom w:val="single" w:sz="4" w:space="0" w:color="646464"/>
              <w:right w:val="nil"/>
            </w:tcBorders>
            <w:hideMark/>
          </w:tcPr>
          <w:p w14:paraId="6C73D343" w14:textId="77777777" w:rsidR="00676882" w:rsidRDefault="00676882" w:rsidP="00DF45FA">
            <w:pPr>
              <w:pStyle w:val="Tabletext"/>
              <w:jc w:val="center"/>
            </w:pPr>
            <w:r>
              <w:t>0.73</w:t>
            </w:r>
          </w:p>
        </w:tc>
        <w:tc>
          <w:tcPr>
            <w:tcW w:w="1984" w:type="dxa"/>
            <w:tcBorders>
              <w:top w:val="single" w:sz="4" w:space="0" w:color="646464"/>
              <w:left w:val="nil"/>
              <w:bottom w:val="single" w:sz="4" w:space="0" w:color="646464"/>
              <w:right w:val="nil"/>
            </w:tcBorders>
            <w:hideMark/>
          </w:tcPr>
          <w:p w14:paraId="327CA0E9" w14:textId="77777777" w:rsidR="00676882" w:rsidRDefault="00676882" w:rsidP="00DF45FA">
            <w:pPr>
              <w:pStyle w:val="Tabletext"/>
              <w:jc w:val="center"/>
            </w:pPr>
            <w:r>
              <w:t>0.84</w:t>
            </w:r>
          </w:p>
        </w:tc>
      </w:tr>
      <w:tr w:rsidR="00676882" w14:paraId="28FB2831" w14:textId="77777777" w:rsidTr="00DF45FA">
        <w:trPr>
          <w:gridBefore w:val="1"/>
          <w:wBefore w:w="454" w:type="dxa"/>
        </w:trPr>
        <w:tc>
          <w:tcPr>
            <w:tcW w:w="7936" w:type="dxa"/>
            <w:gridSpan w:val="4"/>
            <w:tcBorders>
              <w:top w:val="single" w:sz="4" w:space="0" w:color="646464"/>
              <w:left w:val="nil"/>
              <w:bottom w:val="single" w:sz="4" w:space="0" w:color="646464"/>
              <w:right w:val="nil"/>
            </w:tcBorders>
            <w:hideMark/>
          </w:tcPr>
          <w:p w14:paraId="15779E28" w14:textId="77777777" w:rsidR="00676882" w:rsidRDefault="00676882" w:rsidP="00DF45FA">
            <w:pPr>
              <w:pStyle w:val="Source"/>
            </w:pPr>
            <w:r>
              <w:t xml:space="preserve">Source: </w:t>
            </w:r>
            <w:sdt>
              <w:sdtPr>
                <w:id w:val="-190685782"/>
                <w:citation/>
              </w:sdtPr>
              <w:sdtContent>
                <w:r>
                  <w:fldChar w:fldCharType="begin"/>
                </w:r>
                <w:r>
                  <w:instrText xml:space="preserve"> CITATION Jac19 \l 3081 </w:instrText>
                </w:r>
                <w:r>
                  <w:fldChar w:fldCharType="separate"/>
                </w:r>
                <w:r>
                  <w:rPr>
                    <w:noProof/>
                  </w:rPr>
                  <w:t>(Jacobs, 2019)</w:t>
                </w:r>
                <w:r>
                  <w:fldChar w:fldCharType="end"/>
                </w:r>
              </w:sdtContent>
            </w:sdt>
          </w:p>
        </w:tc>
      </w:tr>
      <w:tr w:rsidR="00676882" w14:paraId="629B38D3" w14:textId="77777777" w:rsidTr="00DF45FA">
        <w:trPr>
          <w:gridBefore w:val="1"/>
          <w:wBefore w:w="454" w:type="dxa"/>
          <w:trHeight w:val="160"/>
        </w:trPr>
        <w:tc>
          <w:tcPr>
            <w:tcW w:w="7936" w:type="dxa"/>
            <w:gridSpan w:val="4"/>
            <w:tcBorders>
              <w:top w:val="single" w:sz="4" w:space="0" w:color="646464"/>
              <w:left w:val="nil"/>
              <w:bottom w:val="nil"/>
              <w:right w:val="nil"/>
            </w:tcBorders>
          </w:tcPr>
          <w:p w14:paraId="4641BA77" w14:textId="77777777" w:rsidR="00676882" w:rsidRDefault="00676882" w:rsidP="00DF45FA">
            <w:pPr>
              <w:pStyle w:val="spacer"/>
            </w:pPr>
          </w:p>
        </w:tc>
      </w:tr>
    </w:tbl>
    <w:p w14:paraId="77DFEF6F" w14:textId="77777777" w:rsidR="00676882" w:rsidRDefault="00676882" w:rsidP="00676882">
      <w:pPr>
        <w:pStyle w:val="Heading5AP"/>
        <w:numPr>
          <w:ilvl w:val="4"/>
          <w:numId w:val="45"/>
        </w:numPr>
      </w:pPr>
      <w:r>
        <w:t>Quantifying the network benefits</w:t>
      </w:r>
    </w:p>
    <w:p w14:paraId="64F16E08" w14:textId="77777777" w:rsidR="00676882" w:rsidRDefault="00676882" w:rsidP="00676882">
      <w:pPr>
        <w:pStyle w:val="BodyText"/>
      </w:pPr>
      <w:r>
        <w:t>The network benefits have been calculated based on the incremental reduction in peak demand in each year and the capital expenditure that would have been avoided by that reduction in peak demand.</w:t>
      </w:r>
    </w:p>
    <w:p w14:paraId="1D171ABA" w14:textId="77777777" w:rsidR="00676882" w:rsidRDefault="00676882" w:rsidP="00676882">
      <w:pPr>
        <w:pStyle w:val="BodyText"/>
      </w:pPr>
      <w:r>
        <w:t>The avoided transmission network benefits have been estimated using the same transmission deferral benefit as used in the 2019 Jacobs report ($500/kW), escalated from 2019 dollars to 2020 dollars. This value was:</w:t>
      </w:r>
    </w:p>
    <w:p w14:paraId="1A6901AD" w14:textId="77777777" w:rsidR="00676882" w:rsidRDefault="00676882" w:rsidP="00676882">
      <w:pPr>
        <w:pStyle w:val="Quote"/>
      </w:pPr>
      <w:r>
        <w:t>… based on in-house advice and has been chosen because it conservatively reflects the uncertainty associated with network deferrals, and because the value of transmission deferrals is usually not material.</w:t>
      </w:r>
    </w:p>
    <w:p w14:paraId="497214DA" w14:textId="77777777" w:rsidR="00676882" w:rsidRDefault="00676882" w:rsidP="00676882">
      <w:r>
        <w:lastRenderedPageBreak/>
        <w:t xml:space="preserve">We have estimated the distribution network benefit using the forecast capital expenditure on load growth in the most recent revenue determinations for each electricity distributor and the forecast growth in peak demand. Based on this data, we have assumed that the costs associated with growing the distribution network are around $3,000/kW, noting that the cost varies widely across electricity distributors as the demand growth is very low or negative in many electricity distribution areas. </w:t>
      </w:r>
    </w:p>
    <w:p w14:paraId="3896C237" w14:textId="77777777" w:rsidR="00676882" w:rsidRDefault="00676882" w:rsidP="00676882">
      <w:r>
        <w:t>Consistent with the 2019 Jacobs report, we have applied a discount factor of 70 per cent to:</w:t>
      </w:r>
    </w:p>
    <w:p w14:paraId="0AA59BB7" w14:textId="77777777" w:rsidR="00676882" w:rsidRDefault="00676882" w:rsidP="00676882">
      <w:pPr>
        <w:pStyle w:val="Quote"/>
      </w:pPr>
      <w:r>
        <w:t xml:space="preserve">… allow for the uncertainty involved in networks </w:t>
      </w:r>
      <w:proofErr w:type="gramStart"/>
      <w:r>
        <w:t>actually being</w:t>
      </w:r>
      <w:proofErr w:type="gramEnd"/>
      <w:r>
        <w:t xml:space="preserve"> able to recoup the benefits from the programs.</w:t>
      </w:r>
      <w:r>
        <w:rPr>
          <w:rStyle w:val="FootnoteReference"/>
        </w:rPr>
        <w:footnoteReference w:id="22"/>
      </w:r>
      <w:r>
        <w:t xml:space="preserve"> </w:t>
      </w:r>
    </w:p>
    <w:p w14:paraId="0E5365E5" w14:textId="77777777" w:rsidR="00676882" w:rsidRDefault="00676882" w:rsidP="00676882">
      <w:pPr>
        <w:pStyle w:val="Heading4AP"/>
        <w:numPr>
          <w:ilvl w:val="3"/>
          <w:numId w:val="45"/>
        </w:numPr>
      </w:pPr>
      <w:r>
        <w:t>Avoided costs of additional renewable energy</w:t>
      </w:r>
    </w:p>
    <w:p w14:paraId="3078AE53" w14:textId="77777777" w:rsidR="00676882" w:rsidRDefault="00676882" w:rsidP="00676882">
      <w:pPr>
        <w:pStyle w:val="BodyText"/>
      </w:pPr>
      <w:r>
        <w:t xml:space="preserve">The ACT Government has legislated a target to source 100 per cent renewable electricity by 2020. It has undertaken </w:t>
      </w:r>
      <w:proofErr w:type="gramStart"/>
      <w:r>
        <w:t>a number of</w:t>
      </w:r>
      <w:proofErr w:type="gramEnd"/>
      <w:r>
        <w:t xml:space="preserve"> competitive reverse auctions to effectively purchase renewable energy to offset the electricity that is consumed in the ACT to meet the target and more recently to maintain that target. </w:t>
      </w:r>
    </w:p>
    <w:p w14:paraId="20C47F78" w14:textId="77777777" w:rsidR="00676882" w:rsidRDefault="00676882" w:rsidP="00676882">
      <w:pPr>
        <w:pStyle w:val="BodyText"/>
      </w:pPr>
      <w:r>
        <w:t>In the absence of this policy initiative, it is expected that additional auctions will be held to maintain the target over time. The avoided costs of additional renewable energy are the costs avoided by reducing the amount of additional renewable energy that would be purchased to maintain the target over time. These prices have been taken from the previous four quarters of auction results available online.</w:t>
      </w:r>
      <w:r>
        <w:rPr>
          <w:rStyle w:val="FootnoteReference"/>
        </w:rPr>
        <w:footnoteReference w:id="23"/>
      </w:r>
      <w:r>
        <w:t xml:space="preserve"> This has been assessed as $14,706 per TJ and assumed to be fixed, in real terms, over the life of the investment.</w:t>
      </w:r>
    </w:p>
    <w:p w14:paraId="2D5AE5DA" w14:textId="77777777" w:rsidR="00676882" w:rsidRDefault="00676882" w:rsidP="00676882">
      <w:pPr>
        <w:pStyle w:val="Heading2AP"/>
        <w:numPr>
          <w:ilvl w:val="1"/>
          <w:numId w:val="45"/>
        </w:numPr>
      </w:pPr>
      <w:bookmarkStart w:id="399" w:name="_Toc80281736"/>
      <w:bookmarkStart w:id="400" w:name="_Ref80467181"/>
      <w:bookmarkStart w:id="401" w:name="_Toc80712614"/>
      <w:r>
        <w:t>Analysis of costs</w:t>
      </w:r>
      <w:bookmarkEnd w:id="399"/>
      <w:bookmarkEnd w:id="400"/>
      <w:bookmarkEnd w:id="401"/>
    </w:p>
    <w:p w14:paraId="1330AC12" w14:textId="77777777" w:rsidR="00676882" w:rsidRDefault="00676882" w:rsidP="00676882">
      <w:pPr>
        <w:pStyle w:val="BodyText"/>
      </w:pPr>
      <w:proofErr w:type="gramStart"/>
      <w:r>
        <w:t>Similar to</w:t>
      </w:r>
      <w:proofErr w:type="gramEnd"/>
      <w:r>
        <w:t xml:space="preserve"> the benefits, the proposed minimum standards will impose some costs at the individual (dwelling) level (such as the capital outlays to meet the increased energy efficiency requirements) and some economywide costs. The costs that will be assessed in the analysis are discussed below.</w:t>
      </w:r>
    </w:p>
    <w:p w14:paraId="4D45FA24" w14:textId="77777777" w:rsidR="00676882" w:rsidRDefault="00676882" w:rsidP="00676882">
      <w:pPr>
        <w:pStyle w:val="Heading3AP"/>
        <w:numPr>
          <w:ilvl w:val="2"/>
          <w:numId w:val="45"/>
        </w:numPr>
      </w:pPr>
      <w:r>
        <w:t>Household costs</w:t>
      </w:r>
    </w:p>
    <w:p w14:paraId="109A1B7C" w14:textId="77777777" w:rsidR="00676882" w:rsidRDefault="00676882" w:rsidP="00676882">
      <w:pPr>
        <w:pStyle w:val="BodyText"/>
      </w:pPr>
      <w:r>
        <w:t xml:space="preserve">As outlined in section </w:t>
      </w:r>
      <w:r w:rsidRPr="009E4AB1">
        <w:fldChar w:fldCharType="begin"/>
      </w:r>
      <w:r w:rsidRPr="009E4AB1">
        <w:instrText xml:space="preserve"> REF _Ref76311295 \r \h  \* MERGEFORMAT </w:instrText>
      </w:r>
      <w:r w:rsidRPr="009E4AB1">
        <w:fldChar w:fldCharType="separate"/>
      </w:r>
      <w:r>
        <w:t>5.1</w:t>
      </w:r>
      <w:r w:rsidRPr="009E4AB1">
        <w:fldChar w:fldCharType="end"/>
      </w:r>
      <w:r>
        <w:t>, depending on the policy option analysed, the household costs that are be included in the analysis are:</w:t>
      </w:r>
    </w:p>
    <w:p w14:paraId="031D26D0" w14:textId="77777777" w:rsidR="00676882" w:rsidRDefault="00676882" w:rsidP="00676882">
      <w:pPr>
        <w:pStyle w:val="ListBullet"/>
      </w:pPr>
      <w:r>
        <w:t>Upgrade costs – the cost of any energy efficiency measures installed as a result of the policy (for all policy options) and of any required maintenance/servicing of these upgrades (where relevant), excluding rebates.</w:t>
      </w:r>
      <w:r>
        <w:rPr>
          <w:rStyle w:val="FootnoteReference"/>
        </w:rPr>
        <w:footnoteReference w:id="24"/>
      </w:r>
      <w:r w:rsidRPr="007378E2">
        <w:t xml:space="preserve"> </w:t>
      </w:r>
      <w:r w:rsidRPr="00DA7E2B">
        <w:t>It</w:t>
      </w:r>
      <w:r>
        <w:t xml:space="preserve"> </w:t>
      </w:r>
      <w:r w:rsidRPr="00DA7E2B">
        <w:t>is</w:t>
      </w:r>
      <w:r>
        <w:t xml:space="preserve"> </w:t>
      </w:r>
      <w:r w:rsidRPr="00DA7E2B">
        <w:t>assumed</w:t>
      </w:r>
      <w:r>
        <w:t xml:space="preserve"> </w:t>
      </w:r>
      <w:r w:rsidRPr="00DA7E2B">
        <w:t>that</w:t>
      </w:r>
      <w:r>
        <w:t xml:space="preserve"> </w:t>
      </w:r>
      <w:r w:rsidRPr="00DA7E2B">
        <w:t>the</w:t>
      </w:r>
      <w:r>
        <w:t xml:space="preserve"> </w:t>
      </w:r>
      <w:r w:rsidRPr="00DA7E2B">
        <w:t>resource</w:t>
      </w:r>
      <w:r>
        <w:t xml:space="preserve"> </w:t>
      </w:r>
      <w:r w:rsidRPr="00DA7E2B">
        <w:t>cost</w:t>
      </w:r>
      <w:r>
        <w:t xml:space="preserve"> </w:t>
      </w:r>
      <w:r w:rsidRPr="00DA7E2B">
        <w:t>of</w:t>
      </w:r>
      <w:r>
        <w:t xml:space="preserve"> </w:t>
      </w:r>
      <w:r w:rsidRPr="00DA7E2B">
        <w:t>the</w:t>
      </w:r>
      <w:r>
        <w:t xml:space="preserve">se upgrades is </w:t>
      </w:r>
      <w:r w:rsidRPr="00DA7E2B">
        <w:t>equal</w:t>
      </w:r>
      <w:r>
        <w:t xml:space="preserve"> </w:t>
      </w:r>
      <w:r w:rsidRPr="00DA7E2B">
        <w:t>to</w:t>
      </w:r>
      <w:r>
        <w:t xml:space="preserve"> 90 </w:t>
      </w:r>
      <w:r w:rsidRPr="00DA7E2B">
        <w:t>per</w:t>
      </w:r>
      <w:r>
        <w:t xml:space="preserve"> </w:t>
      </w:r>
      <w:r w:rsidRPr="00DA7E2B">
        <w:t>cent</w:t>
      </w:r>
      <w:r>
        <w:t xml:space="preserve"> </w:t>
      </w:r>
      <w:r w:rsidRPr="00DA7E2B">
        <w:t>of</w:t>
      </w:r>
      <w:r>
        <w:t xml:space="preserve"> </w:t>
      </w:r>
      <w:r w:rsidRPr="00DA7E2B">
        <w:t>the</w:t>
      </w:r>
      <w:r>
        <w:t xml:space="preserve"> upgrade costs estimated by EES</w:t>
      </w:r>
      <w:r w:rsidRPr="00DA7E2B">
        <w:t>.</w:t>
      </w:r>
      <w:r>
        <w:rPr>
          <w:rStyle w:val="FootnoteReference"/>
        </w:rPr>
        <w:footnoteReference w:id="25"/>
      </w:r>
      <w:r w:rsidRPr="00DA7E2B">
        <w:t xml:space="preserve"> Resource</w:t>
      </w:r>
      <w:r>
        <w:t xml:space="preserve"> </w:t>
      </w:r>
      <w:r w:rsidRPr="00DA7E2B">
        <w:t>cost</w:t>
      </w:r>
      <w:r>
        <w:t xml:space="preserve"> </w:t>
      </w:r>
      <w:r w:rsidRPr="00DA7E2B">
        <w:t>is</w:t>
      </w:r>
      <w:r>
        <w:t xml:space="preserve"> </w:t>
      </w:r>
      <w:r w:rsidRPr="00DA7E2B">
        <w:t>the</w:t>
      </w:r>
      <w:r>
        <w:t xml:space="preserve"> </w:t>
      </w:r>
      <w:r w:rsidRPr="00DA7E2B">
        <w:t>opportunity</w:t>
      </w:r>
      <w:r>
        <w:t xml:space="preserve"> </w:t>
      </w:r>
      <w:r w:rsidRPr="00DA7E2B">
        <w:t>cost</w:t>
      </w:r>
      <w:r>
        <w:t xml:space="preserve"> </w:t>
      </w:r>
      <w:r w:rsidRPr="00DA7E2B">
        <w:lastRenderedPageBreak/>
        <w:t>of</w:t>
      </w:r>
      <w:r>
        <w:t xml:space="preserve"> </w:t>
      </w:r>
      <w:r w:rsidRPr="00DA7E2B">
        <w:t>allocating</w:t>
      </w:r>
      <w:r>
        <w:t xml:space="preserve"> </w:t>
      </w:r>
      <w:r w:rsidRPr="00DA7E2B">
        <w:t>resources</w:t>
      </w:r>
      <w:r>
        <w:t xml:space="preserve"> </w:t>
      </w:r>
      <w:r w:rsidRPr="00DA7E2B">
        <w:t>to</w:t>
      </w:r>
      <w:r>
        <w:t xml:space="preserve"> </w:t>
      </w:r>
      <w:r w:rsidRPr="00DA7E2B">
        <w:t>the</w:t>
      </w:r>
      <w:r>
        <w:t xml:space="preserve"> </w:t>
      </w:r>
      <w:r w:rsidRPr="00DA7E2B">
        <w:t>production</w:t>
      </w:r>
      <w:r>
        <w:t xml:space="preserve"> </w:t>
      </w:r>
      <w:r w:rsidRPr="00DA7E2B">
        <w:t>and</w:t>
      </w:r>
      <w:r>
        <w:t xml:space="preserve"> </w:t>
      </w:r>
      <w:r w:rsidRPr="00DA7E2B">
        <w:t>installation</w:t>
      </w:r>
      <w:r>
        <w:t xml:space="preserve"> </w:t>
      </w:r>
      <w:r w:rsidRPr="00DA7E2B">
        <w:t>of</w:t>
      </w:r>
      <w:r>
        <w:t xml:space="preserve"> </w:t>
      </w:r>
      <w:r w:rsidRPr="00DA7E2B">
        <w:t>the</w:t>
      </w:r>
      <w:r>
        <w:t xml:space="preserve"> </w:t>
      </w:r>
      <w:r w:rsidRPr="00DA7E2B">
        <w:t>energy</w:t>
      </w:r>
      <w:r>
        <w:t xml:space="preserve"> </w:t>
      </w:r>
      <w:r w:rsidRPr="00DA7E2B">
        <w:t>efficiency</w:t>
      </w:r>
      <w:r>
        <w:t xml:space="preserve"> </w:t>
      </w:r>
      <w:r w:rsidRPr="00DA7E2B">
        <w:t>upgrades</w:t>
      </w:r>
      <w:r>
        <w:t xml:space="preserve"> </w:t>
      </w:r>
      <w:r w:rsidRPr="00DA7E2B">
        <w:t>(instead</w:t>
      </w:r>
      <w:r>
        <w:t xml:space="preserve"> </w:t>
      </w:r>
      <w:r w:rsidRPr="00DA7E2B">
        <w:t>of</w:t>
      </w:r>
      <w:r>
        <w:t xml:space="preserve"> </w:t>
      </w:r>
      <w:r w:rsidRPr="00DA7E2B">
        <w:t>some</w:t>
      </w:r>
      <w:r>
        <w:t xml:space="preserve"> </w:t>
      </w:r>
      <w:r w:rsidRPr="00DA7E2B">
        <w:t>other</w:t>
      </w:r>
      <w:r>
        <w:t xml:space="preserve"> </w:t>
      </w:r>
      <w:r w:rsidRPr="00DA7E2B">
        <w:t>products</w:t>
      </w:r>
      <w:r>
        <w:t xml:space="preserve"> </w:t>
      </w:r>
      <w:r w:rsidRPr="00DA7E2B">
        <w:t>or</w:t>
      </w:r>
      <w:r>
        <w:t xml:space="preserve"> </w:t>
      </w:r>
      <w:r w:rsidRPr="00DA7E2B">
        <w:t>services).</w:t>
      </w:r>
      <w:r>
        <w:t xml:space="preserve"> </w:t>
      </w:r>
      <w:r w:rsidRPr="00DA7E2B">
        <w:t>In</w:t>
      </w:r>
      <w:r>
        <w:t xml:space="preserve"> </w:t>
      </w:r>
      <w:r w:rsidRPr="00DA7E2B">
        <w:t>calculating</w:t>
      </w:r>
      <w:r>
        <w:t xml:space="preserve"> </w:t>
      </w:r>
      <w:r w:rsidRPr="00DA7E2B">
        <w:t>opportunity</w:t>
      </w:r>
      <w:r>
        <w:t xml:space="preserve"> </w:t>
      </w:r>
      <w:r w:rsidRPr="00DA7E2B">
        <w:t>costs,</w:t>
      </w:r>
      <w:r>
        <w:t xml:space="preserve"> </w:t>
      </w:r>
      <w:r w:rsidRPr="00DA7E2B">
        <w:t>producer</w:t>
      </w:r>
      <w:r>
        <w:t xml:space="preserve"> </w:t>
      </w:r>
      <w:r w:rsidRPr="00DA7E2B">
        <w:t>surplus</w:t>
      </w:r>
      <w:r>
        <w:t xml:space="preserve"> </w:t>
      </w:r>
      <w:r w:rsidRPr="00DA7E2B">
        <w:t>and</w:t>
      </w:r>
      <w:r>
        <w:t xml:space="preserve"> </w:t>
      </w:r>
      <w:r w:rsidRPr="00DA7E2B">
        <w:t>costs</w:t>
      </w:r>
      <w:r>
        <w:t xml:space="preserve"> </w:t>
      </w:r>
      <w:r w:rsidRPr="00DA7E2B">
        <w:t>of</w:t>
      </w:r>
      <w:r>
        <w:t xml:space="preserve"> </w:t>
      </w:r>
      <w:r w:rsidRPr="00DA7E2B">
        <w:t>labour</w:t>
      </w:r>
      <w:r>
        <w:t xml:space="preserve"> </w:t>
      </w:r>
      <w:r w:rsidRPr="00DA7E2B">
        <w:t>that</w:t>
      </w:r>
      <w:r>
        <w:t xml:space="preserve"> </w:t>
      </w:r>
      <w:r w:rsidRPr="00DA7E2B">
        <w:t>would</w:t>
      </w:r>
      <w:r>
        <w:t xml:space="preserve"> </w:t>
      </w:r>
      <w:r w:rsidRPr="00DA7E2B">
        <w:t>otherwise</w:t>
      </w:r>
      <w:r>
        <w:t xml:space="preserve"> </w:t>
      </w:r>
      <w:r w:rsidRPr="00DA7E2B">
        <w:t>be</w:t>
      </w:r>
      <w:r>
        <w:t xml:space="preserve"> </w:t>
      </w:r>
      <w:r w:rsidRPr="00DA7E2B">
        <w:t>unemployed</w:t>
      </w:r>
      <w:r>
        <w:t xml:space="preserve"> </w:t>
      </w:r>
      <w:r w:rsidRPr="00DA7E2B">
        <w:t>are</w:t>
      </w:r>
      <w:r>
        <w:t xml:space="preserve"> </w:t>
      </w:r>
      <w:r w:rsidRPr="00DA7E2B">
        <w:t>deducted</w:t>
      </w:r>
      <w:r>
        <w:t xml:space="preserve"> </w:t>
      </w:r>
      <w:r w:rsidRPr="00DA7E2B">
        <w:t>from</w:t>
      </w:r>
      <w:r>
        <w:t xml:space="preserve"> </w:t>
      </w:r>
      <w:r w:rsidRPr="00DA7E2B">
        <w:t>gross</w:t>
      </w:r>
      <w:r>
        <w:t xml:space="preserve"> </w:t>
      </w:r>
      <w:r w:rsidRPr="00DA7E2B">
        <w:t>costs.</w:t>
      </w:r>
      <w:r>
        <w:t xml:space="preserve"> </w:t>
      </w:r>
      <w:r w:rsidRPr="00DA7E2B">
        <w:t>Producer</w:t>
      </w:r>
      <w:r>
        <w:t xml:space="preserve"> </w:t>
      </w:r>
      <w:r w:rsidRPr="00DA7E2B">
        <w:t>surplus</w:t>
      </w:r>
      <w:r>
        <w:t xml:space="preserve"> </w:t>
      </w:r>
      <w:r w:rsidRPr="00DA7E2B">
        <w:t>is</w:t>
      </w:r>
      <w:r>
        <w:t xml:space="preserve"> </w:t>
      </w:r>
      <w:r w:rsidRPr="00DA7E2B">
        <w:t>the</w:t>
      </w:r>
      <w:r>
        <w:t xml:space="preserve"> </w:t>
      </w:r>
      <w:r w:rsidRPr="00DA7E2B">
        <w:t>difference</w:t>
      </w:r>
      <w:r>
        <w:t xml:space="preserve"> </w:t>
      </w:r>
      <w:r w:rsidRPr="00DA7E2B">
        <w:t>between</w:t>
      </w:r>
      <w:r>
        <w:t xml:space="preserve"> </w:t>
      </w:r>
      <w:r w:rsidRPr="00DA7E2B">
        <w:t>what</w:t>
      </w:r>
      <w:r>
        <w:t xml:space="preserve"> </w:t>
      </w:r>
      <w:r w:rsidRPr="00DA7E2B">
        <w:t>producers</w:t>
      </w:r>
      <w:r>
        <w:t xml:space="preserve"> </w:t>
      </w:r>
      <w:r w:rsidRPr="00DA7E2B">
        <w:t>are</w:t>
      </w:r>
      <w:r>
        <w:t xml:space="preserve"> </w:t>
      </w:r>
      <w:r w:rsidRPr="00DA7E2B">
        <w:t>willing</w:t>
      </w:r>
      <w:r>
        <w:t xml:space="preserve"> </w:t>
      </w:r>
      <w:r w:rsidRPr="00DA7E2B">
        <w:t>and</w:t>
      </w:r>
      <w:r>
        <w:t xml:space="preserve"> </w:t>
      </w:r>
      <w:r w:rsidRPr="00DA7E2B">
        <w:t>able</w:t>
      </w:r>
      <w:r>
        <w:t xml:space="preserve"> </w:t>
      </w:r>
      <w:r w:rsidRPr="00DA7E2B">
        <w:t>to</w:t>
      </w:r>
      <w:r>
        <w:t xml:space="preserve"> </w:t>
      </w:r>
      <w:r w:rsidRPr="00DA7E2B">
        <w:t>supply</w:t>
      </w:r>
      <w:r>
        <w:t xml:space="preserve"> </w:t>
      </w:r>
      <w:r w:rsidRPr="00DA7E2B">
        <w:t>a</w:t>
      </w:r>
      <w:r>
        <w:t xml:space="preserve"> </w:t>
      </w:r>
      <w:r w:rsidRPr="00DA7E2B">
        <w:t>good</w:t>
      </w:r>
      <w:r>
        <w:t xml:space="preserve"> </w:t>
      </w:r>
      <w:r w:rsidRPr="00DA7E2B">
        <w:t>for</w:t>
      </w:r>
      <w:r>
        <w:t xml:space="preserve"> </w:t>
      </w:r>
      <w:r w:rsidRPr="00DA7E2B">
        <w:t>and</w:t>
      </w:r>
      <w:r>
        <w:t xml:space="preserve"> </w:t>
      </w:r>
      <w:r w:rsidRPr="00DA7E2B">
        <w:t>the</w:t>
      </w:r>
      <w:r>
        <w:t xml:space="preserve"> </w:t>
      </w:r>
      <w:r w:rsidRPr="00DA7E2B">
        <w:t>price</w:t>
      </w:r>
      <w:r>
        <w:t xml:space="preserve"> </w:t>
      </w:r>
      <w:r w:rsidRPr="00DA7E2B">
        <w:t>they</w:t>
      </w:r>
      <w:r>
        <w:t xml:space="preserve"> </w:t>
      </w:r>
      <w:proofErr w:type="gramStart"/>
      <w:r w:rsidRPr="00DA7E2B">
        <w:t>actually</w:t>
      </w:r>
      <w:r>
        <w:t xml:space="preserve"> </w:t>
      </w:r>
      <w:r w:rsidRPr="00DA7E2B">
        <w:t>receive</w:t>
      </w:r>
      <w:proofErr w:type="gramEnd"/>
      <w:r w:rsidRPr="00DA7E2B">
        <w:t>.</w:t>
      </w:r>
      <w:r>
        <w:t xml:space="preserve"> The upgrade costs are described in more detail in Appendix </w:t>
      </w:r>
      <w:r w:rsidRPr="009E4AB1">
        <w:fldChar w:fldCharType="begin"/>
      </w:r>
      <w:r w:rsidRPr="009E4AB1">
        <w:instrText xml:space="preserve"> REF _Ref75909177 \r \h  \* MERGEFORMAT </w:instrText>
      </w:r>
      <w:r w:rsidRPr="009E4AB1">
        <w:fldChar w:fldCharType="separate"/>
      </w:r>
      <w:r>
        <w:t>C</w:t>
      </w:r>
      <w:r w:rsidRPr="009E4AB1">
        <w:fldChar w:fldCharType="end"/>
      </w:r>
      <w:r>
        <w:t xml:space="preserve">. </w:t>
      </w:r>
    </w:p>
    <w:p w14:paraId="1066A6F9" w14:textId="77777777" w:rsidR="00676882" w:rsidRDefault="00676882" w:rsidP="00676882">
      <w:pPr>
        <w:pStyle w:val="ListBullet"/>
      </w:pPr>
      <w:r>
        <w:t>DIY – in the case of DIY upgrades, the time taken for the upgrades are added to the upgrade costs. This cost also discounts for the fact that DIY upgrades will not require time to organise upgrades.</w:t>
      </w:r>
    </w:p>
    <w:p w14:paraId="4D2054C8" w14:textId="77777777" w:rsidR="00676882" w:rsidRDefault="00676882" w:rsidP="00676882">
      <w:pPr>
        <w:pStyle w:val="ListBullet"/>
      </w:pPr>
      <w:r>
        <w:t>Assessment costs – the cost of the energy efficiency assessment and the time households spend with the assessor during the energy assessment (for a performance-based option). For example, for a ceiling insulation minimum standard, an electrician’s assessment has been assumed for all properties prior to upgrading — which aligns with the safety requirements put forward for the EEIS.</w:t>
      </w:r>
    </w:p>
    <w:p w14:paraId="6C616195" w14:textId="77777777" w:rsidR="00676882" w:rsidRDefault="00676882" w:rsidP="00676882">
      <w:pPr>
        <w:pStyle w:val="ListBullet"/>
      </w:pPr>
      <w:r>
        <w:t xml:space="preserve">Rectification costs – in the case of ceiling insulation, some properties will not be in a sufficient condition to make the required upgrades. This includes poor or dangerous wiring, pests, or poor quality of the ceiling space. </w:t>
      </w:r>
    </w:p>
    <w:p w14:paraId="6EE984AA" w14:textId="77777777" w:rsidR="00676882" w:rsidRDefault="00676882" w:rsidP="00676882">
      <w:pPr>
        <w:pStyle w:val="Heading4AP"/>
      </w:pPr>
      <w:r>
        <w:t>Learning rates</w:t>
      </w:r>
    </w:p>
    <w:p w14:paraId="0F93718F" w14:textId="77777777" w:rsidR="00676882" w:rsidRDefault="00676882" w:rsidP="00676882">
      <w:pPr>
        <w:pStyle w:val="ListBullet"/>
        <w:numPr>
          <w:ilvl w:val="0"/>
          <w:numId w:val="0"/>
        </w:numPr>
      </w:pPr>
      <w:r>
        <w:t xml:space="preserve">Learning effects (or learning rates) refer to the rate at which the cost of energy efficiency measures </w:t>
      </w:r>
      <w:proofErr w:type="gramStart"/>
      <w:r>
        <w:t>fall</w:t>
      </w:r>
      <w:proofErr w:type="gramEnd"/>
      <w:r>
        <w:t xml:space="preserve"> over time as a function of:</w:t>
      </w:r>
    </w:p>
    <w:p w14:paraId="267841E8" w14:textId="77777777" w:rsidR="00676882" w:rsidRDefault="00676882" w:rsidP="00676882">
      <w:pPr>
        <w:pStyle w:val="ListBullet"/>
      </w:pPr>
      <w:r>
        <w:t>industry learning (</w:t>
      </w:r>
      <w:proofErr w:type="gramStart"/>
      <w:r>
        <w:t>e.g.</w:t>
      </w:r>
      <w:proofErr w:type="gramEnd"/>
      <w:r>
        <w:t xml:space="preserve"> building designers can retrofit buildings to achieve a higher energy efficiency standard at a lower cost)</w:t>
      </w:r>
    </w:p>
    <w:p w14:paraId="6E853BA4" w14:textId="77777777" w:rsidR="00676882" w:rsidRDefault="00676882" w:rsidP="00676882">
      <w:pPr>
        <w:pStyle w:val="ListBullet"/>
      </w:pPr>
      <w:r>
        <w:t>costs of building materials and energy efficiency products reducing over time as the increased demand leads to economies of scale in production and technological innovation</w:t>
      </w:r>
    </w:p>
    <w:p w14:paraId="084E0508" w14:textId="77777777" w:rsidR="00676882" w:rsidRDefault="00676882" w:rsidP="00676882">
      <w:pPr>
        <w:pStyle w:val="ListBullet"/>
      </w:pPr>
      <w:r>
        <w:t>labour costs reducing over time as builders become more experienced with applying new building materials, appliances and techniques that may be required to achieve higher energy efficiency.</w:t>
      </w:r>
    </w:p>
    <w:p w14:paraId="3423C086" w14:textId="77777777" w:rsidR="00676882" w:rsidRDefault="00676882" w:rsidP="00676882">
      <w:r>
        <w:t>There are a few studies that discuss learning rates:</w:t>
      </w:r>
    </w:p>
    <w:p w14:paraId="5A9DAC7F" w14:textId="77777777" w:rsidR="00676882" w:rsidRDefault="00676882" w:rsidP="00676882">
      <w:pPr>
        <w:pStyle w:val="ListBullet"/>
      </w:pPr>
      <w:r>
        <w:t xml:space="preserve">A study by the Moreland Energy Foundation into </w:t>
      </w:r>
      <w:r w:rsidRPr="00893300">
        <w:t>how</w:t>
      </w:r>
      <w:r>
        <w:t xml:space="preserve"> </w:t>
      </w:r>
      <w:r w:rsidRPr="00893300">
        <w:t>the</w:t>
      </w:r>
      <w:r>
        <w:t xml:space="preserve"> </w:t>
      </w:r>
      <w:r w:rsidRPr="00893300">
        <w:t>residential</w:t>
      </w:r>
      <w:r>
        <w:t xml:space="preserve"> </w:t>
      </w:r>
      <w:r w:rsidRPr="00893300">
        <w:t>buildings</w:t>
      </w:r>
      <w:r>
        <w:t xml:space="preserve"> </w:t>
      </w:r>
      <w:r w:rsidRPr="00893300">
        <w:t>sector</w:t>
      </w:r>
      <w:r>
        <w:t xml:space="preserve"> </w:t>
      </w:r>
      <w:r w:rsidRPr="00893300">
        <w:t>has</w:t>
      </w:r>
      <w:r>
        <w:t xml:space="preserve"> </w:t>
      </w:r>
      <w:r w:rsidRPr="00893300">
        <w:t>responded</w:t>
      </w:r>
      <w:r>
        <w:t xml:space="preserve"> </w:t>
      </w:r>
      <w:r w:rsidRPr="00893300">
        <w:t>to</w:t>
      </w:r>
      <w:r>
        <w:t xml:space="preserve"> </w:t>
      </w:r>
      <w:r w:rsidRPr="00893300">
        <w:t>the</w:t>
      </w:r>
      <w:r>
        <w:t xml:space="preserve"> </w:t>
      </w:r>
      <w:r w:rsidRPr="00893300">
        <w:t>introduction</w:t>
      </w:r>
      <w:r>
        <w:t xml:space="preserve"> </w:t>
      </w:r>
      <w:r w:rsidRPr="00893300">
        <w:t>of</w:t>
      </w:r>
      <w:r>
        <w:t xml:space="preserve"> </w:t>
      </w:r>
      <w:r w:rsidRPr="00893300">
        <w:t>the</w:t>
      </w:r>
      <w:r>
        <w:t xml:space="preserve"> </w:t>
      </w:r>
      <w:proofErr w:type="gramStart"/>
      <w:r w:rsidRPr="00893300">
        <w:t>6</w:t>
      </w:r>
      <w:r>
        <w:t xml:space="preserve"> </w:t>
      </w:r>
      <w:r w:rsidRPr="00893300">
        <w:t>star</w:t>
      </w:r>
      <w:proofErr w:type="gramEnd"/>
      <w:r>
        <w:t xml:space="preserve"> </w:t>
      </w:r>
      <w:r w:rsidRPr="00893300">
        <w:t>energy</w:t>
      </w:r>
      <w:r>
        <w:t xml:space="preserve"> </w:t>
      </w:r>
      <w:r w:rsidRPr="00893300">
        <w:t>efficiency</w:t>
      </w:r>
      <w:r>
        <w:t xml:space="preserve"> </w:t>
      </w:r>
      <w:r w:rsidRPr="00893300">
        <w:t>standard</w:t>
      </w:r>
      <w:r>
        <w:t xml:space="preserve"> found that overall, </w:t>
      </w:r>
      <w:r w:rsidRPr="002C0D66">
        <w:t>for both Class 1 and 2 together, an annual learning rate of 7.5</w:t>
      </w:r>
      <w:r>
        <w:t xml:space="preserve"> per cent</w:t>
      </w:r>
      <w:r w:rsidRPr="002C0D66">
        <w:t xml:space="preserve"> was observed</w:t>
      </w:r>
      <w:r>
        <w:t xml:space="preserve"> over the 2014-2017 period</w:t>
      </w:r>
      <w:r w:rsidRPr="002C0D66">
        <w:t>. Class 1 dwellings alone showed a learning rate of 7.1</w:t>
      </w:r>
      <w:r>
        <w:t xml:space="preserve"> per cent</w:t>
      </w:r>
      <w:r w:rsidRPr="002C0D66">
        <w:t xml:space="preserve"> per annum over this period, while Class 2 dwellings alone measured 1.7</w:t>
      </w:r>
      <w:r>
        <w:t xml:space="preserve"> per cent</w:t>
      </w:r>
      <w:r w:rsidRPr="002C0D66">
        <w:t xml:space="preserve"> per annum. </w:t>
      </w:r>
      <w:r w:rsidRPr="000150C3">
        <w:t>However,</w:t>
      </w:r>
      <w:r>
        <w:t xml:space="preserve"> </w:t>
      </w:r>
      <w:r w:rsidRPr="000150C3">
        <w:t>it</w:t>
      </w:r>
      <w:r>
        <w:t xml:space="preserve"> </w:t>
      </w:r>
      <w:r w:rsidRPr="000150C3">
        <w:t>is</w:t>
      </w:r>
      <w:r>
        <w:t xml:space="preserve"> </w:t>
      </w:r>
      <w:r w:rsidRPr="000150C3">
        <w:t>noted</w:t>
      </w:r>
      <w:r>
        <w:t xml:space="preserve"> </w:t>
      </w:r>
      <w:r w:rsidRPr="000150C3">
        <w:t>that</w:t>
      </w:r>
      <w:r>
        <w:t xml:space="preserve"> </w:t>
      </w:r>
      <w:r w:rsidRPr="000150C3">
        <w:t>this</w:t>
      </w:r>
      <w:r>
        <w:t xml:space="preserve"> </w:t>
      </w:r>
      <w:r w:rsidRPr="000150C3">
        <w:t>is</w:t>
      </w:r>
      <w:r>
        <w:t xml:space="preserve"> </w:t>
      </w:r>
      <w:r w:rsidRPr="000150C3">
        <w:t>based</w:t>
      </w:r>
      <w:r>
        <w:t xml:space="preserve"> </w:t>
      </w:r>
      <w:r w:rsidRPr="000150C3">
        <w:t>on</w:t>
      </w:r>
      <w:r>
        <w:t xml:space="preserve"> </w:t>
      </w:r>
      <w:r w:rsidRPr="000150C3">
        <w:t>a</w:t>
      </w:r>
      <w:r>
        <w:t xml:space="preserve"> </w:t>
      </w:r>
      <w:r w:rsidRPr="000150C3">
        <w:t>very</w:t>
      </w:r>
      <w:r>
        <w:t xml:space="preserve"> </w:t>
      </w:r>
      <w:r w:rsidRPr="000150C3">
        <w:t>limited</w:t>
      </w:r>
      <w:r>
        <w:t xml:space="preserve"> </w:t>
      </w:r>
      <w:r w:rsidRPr="000150C3">
        <w:t>sample</w:t>
      </w:r>
      <w:r>
        <w:t xml:space="preserve"> </w:t>
      </w:r>
      <w:r w:rsidRPr="000150C3">
        <w:t>and</w:t>
      </w:r>
      <w:r>
        <w:t xml:space="preserve"> </w:t>
      </w:r>
      <w:r w:rsidRPr="000150C3">
        <w:t>is</w:t>
      </w:r>
      <w:r>
        <w:t xml:space="preserve"> </w:t>
      </w:r>
      <w:r w:rsidRPr="000150C3">
        <w:t>not</w:t>
      </w:r>
      <w:r>
        <w:t xml:space="preserve"> </w:t>
      </w:r>
      <w:r w:rsidRPr="000150C3">
        <w:t>statistically</w:t>
      </w:r>
      <w:r>
        <w:t xml:space="preserve"> </w:t>
      </w:r>
      <w:r w:rsidRPr="000150C3">
        <w:t>significant</w:t>
      </w:r>
      <w:sdt>
        <w:sdtPr>
          <w:id w:val="1216084580"/>
          <w:citation/>
        </w:sdtPr>
        <w:sdtContent>
          <w:r>
            <w:fldChar w:fldCharType="begin"/>
          </w:r>
          <w:r>
            <w:instrText xml:space="preserve"> CITATION Mor17 \l 3081 </w:instrText>
          </w:r>
          <w:r>
            <w:fldChar w:fldCharType="separate"/>
          </w:r>
          <w:r>
            <w:rPr>
              <w:noProof/>
            </w:rPr>
            <w:t xml:space="preserve"> (Moreland Energy Foundation, 2017)</w:t>
          </w:r>
          <w:r>
            <w:fldChar w:fldCharType="end"/>
          </w:r>
        </w:sdtContent>
      </w:sdt>
    </w:p>
    <w:p w14:paraId="6DEF597A" w14:textId="77777777" w:rsidR="00676882" w:rsidRDefault="00676882" w:rsidP="00676882">
      <w:pPr>
        <w:pStyle w:val="ListBullet"/>
      </w:pPr>
      <w:r>
        <w:t xml:space="preserve">An evaluation of </w:t>
      </w:r>
      <w:r w:rsidRPr="000150C3">
        <w:t>the</w:t>
      </w:r>
      <w:r>
        <w:t xml:space="preserve"> </w:t>
      </w:r>
      <w:r w:rsidRPr="000150C3">
        <w:t>Victorian</w:t>
      </w:r>
      <w:r>
        <w:t xml:space="preserve"> </w:t>
      </w:r>
      <w:r w:rsidRPr="000150C3">
        <w:t>6</w:t>
      </w:r>
      <w:r>
        <w:t xml:space="preserve"> S</w:t>
      </w:r>
      <w:r w:rsidRPr="000150C3">
        <w:t>tar</w:t>
      </w:r>
      <w:r>
        <w:t xml:space="preserve"> </w:t>
      </w:r>
      <w:r w:rsidRPr="000150C3">
        <w:t>Housing</w:t>
      </w:r>
      <w:r>
        <w:t xml:space="preserve"> </w:t>
      </w:r>
      <w:r w:rsidRPr="000150C3">
        <w:t>Standard</w:t>
      </w:r>
      <w:r>
        <w:t xml:space="preserve"> for the </w:t>
      </w:r>
      <w:r w:rsidRPr="000150C3">
        <w:t>Department</w:t>
      </w:r>
      <w:r>
        <w:t xml:space="preserve"> </w:t>
      </w:r>
      <w:r w:rsidRPr="000150C3">
        <w:t>of</w:t>
      </w:r>
      <w:r>
        <w:t xml:space="preserve"> </w:t>
      </w:r>
      <w:r w:rsidRPr="000150C3">
        <w:t>Environment,</w:t>
      </w:r>
      <w:r>
        <w:t xml:space="preserve"> </w:t>
      </w:r>
      <w:r w:rsidRPr="000150C3">
        <w:t>Land,</w:t>
      </w:r>
      <w:r>
        <w:t xml:space="preserve"> </w:t>
      </w:r>
      <w:r w:rsidRPr="000150C3">
        <w:t>Water</w:t>
      </w:r>
      <w:r>
        <w:t xml:space="preserve"> </w:t>
      </w:r>
      <w:r w:rsidRPr="000150C3">
        <w:t>&amp; Planning</w:t>
      </w:r>
      <w:r>
        <w:t xml:space="preserve"> highlights the following estimates for lighting equipment:</w:t>
      </w:r>
    </w:p>
    <w:p w14:paraId="12489941" w14:textId="77777777" w:rsidR="00676882" w:rsidRDefault="00676882" w:rsidP="00676882">
      <w:pPr>
        <w:pStyle w:val="ListBullet2"/>
      </w:pPr>
      <w:r w:rsidRPr="000150C3">
        <w:t>LEDs</w:t>
      </w:r>
      <w:r>
        <w:t xml:space="preserve"> </w:t>
      </w:r>
      <w:r w:rsidRPr="000150C3">
        <w:t>are</w:t>
      </w:r>
      <w:r>
        <w:t xml:space="preserve"> </w:t>
      </w:r>
      <w:r w:rsidRPr="000150C3">
        <w:t>estimated</w:t>
      </w:r>
      <w:r>
        <w:t xml:space="preserve"> </w:t>
      </w:r>
      <w:r w:rsidRPr="000150C3">
        <w:t>to</w:t>
      </w:r>
      <w:r>
        <w:t xml:space="preserve"> </w:t>
      </w:r>
      <w:r w:rsidRPr="000150C3">
        <w:t>have</w:t>
      </w:r>
      <w:r>
        <w:t xml:space="preserve"> </w:t>
      </w:r>
      <w:r w:rsidRPr="000150C3">
        <w:t>experienced</w:t>
      </w:r>
      <w:r>
        <w:t xml:space="preserve"> </w:t>
      </w:r>
      <w:r w:rsidRPr="000150C3">
        <w:t>a</w:t>
      </w:r>
      <w:r>
        <w:t xml:space="preserve"> </w:t>
      </w:r>
      <w:r w:rsidRPr="000150C3">
        <w:t>learning</w:t>
      </w:r>
      <w:r>
        <w:t xml:space="preserve"> </w:t>
      </w:r>
      <w:r w:rsidRPr="000150C3">
        <w:t>rate</w:t>
      </w:r>
      <w:r>
        <w:t xml:space="preserve"> </w:t>
      </w:r>
      <w:r w:rsidRPr="000150C3">
        <w:t>of</w:t>
      </w:r>
      <w:r>
        <w:t xml:space="preserve"> </w:t>
      </w:r>
      <w:r w:rsidRPr="000150C3">
        <w:t>28</w:t>
      </w:r>
      <w:r>
        <w:t xml:space="preserve"> per cent </w:t>
      </w:r>
      <w:r w:rsidRPr="000150C3">
        <w:t>per</w:t>
      </w:r>
      <w:r>
        <w:t xml:space="preserve"> </w:t>
      </w:r>
      <w:r w:rsidRPr="000150C3">
        <w:t>year</w:t>
      </w:r>
      <w:r>
        <w:t xml:space="preserve"> </w:t>
      </w:r>
      <w:r w:rsidRPr="000150C3">
        <w:t>around</w:t>
      </w:r>
      <w:r>
        <w:t xml:space="preserve"> </w:t>
      </w:r>
      <w:r w:rsidRPr="000150C3">
        <w:t>the</w:t>
      </w:r>
      <w:r>
        <w:t xml:space="preserve"> </w:t>
      </w:r>
      <w:r w:rsidRPr="000150C3">
        <w:t>middle</w:t>
      </w:r>
      <w:r>
        <w:t xml:space="preserve"> </w:t>
      </w:r>
      <w:r w:rsidRPr="000150C3">
        <w:t>part</w:t>
      </w:r>
      <w:r>
        <w:t xml:space="preserve"> </w:t>
      </w:r>
      <w:r w:rsidRPr="000150C3">
        <w:t>of</w:t>
      </w:r>
      <w:r>
        <w:t xml:space="preserve"> </w:t>
      </w:r>
      <w:r w:rsidRPr="000150C3">
        <w:t>this</w:t>
      </w:r>
      <w:r>
        <w:t xml:space="preserve"> </w:t>
      </w:r>
      <w:r w:rsidRPr="000150C3">
        <w:t>decade</w:t>
      </w:r>
    </w:p>
    <w:p w14:paraId="062C16E0" w14:textId="77777777" w:rsidR="00676882" w:rsidRDefault="00676882" w:rsidP="00676882">
      <w:pPr>
        <w:pStyle w:val="ListBullet2"/>
      </w:pPr>
      <w:r>
        <w:t xml:space="preserve">the International Energy Agency notes compact fluorescent lamps </w:t>
      </w:r>
      <w:r w:rsidRPr="000150C3">
        <w:t>as</w:t>
      </w:r>
      <w:r>
        <w:t xml:space="preserve"> </w:t>
      </w:r>
      <w:r w:rsidRPr="000150C3">
        <w:t>having</w:t>
      </w:r>
      <w:r>
        <w:t xml:space="preserve"> </w:t>
      </w:r>
      <w:r w:rsidRPr="000150C3">
        <w:t>experienced</w:t>
      </w:r>
      <w:r>
        <w:t xml:space="preserve"> </w:t>
      </w:r>
      <w:r w:rsidRPr="000150C3">
        <w:t>a</w:t>
      </w:r>
      <w:r>
        <w:t xml:space="preserve"> </w:t>
      </w:r>
      <w:r w:rsidRPr="000150C3">
        <w:t>10</w:t>
      </w:r>
      <w:r>
        <w:t xml:space="preserve"> per cent </w:t>
      </w:r>
      <w:r w:rsidRPr="000150C3">
        <w:t>learning</w:t>
      </w:r>
      <w:r>
        <w:t xml:space="preserve"> </w:t>
      </w:r>
      <w:r w:rsidRPr="000150C3">
        <w:t>rate</w:t>
      </w:r>
      <w:r>
        <w:t xml:space="preserve"> </w:t>
      </w:r>
      <w:r w:rsidRPr="000150C3">
        <w:t>earlier</w:t>
      </w:r>
      <w:r>
        <w:t xml:space="preserve"> </w:t>
      </w:r>
      <w:r w:rsidRPr="000150C3">
        <w:t>this</w:t>
      </w:r>
      <w:r>
        <w:t xml:space="preserve"> </w:t>
      </w:r>
      <w:r w:rsidRPr="000150C3">
        <w:t>decade</w:t>
      </w:r>
      <w:r>
        <w:t xml:space="preserve"> </w:t>
      </w:r>
      <w:r w:rsidRPr="000150C3">
        <w:t>(other</w:t>
      </w:r>
      <w:r>
        <w:t xml:space="preserve"> </w:t>
      </w:r>
      <w:r w:rsidRPr="000150C3">
        <w:t>sources</w:t>
      </w:r>
      <w:r>
        <w:t xml:space="preserve"> </w:t>
      </w:r>
      <w:r w:rsidRPr="000150C3">
        <w:t>note</w:t>
      </w:r>
      <w:r>
        <w:t xml:space="preserve"> </w:t>
      </w:r>
      <w:r w:rsidRPr="000150C3">
        <w:t>higher</w:t>
      </w:r>
      <w:r>
        <w:t xml:space="preserve"> </w:t>
      </w:r>
      <w:r w:rsidRPr="000150C3">
        <w:t>values</w:t>
      </w:r>
      <w:r>
        <w:t xml:space="preserve"> </w:t>
      </w:r>
      <w:r w:rsidRPr="000150C3">
        <w:t>in</w:t>
      </w:r>
      <w:r>
        <w:t xml:space="preserve"> </w:t>
      </w:r>
      <w:r w:rsidRPr="000150C3">
        <w:t>earlier</w:t>
      </w:r>
      <w:r>
        <w:t xml:space="preserve"> </w:t>
      </w:r>
      <w:r w:rsidRPr="000150C3">
        <w:t>time</w:t>
      </w:r>
      <w:r>
        <w:t xml:space="preserve"> </w:t>
      </w:r>
      <w:r w:rsidRPr="000150C3">
        <w:t>periods</w:t>
      </w:r>
      <w:r>
        <w:t xml:space="preserve"> </w:t>
      </w:r>
      <w:r w:rsidRPr="000150C3">
        <w:t>– noting</w:t>
      </w:r>
      <w:r>
        <w:t xml:space="preserve"> </w:t>
      </w:r>
      <w:r w:rsidRPr="000150C3">
        <w:t>that</w:t>
      </w:r>
      <w:r>
        <w:t xml:space="preserve"> </w:t>
      </w:r>
      <w:r w:rsidRPr="000150C3">
        <w:t>this</w:t>
      </w:r>
      <w:r>
        <w:t xml:space="preserve"> </w:t>
      </w:r>
      <w:r w:rsidRPr="000150C3">
        <w:t>technology</w:t>
      </w:r>
      <w:r>
        <w:t xml:space="preserve"> </w:t>
      </w:r>
      <w:r w:rsidRPr="000150C3">
        <w:t>first</w:t>
      </w:r>
      <w:r>
        <w:t xml:space="preserve"> </w:t>
      </w:r>
      <w:r w:rsidRPr="000150C3">
        <w:t>emerged</w:t>
      </w:r>
      <w:r>
        <w:t xml:space="preserve"> </w:t>
      </w:r>
      <w:r w:rsidRPr="000150C3">
        <w:t>in</w:t>
      </w:r>
      <w:r>
        <w:t xml:space="preserve"> </w:t>
      </w:r>
      <w:r w:rsidRPr="000150C3">
        <w:t>the</w:t>
      </w:r>
      <w:r>
        <w:t xml:space="preserve"> </w:t>
      </w:r>
      <w:r w:rsidRPr="000150C3">
        <w:t>1970s).</w:t>
      </w:r>
      <w:r w:rsidDel="00524CB9">
        <w:rPr>
          <w:rStyle w:val="FootnoteReference"/>
        </w:rPr>
        <w:t xml:space="preserve"> </w:t>
      </w:r>
      <w:sdt>
        <w:sdtPr>
          <w:id w:val="-2017373473"/>
          <w:citation/>
        </w:sdtPr>
        <w:sdtContent>
          <w:r>
            <w:fldChar w:fldCharType="begin"/>
          </w:r>
          <w:r>
            <w:instrText xml:space="preserve"> CITATION SPR19 \l 3081 </w:instrText>
          </w:r>
          <w:r>
            <w:fldChar w:fldCharType="separate"/>
          </w:r>
          <w:r>
            <w:rPr>
              <w:noProof/>
            </w:rPr>
            <w:t xml:space="preserve"> (SPR, 2019)</w:t>
          </w:r>
          <w:r>
            <w:fldChar w:fldCharType="end"/>
          </w:r>
        </w:sdtContent>
      </w:sdt>
    </w:p>
    <w:p w14:paraId="6476550E" w14:textId="77777777" w:rsidR="00676882" w:rsidRDefault="00676882" w:rsidP="00676882">
      <w:pPr>
        <w:pStyle w:val="ListBullet"/>
      </w:pPr>
      <w:r>
        <w:lastRenderedPageBreak/>
        <w:t xml:space="preserve">A report by HoustonKemp </w:t>
      </w:r>
      <w:sdt>
        <w:sdtPr>
          <w:id w:val="-1175732394"/>
          <w:citation/>
        </w:sdtPr>
        <w:sdtContent>
          <w:r>
            <w:fldChar w:fldCharType="begin"/>
          </w:r>
          <w:r>
            <w:instrText xml:space="preserve">CITATION Hou07 \n  \t  \l 3081 </w:instrText>
          </w:r>
          <w:r>
            <w:fldChar w:fldCharType="separate"/>
          </w:r>
          <w:r>
            <w:rPr>
              <w:noProof/>
            </w:rPr>
            <w:t>(2017)</w:t>
          </w:r>
          <w:r>
            <w:fldChar w:fldCharType="end"/>
          </w:r>
        </w:sdtContent>
      </w:sdt>
      <w:r>
        <w:t xml:space="preserve"> advising on the methodology to be used for residential building RISs recommends the following:</w:t>
      </w:r>
    </w:p>
    <w:p w14:paraId="2AA9F771" w14:textId="77777777" w:rsidR="00676882" w:rsidRDefault="00676882" w:rsidP="00676882">
      <w:pPr>
        <w:pStyle w:val="Quote"/>
      </w:pPr>
      <w:proofErr w:type="gramStart"/>
      <w:r>
        <w:t>….</w:t>
      </w:r>
      <w:r w:rsidRPr="00524F02">
        <w:t>a</w:t>
      </w:r>
      <w:proofErr w:type="gramEnd"/>
      <w:r>
        <w:t xml:space="preserve"> </w:t>
      </w:r>
      <w:r w:rsidRPr="00524F02">
        <w:t>cost</w:t>
      </w:r>
      <w:r>
        <w:t xml:space="preserve"> </w:t>
      </w:r>
      <w:r w:rsidRPr="00524F02">
        <w:t>efficiency</w:t>
      </w:r>
      <w:r>
        <w:t xml:space="preserve"> </w:t>
      </w:r>
      <w:r w:rsidRPr="00524F02">
        <w:t>rate</w:t>
      </w:r>
      <w:r>
        <w:t xml:space="preserve"> </w:t>
      </w:r>
      <w:r w:rsidRPr="00524F02">
        <w:t>of</w:t>
      </w:r>
      <w:r>
        <w:t xml:space="preserve"> </w:t>
      </w:r>
      <w:r w:rsidRPr="00524F02">
        <w:t>2</w:t>
      </w:r>
      <w:r>
        <w:t xml:space="preserve"> </w:t>
      </w:r>
      <w:r w:rsidRPr="00524F02">
        <w:t>per</w:t>
      </w:r>
      <w:r>
        <w:t xml:space="preserve"> </w:t>
      </w:r>
      <w:r w:rsidRPr="00524F02">
        <w:t>cent</w:t>
      </w:r>
      <w:r>
        <w:t xml:space="preserve"> </w:t>
      </w:r>
      <w:r w:rsidRPr="00524F02">
        <w:t>year-on-year</w:t>
      </w:r>
      <w:r>
        <w:t xml:space="preserve"> </w:t>
      </w:r>
      <w:r w:rsidRPr="00524F02">
        <w:t>as</w:t>
      </w:r>
      <w:r>
        <w:t xml:space="preserve"> </w:t>
      </w:r>
      <w:r w:rsidRPr="00524F02">
        <w:t>a</w:t>
      </w:r>
      <w:r>
        <w:t xml:space="preserve"> </w:t>
      </w:r>
      <w:r w:rsidRPr="00524F02">
        <w:t>starting</w:t>
      </w:r>
      <w:r>
        <w:t xml:space="preserve"> </w:t>
      </w:r>
      <w:r w:rsidRPr="00524F02">
        <w:t>point</w:t>
      </w:r>
      <w:r>
        <w:t xml:space="preserve"> </w:t>
      </w:r>
      <w:r w:rsidRPr="00524F02">
        <w:t>with</w:t>
      </w:r>
      <w:r>
        <w:t xml:space="preserve"> </w:t>
      </w:r>
      <w:r w:rsidRPr="00524F02">
        <w:t>sensitivities</w:t>
      </w:r>
      <w:r>
        <w:t xml:space="preserve"> </w:t>
      </w:r>
      <w:r w:rsidRPr="00524F02">
        <w:t>of</w:t>
      </w:r>
      <w:r>
        <w:t xml:space="preserve"> </w:t>
      </w:r>
      <w:r w:rsidRPr="00524F02">
        <w:t>1</w:t>
      </w:r>
      <w:r>
        <w:t xml:space="preserve"> </w:t>
      </w:r>
      <w:r w:rsidRPr="00524F02">
        <w:t>per</w:t>
      </w:r>
      <w:r>
        <w:t xml:space="preserve"> </w:t>
      </w:r>
      <w:r w:rsidRPr="00524F02">
        <w:t>cent</w:t>
      </w:r>
      <w:r>
        <w:t xml:space="preserve"> </w:t>
      </w:r>
      <w:r w:rsidRPr="00524F02">
        <w:t>(lower</w:t>
      </w:r>
      <w:r>
        <w:t xml:space="preserve"> </w:t>
      </w:r>
      <w:r w:rsidRPr="00524F02">
        <w:t>bound) and</w:t>
      </w:r>
      <w:r>
        <w:t xml:space="preserve"> </w:t>
      </w:r>
      <w:r w:rsidRPr="00524F02">
        <w:t>3</w:t>
      </w:r>
      <w:r>
        <w:t xml:space="preserve"> </w:t>
      </w:r>
      <w:r w:rsidRPr="00524F02">
        <w:t>per</w:t>
      </w:r>
      <w:r>
        <w:t xml:space="preserve"> </w:t>
      </w:r>
      <w:r w:rsidRPr="00524F02">
        <w:t>cent</w:t>
      </w:r>
      <w:r>
        <w:t xml:space="preserve"> </w:t>
      </w:r>
      <w:r w:rsidRPr="00524F02">
        <w:t>(upper</w:t>
      </w:r>
      <w:r>
        <w:t xml:space="preserve"> </w:t>
      </w:r>
      <w:r w:rsidRPr="00524F02">
        <w:t>bound).</w:t>
      </w:r>
      <w:r>
        <w:t xml:space="preserve"> </w:t>
      </w:r>
      <w:r w:rsidRPr="00524F02">
        <w:t>These</w:t>
      </w:r>
      <w:r>
        <w:t xml:space="preserve"> </w:t>
      </w:r>
      <w:r w:rsidRPr="00524F02">
        <w:t>rates</w:t>
      </w:r>
      <w:r>
        <w:t xml:space="preserve"> </w:t>
      </w:r>
      <w:r w:rsidRPr="00524F02">
        <w:t>are</w:t>
      </w:r>
      <w:r>
        <w:t xml:space="preserve"> </w:t>
      </w:r>
      <w:r w:rsidRPr="00524F02">
        <w:t>broadly</w:t>
      </w:r>
      <w:r>
        <w:t xml:space="preserve"> </w:t>
      </w:r>
      <w:r w:rsidRPr="00524F02">
        <w:t>consistent</w:t>
      </w:r>
      <w:r>
        <w:t xml:space="preserve"> </w:t>
      </w:r>
      <w:r w:rsidRPr="00524F02">
        <w:t>with</w:t>
      </w:r>
      <w:r>
        <w:t xml:space="preserve"> </w:t>
      </w:r>
      <w:r w:rsidRPr="00524F02">
        <w:t>what</w:t>
      </w:r>
      <w:r>
        <w:t xml:space="preserve"> </w:t>
      </w:r>
      <w:r w:rsidRPr="00524F02">
        <w:t>is</w:t>
      </w:r>
      <w:r>
        <w:t xml:space="preserve"> </w:t>
      </w:r>
      <w:r w:rsidRPr="00524F02">
        <w:t>considered</w:t>
      </w:r>
      <w:r>
        <w:t xml:space="preserve"> </w:t>
      </w:r>
      <w:r w:rsidRPr="00524F02">
        <w:t>in</w:t>
      </w:r>
      <w:r>
        <w:t xml:space="preserve"> </w:t>
      </w:r>
      <w:r w:rsidRPr="00524F02">
        <w:t>other</w:t>
      </w:r>
      <w:r>
        <w:t xml:space="preserve"> </w:t>
      </w:r>
      <w:r w:rsidRPr="00524F02">
        <w:t>sectors,</w:t>
      </w:r>
      <w:r>
        <w:t xml:space="preserve"> </w:t>
      </w:r>
      <w:r w:rsidRPr="00524F02">
        <w:t>eg,</w:t>
      </w:r>
      <w:r>
        <w:t xml:space="preserve"> </w:t>
      </w:r>
      <w:r w:rsidRPr="00524F02">
        <w:t>the</w:t>
      </w:r>
      <w:r>
        <w:t xml:space="preserve"> </w:t>
      </w:r>
      <w:r w:rsidRPr="00524F02">
        <w:t>electricity</w:t>
      </w:r>
      <w:r>
        <w:t xml:space="preserve"> </w:t>
      </w:r>
      <w:r w:rsidRPr="00524F02">
        <w:t>and</w:t>
      </w:r>
      <w:r>
        <w:t xml:space="preserve"> </w:t>
      </w:r>
      <w:r w:rsidRPr="00524F02">
        <w:t>gas</w:t>
      </w:r>
      <w:r>
        <w:t xml:space="preserve"> </w:t>
      </w:r>
      <w:r w:rsidRPr="00524F02">
        <w:t>network</w:t>
      </w:r>
      <w:r>
        <w:t xml:space="preserve"> </w:t>
      </w:r>
      <w:r w:rsidRPr="00524F02">
        <w:t>sector.</w:t>
      </w:r>
    </w:p>
    <w:p w14:paraId="55867F78" w14:textId="77777777" w:rsidR="00676882" w:rsidRDefault="00676882" w:rsidP="00676882">
      <w:pPr>
        <w:pStyle w:val="ListBullet"/>
      </w:pPr>
      <w:r>
        <w:t xml:space="preserve">A 2017 study for the Commonwealth </w:t>
      </w:r>
      <w:r w:rsidRPr="00D10282">
        <w:t>Department</w:t>
      </w:r>
      <w:r>
        <w:t xml:space="preserve"> </w:t>
      </w:r>
      <w:r w:rsidRPr="00D10282">
        <w:t>of</w:t>
      </w:r>
      <w:r>
        <w:t xml:space="preserve"> </w:t>
      </w:r>
      <w:r w:rsidRPr="00D10282">
        <w:t>the</w:t>
      </w:r>
      <w:r>
        <w:t xml:space="preserve"> </w:t>
      </w:r>
      <w:r w:rsidRPr="00D10282">
        <w:t>Environment</w:t>
      </w:r>
      <w:r>
        <w:t xml:space="preserve"> </w:t>
      </w:r>
      <w:r w:rsidRPr="00D10282">
        <w:t>and</w:t>
      </w:r>
      <w:r>
        <w:t xml:space="preserve"> </w:t>
      </w:r>
      <w:r w:rsidRPr="00D10282">
        <w:t>Energy</w:t>
      </w:r>
      <w:r>
        <w:t xml:space="preserve"> reviewed the evidence on learning rates and found that, on average, the prices of energy-related building products had declined only modestly in real terms over the period from 2004 to 2016.</w:t>
      </w:r>
      <w:sdt>
        <w:sdtPr>
          <w:id w:val="-909760512"/>
          <w:citation/>
        </w:sdtPr>
        <w:sdtContent>
          <w:r>
            <w:fldChar w:fldCharType="begin"/>
          </w:r>
          <w:r>
            <w:instrText xml:space="preserve"> CITATION SPR17 \l 3081 </w:instrText>
          </w:r>
          <w:r>
            <w:fldChar w:fldCharType="separate"/>
          </w:r>
          <w:r>
            <w:rPr>
              <w:noProof/>
            </w:rPr>
            <w:t>(SPR, 2017)</w:t>
          </w:r>
          <w:r>
            <w:fldChar w:fldCharType="end"/>
          </w:r>
        </w:sdtContent>
      </w:sdt>
      <w:r>
        <w:t xml:space="preserve"> Specifically, the real price of a basket of energy-related building products:</w:t>
      </w:r>
    </w:p>
    <w:p w14:paraId="23D4FB22" w14:textId="77777777" w:rsidR="00676882" w:rsidRDefault="00676882" w:rsidP="00676882">
      <w:pPr>
        <w:pStyle w:val="ListBullet2"/>
      </w:pPr>
      <w:r>
        <w:t>declined by 0.4 per cent in unweighted terms</w:t>
      </w:r>
    </w:p>
    <w:p w14:paraId="3CB30757" w14:textId="77777777" w:rsidR="00676882" w:rsidRDefault="00676882" w:rsidP="00676882">
      <w:pPr>
        <w:pStyle w:val="ListBullet2"/>
      </w:pPr>
      <w:r>
        <w:t xml:space="preserve">declined by 0.2 per cent in weighted terms. </w:t>
      </w:r>
      <w:r>
        <w:rPr>
          <w:rStyle w:val="FootnoteReference"/>
        </w:rPr>
        <w:footnoteReference w:id="26"/>
      </w:r>
    </w:p>
    <w:p w14:paraId="3B2D7317" w14:textId="77777777" w:rsidR="00676882" w:rsidRPr="00944918" w:rsidRDefault="00676882" w:rsidP="00676882">
      <w:pPr>
        <w:pStyle w:val="ListBullet"/>
        <w:rPr>
          <w:i/>
          <w:iCs/>
        </w:rPr>
      </w:pPr>
      <w:r>
        <w:t xml:space="preserve">The Low Carbon Living Co-operative Research Centre technical report on building code energy performance which outlines the modelling done for ASBEC’s </w:t>
      </w:r>
      <w:r w:rsidRPr="00944918">
        <w:rPr>
          <w:i/>
          <w:iCs/>
        </w:rPr>
        <w:t>Built</w:t>
      </w:r>
      <w:r>
        <w:rPr>
          <w:i/>
          <w:iCs/>
        </w:rPr>
        <w:t xml:space="preserve"> </w:t>
      </w:r>
      <w:r w:rsidRPr="00944918">
        <w:rPr>
          <w:i/>
          <w:iCs/>
        </w:rPr>
        <w:t>to</w:t>
      </w:r>
      <w:r>
        <w:rPr>
          <w:i/>
          <w:iCs/>
        </w:rPr>
        <w:t xml:space="preserve"> </w:t>
      </w:r>
      <w:r w:rsidRPr="00944918">
        <w:rPr>
          <w:i/>
          <w:iCs/>
        </w:rPr>
        <w:t>Perform</w:t>
      </w:r>
      <w:r>
        <w:rPr>
          <w:i/>
          <w:iCs/>
        </w:rPr>
        <w:t xml:space="preserve"> </w:t>
      </w:r>
      <w:r w:rsidRPr="00944918">
        <w:rPr>
          <w:i/>
          <w:iCs/>
        </w:rPr>
        <w:t>– An</w:t>
      </w:r>
      <w:r>
        <w:rPr>
          <w:i/>
          <w:iCs/>
        </w:rPr>
        <w:t xml:space="preserve"> </w:t>
      </w:r>
      <w:r w:rsidRPr="00944918">
        <w:rPr>
          <w:i/>
          <w:iCs/>
        </w:rPr>
        <w:t>industry</w:t>
      </w:r>
      <w:r>
        <w:rPr>
          <w:i/>
          <w:iCs/>
        </w:rPr>
        <w:t xml:space="preserve"> </w:t>
      </w:r>
      <w:r w:rsidRPr="00944918">
        <w:rPr>
          <w:i/>
          <w:iCs/>
        </w:rPr>
        <w:t>led</w:t>
      </w:r>
      <w:r>
        <w:rPr>
          <w:i/>
          <w:iCs/>
        </w:rPr>
        <w:t xml:space="preserve"> </w:t>
      </w:r>
      <w:r w:rsidRPr="00944918">
        <w:rPr>
          <w:i/>
          <w:iCs/>
        </w:rPr>
        <w:t>pathway</w:t>
      </w:r>
      <w:r>
        <w:rPr>
          <w:i/>
          <w:iCs/>
        </w:rPr>
        <w:t xml:space="preserve"> </w:t>
      </w:r>
      <w:r w:rsidRPr="00944918">
        <w:rPr>
          <w:i/>
          <w:iCs/>
        </w:rPr>
        <w:t>to</w:t>
      </w:r>
      <w:r>
        <w:rPr>
          <w:i/>
          <w:iCs/>
        </w:rPr>
        <w:t xml:space="preserve"> </w:t>
      </w:r>
      <w:r w:rsidRPr="00944918">
        <w:rPr>
          <w:i/>
          <w:iCs/>
        </w:rPr>
        <w:t>a</w:t>
      </w:r>
      <w:r>
        <w:rPr>
          <w:i/>
          <w:iCs/>
        </w:rPr>
        <w:t xml:space="preserve"> </w:t>
      </w:r>
      <w:proofErr w:type="gramStart"/>
      <w:r w:rsidRPr="00944918">
        <w:rPr>
          <w:i/>
          <w:iCs/>
        </w:rPr>
        <w:t>zero</w:t>
      </w:r>
      <w:r>
        <w:rPr>
          <w:i/>
          <w:iCs/>
        </w:rPr>
        <w:t xml:space="preserve"> </w:t>
      </w:r>
      <w:r w:rsidRPr="00944918">
        <w:rPr>
          <w:i/>
          <w:iCs/>
        </w:rPr>
        <w:t>carbon</w:t>
      </w:r>
      <w:proofErr w:type="gramEnd"/>
      <w:r>
        <w:rPr>
          <w:i/>
          <w:iCs/>
        </w:rPr>
        <w:t xml:space="preserve"> </w:t>
      </w:r>
      <w:r w:rsidRPr="00944918">
        <w:rPr>
          <w:i/>
          <w:iCs/>
        </w:rPr>
        <w:t>ready</w:t>
      </w:r>
      <w:r>
        <w:rPr>
          <w:i/>
          <w:iCs/>
        </w:rPr>
        <w:t xml:space="preserve"> </w:t>
      </w:r>
      <w:r w:rsidRPr="00944918">
        <w:rPr>
          <w:i/>
          <w:iCs/>
        </w:rPr>
        <w:t>building</w:t>
      </w:r>
      <w:r>
        <w:rPr>
          <w:i/>
          <w:iCs/>
        </w:rPr>
        <w:t xml:space="preserve"> </w:t>
      </w:r>
      <w:r w:rsidRPr="00944918">
        <w:rPr>
          <w:i/>
          <w:iCs/>
        </w:rPr>
        <w:t>code</w:t>
      </w:r>
      <w:r>
        <w:rPr>
          <w:i/>
          <w:iCs/>
        </w:rPr>
        <w:t xml:space="preserve"> </w:t>
      </w:r>
      <w:r>
        <w:t>and models the impacts of increased energy efficiency standards for new buildings did not apply learning rates to the prices of building elements used in their modelling. The rationale for doing so was that “</w:t>
      </w:r>
      <w:r w:rsidRPr="00944918">
        <w:t>while</w:t>
      </w:r>
      <w:r>
        <w:t xml:space="preserve"> </w:t>
      </w:r>
      <w:r w:rsidRPr="00944918">
        <w:t>intuitively</w:t>
      </w:r>
      <w:r>
        <w:t xml:space="preserve"> </w:t>
      </w:r>
      <w:r w:rsidRPr="00944918">
        <w:t>it</w:t>
      </w:r>
      <w:r>
        <w:t xml:space="preserve"> </w:t>
      </w:r>
      <w:r w:rsidRPr="00944918">
        <w:t>is</w:t>
      </w:r>
      <w:r>
        <w:t xml:space="preserve"> </w:t>
      </w:r>
      <w:r w:rsidRPr="00944918">
        <w:t>relatively</w:t>
      </w:r>
      <w:r>
        <w:t xml:space="preserve"> </w:t>
      </w:r>
      <w:r w:rsidRPr="00944918">
        <w:t>straightforward</w:t>
      </w:r>
      <w:r>
        <w:t xml:space="preserve"> </w:t>
      </w:r>
      <w:r w:rsidRPr="00944918">
        <w:t>to</w:t>
      </w:r>
      <w:r>
        <w:t xml:space="preserve"> </w:t>
      </w:r>
      <w:r w:rsidRPr="00944918">
        <w:t>posit</w:t>
      </w:r>
      <w:r>
        <w:t xml:space="preserve"> </w:t>
      </w:r>
      <w:r w:rsidRPr="00944918">
        <w:t>the</w:t>
      </w:r>
      <w:r>
        <w:t xml:space="preserve"> </w:t>
      </w:r>
      <w:r w:rsidRPr="00944918">
        <w:t>existence</w:t>
      </w:r>
      <w:r>
        <w:t xml:space="preserve"> </w:t>
      </w:r>
      <w:r w:rsidRPr="00944918">
        <w:t>of</w:t>
      </w:r>
      <w:r>
        <w:t xml:space="preserve"> </w:t>
      </w:r>
      <w:r w:rsidRPr="00944918">
        <w:t>learning</w:t>
      </w:r>
      <w:r>
        <w:t xml:space="preserve"> </w:t>
      </w:r>
      <w:r w:rsidRPr="00944918">
        <w:t>rates,</w:t>
      </w:r>
      <w:r>
        <w:t xml:space="preserve"> </w:t>
      </w:r>
      <w:r w:rsidRPr="00944918">
        <w:t>and</w:t>
      </w:r>
      <w:r>
        <w:t xml:space="preserve"> </w:t>
      </w:r>
      <w:r w:rsidRPr="00944918">
        <w:t>to</w:t>
      </w:r>
      <w:r>
        <w:t xml:space="preserve"> </w:t>
      </w:r>
      <w:r w:rsidRPr="00944918">
        <w:t>build</w:t>
      </w:r>
      <w:r>
        <w:t xml:space="preserve"> </w:t>
      </w:r>
      <w:r w:rsidRPr="00944918">
        <w:t>these</w:t>
      </w:r>
      <w:r>
        <w:t xml:space="preserve"> </w:t>
      </w:r>
      <w:r w:rsidRPr="00944918">
        <w:t>into</w:t>
      </w:r>
      <w:r>
        <w:t xml:space="preserve"> the </w:t>
      </w:r>
      <w:r w:rsidRPr="00944918">
        <w:t>regulatory</w:t>
      </w:r>
      <w:r>
        <w:t xml:space="preserve"> </w:t>
      </w:r>
      <w:r w:rsidRPr="00944918">
        <w:t>benefit</w:t>
      </w:r>
      <w:r>
        <w:t>-</w:t>
      </w:r>
      <w:r w:rsidRPr="00944918">
        <w:t>cost</w:t>
      </w:r>
      <w:r>
        <w:t xml:space="preserve"> </w:t>
      </w:r>
      <w:r w:rsidRPr="00944918">
        <w:t>analysis,</w:t>
      </w:r>
      <w:r>
        <w:t xml:space="preserve"> </w:t>
      </w:r>
      <w:r w:rsidRPr="00944918">
        <w:t>finding</w:t>
      </w:r>
      <w:r>
        <w:t xml:space="preserve"> </w:t>
      </w:r>
      <w:r w:rsidRPr="00944918">
        <w:t>hard</w:t>
      </w:r>
      <w:r>
        <w:t xml:space="preserve"> </w:t>
      </w:r>
      <w:r w:rsidRPr="00944918">
        <w:t>evidence</w:t>
      </w:r>
      <w:r>
        <w:t xml:space="preserve"> </w:t>
      </w:r>
      <w:r w:rsidRPr="00944918">
        <w:t>with</w:t>
      </w:r>
      <w:r>
        <w:t xml:space="preserve"> </w:t>
      </w:r>
      <w:r w:rsidRPr="00944918">
        <w:t>which</w:t>
      </w:r>
      <w:r>
        <w:t xml:space="preserve"> </w:t>
      </w:r>
      <w:r w:rsidRPr="00944918">
        <w:t>to</w:t>
      </w:r>
      <w:r>
        <w:t xml:space="preserve"> </w:t>
      </w:r>
      <w:r w:rsidRPr="00944918">
        <w:t>quantify</w:t>
      </w:r>
      <w:r>
        <w:t xml:space="preserve"> </w:t>
      </w:r>
      <w:r w:rsidRPr="00944918">
        <w:t>rates</w:t>
      </w:r>
      <w:r>
        <w:t xml:space="preserve"> </w:t>
      </w:r>
      <w:r w:rsidRPr="00944918">
        <w:t>is</w:t>
      </w:r>
      <w:r>
        <w:t xml:space="preserve"> </w:t>
      </w:r>
      <w:r w:rsidRPr="00944918">
        <w:t>extremely</w:t>
      </w:r>
      <w:r>
        <w:t xml:space="preserve"> </w:t>
      </w:r>
      <w:r w:rsidRPr="00944918">
        <w:t>problematic</w:t>
      </w:r>
      <w:r>
        <w:t xml:space="preserve">”. </w:t>
      </w:r>
      <w:sdt>
        <w:sdtPr>
          <w:id w:val="-1299144878"/>
          <w:citation/>
        </w:sdtPr>
        <w:sdtContent>
          <w:r>
            <w:fldChar w:fldCharType="begin"/>
          </w:r>
          <w:r>
            <w:instrText xml:space="preserve"> CITATION Ban18 \l 3081 </w:instrText>
          </w:r>
          <w:r>
            <w:fldChar w:fldCharType="separate"/>
          </w:r>
          <w:r>
            <w:rPr>
              <w:noProof/>
            </w:rPr>
            <w:t>(Bannister, 2018)</w:t>
          </w:r>
          <w:r>
            <w:fldChar w:fldCharType="end"/>
          </w:r>
        </w:sdtContent>
      </w:sdt>
    </w:p>
    <w:p w14:paraId="59A51511" w14:textId="77777777" w:rsidR="00676882" w:rsidRDefault="00676882" w:rsidP="00676882">
      <w:pPr>
        <w:pStyle w:val="ListBullet"/>
      </w:pPr>
      <w:r>
        <w:t>The 2018 RIS on the i</w:t>
      </w:r>
      <w:r w:rsidRPr="00B905D4">
        <w:t>nclusion</w:t>
      </w:r>
      <w:r>
        <w:t xml:space="preserve"> </w:t>
      </w:r>
      <w:r w:rsidRPr="00B905D4">
        <w:t>of</w:t>
      </w:r>
      <w:r>
        <w:t xml:space="preserve"> </w:t>
      </w:r>
      <w:r w:rsidRPr="00B905D4">
        <w:t>heating</w:t>
      </w:r>
      <w:r>
        <w:t xml:space="preserve"> </w:t>
      </w:r>
      <w:r w:rsidRPr="00B905D4">
        <w:t>and</w:t>
      </w:r>
      <w:r>
        <w:t xml:space="preserve"> </w:t>
      </w:r>
      <w:r w:rsidRPr="00B905D4">
        <w:t>cooling</w:t>
      </w:r>
      <w:r>
        <w:t xml:space="preserve"> </w:t>
      </w:r>
      <w:r w:rsidRPr="00B905D4">
        <w:t>energy</w:t>
      </w:r>
      <w:r>
        <w:t xml:space="preserve"> </w:t>
      </w:r>
      <w:r w:rsidRPr="00B905D4">
        <w:t>load</w:t>
      </w:r>
      <w:r>
        <w:t xml:space="preserve"> </w:t>
      </w:r>
      <w:r w:rsidRPr="00B905D4">
        <w:t>limits</w:t>
      </w:r>
      <w:r>
        <w:t xml:space="preserve"> </w:t>
      </w:r>
      <w:r w:rsidRPr="00B905D4">
        <w:t>in</w:t>
      </w:r>
      <w:r>
        <w:t xml:space="preserve"> </w:t>
      </w:r>
      <w:r w:rsidRPr="00B905D4">
        <w:t>NatHERS</w:t>
      </w:r>
      <w:r>
        <w:t xml:space="preserve"> </w:t>
      </w:r>
      <w:r w:rsidRPr="00B905D4">
        <w:t>assessments</w:t>
      </w:r>
      <w:r>
        <w:t xml:space="preserve"> did not apply a learning rate </w:t>
      </w:r>
      <w:r w:rsidRPr="0094695B">
        <w:t>or</w:t>
      </w:r>
      <w:r>
        <w:t xml:space="preserve"> </w:t>
      </w:r>
      <w:r w:rsidRPr="0094695B">
        <w:t>change</w:t>
      </w:r>
      <w:r>
        <w:t xml:space="preserve"> </w:t>
      </w:r>
      <w:r w:rsidRPr="0094695B">
        <w:t>in</w:t>
      </w:r>
      <w:r>
        <w:t xml:space="preserve"> </w:t>
      </w:r>
      <w:r w:rsidRPr="0094695B">
        <w:t>real</w:t>
      </w:r>
      <w:r>
        <w:t xml:space="preserve"> </w:t>
      </w:r>
      <w:r w:rsidRPr="0094695B">
        <w:t>costs</w:t>
      </w:r>
      <w:r>
        <w:t xml:space="preserve"> </w:t>
      </w:r>
      <w:r w:rsidRPr="0094695B">
        <w:t>over</w:t>
      </w:r>
      <w:r>
        <w:t xml:space="preserve"> </w:t>
      </w:r>
      <w:r w:rsidRPr="0094695B">
        <w:t>time</w:t>
      </w:r>
      <w:r>
        <w:t xml:space="preserve"> (</w:t>
      </w:r>
      <w:r w:rsidRPr="0094695B">
        <w:t>primarily</w:t>
      </w:r>
      <w:r>
        <w:t xml:space="preserve"> </w:t>
      </w:r>
      <w:r w:rsidRPr="0094695B">
        <w:t>because</w:t>
      </w:r>
      <w:r>
        <w:t xml:space="preserve"> </w:t>
      </w:r>
      <w:r w:rsidRPr="0094695B">
        <w:t>most</w:t>
      </w:r>
      <w:r>
        <w:t xml:space="preserve"> </w:t>
      </w:r>
      <w:r w:rsidRPr="0094695B">
        <w:t>scenarios</w:t>
      </w:r>
      <w:r>
        <w:t xml:space="preserve"> </w:t>
      </w:r>
      <w:r w:rsidRPr="0094695B">
        <w:t>involve</w:t>
      </w:r>
      <w:r>
        <w:t xml:space="preserve">d </w:t>
      </w:r>
      <w:r w:rsidRPr="0094695B">
        <w:t>net</w:t>
      </w:r>
      <w:r>
        <w:t xml:space="preserve"> </w:t>
      </w:r>
      <w:r w:rsidRPr="0094695B">
        <w:t>construction</w:t>
      </w:r>
      <w:r>
        <w:t xml:space="preserve"> </w:t>
      </w:r>
      <w:r w:rsidRPr="0094695B">
        <w:t>cost</w:t>
      </w:r>
      <w:r>
        <w:t xml:space="preserve"> </w:t>
      </w:r>
      <w:r w:rsidRPr="0094695B">
        <w:t>savings</w:t>
      </w:r>
      <w:r>
        <w:t xml:space="preserve"> but </w:t>
      </w:r>
      <w:r w:rsidRPr="0094695B">
        <w:t>also</w:t>
      </w:r>
      <w:r>
        <w:t xml:space="preserve"> </w:t>
      </w:r>
      <w:r w:rsidRPr="0094695B">
        <w:t>because</w:t>
      </w:r>
      <w:r>
        <w:t xml:space="preserve"> </w:t>
      </w:r>
      <w:r w:rsidRPr="0094695B">
        <w:t>of</w:t>
      </w:r>
      <w:r>
        <w:t xml:space="preserve"> </w:t>
      </w:r>
      <w:r w:rsidRPr="0094695B">
        <w:t>the</w:t>
      </w:r>
      <w:r>
        <w:t xml:space="preserve"> </w:t>
      </w:r>
      <w:r w:rsidRPr="0094695B">
        <w:t>minor</w:t>
      </w:r>
      <w:r>
        <w:t xml:space="preserve"> </w:t>
      </w:r>
      <w:r w:rsidRPr="0094695B">
        <w:t>nature</w:t>
      </w:r>
      <w:r>
        <w:t xml:space="preserve"> </w:t>
      </w:r>
      <w:r w:rsidRPr="0094695B">
        <w:t>of</w:t>
      </w:r>
      <w:r>
        <w:t xml:space="preserve"> </w:t>
      </w:r>
      <w:r w:rsidRPr="0094695B">
        <w:t>the</w:t>
      </w:r>
      <w:r>
        <w:t xml:space="preserve"> </w:t>
      </w:r>
      <w:r w:rsidRPr="0094695B">
        <w:t>changes</w:t>
      </w:r>
      <w:r>
        <w:t xml:space="preserve"> </w:t>
      </w:r>
      <w:r w:rsidRPr="0094695B">
        <w:t>involved</w:t>
      </w:r>
      <w:r>
        <w:t>).</w:t>
      </w:r>
      <w:r w:rsidDel="001324B8">
        <w:rPr>
          <w:rStyle w:val="FootnoteReference"/>
        </w:rPr>
        <w:t xml:space="preserve"> </w:t>
      </w:r>
      <w:sdt>
        <w:sdtPr>
          <w:id w:val="2023350316"/>
          <w:citation/>
        </w:sdtPr>
        <w:sdtContent>
          <w:r>
            <w:fldChar w:fldCharType="begin"/>
          </w:r>
          <w:r>
            <w:instrText xml:space="preserve"> CITATION SPR18 \l 3081 </w:instrText>
          </w:r>
          <w:r>
            <w:fldChar w:fldCharType="separate"/>
          </w:r>
          <w:r>
            <w:rPr>
              <w:noProof/>
            </w:rPr>
            <w:t xml:space="preserve"> (SPR, 2018)</w:t>
          </w:r>
          <w:r>
            <w:fldChar w:fldCharType="end"/>
          </w:r>
        </w:sdtContent>
      </w:sdt>
    </w:p>
    <w:p w14:paraId="2D26139B" w14:textId="77777777" w:rsidR="00676882" w:rsidRDefault="00676882" w:rsidP="00676882">
      <w:pPr>
        <w:pStyle w:val="ListBullet"/>
      </w:pPr>
      <w:r>
        <w:t xml:space="preserve">The 2018 Decision RIS for energy efficiency of commercial buildings in the NCC 2019 </w:t>
      </w:r>
      <w:sdt>
        <w:sdtPr>
          <w:id w:val="1660113900"/>
          <w:citation/>
        </w:sdtPr>
        <w:sdtContent>
          <w:r>
            <w:fldChar w:fldCharType="begin"/>
          </w:r>
          <w:r>
            <w:instrText xml:space="preserve"> CITATION CIE181 \l 3081 </w:instrText>
          </w:r>
          <w:r>
            <w:fldChar w:fldCharType="separate"/>
          </w:r>
          <w:r>
            <w:rPr>
              <w:noProof/>
            </w:rPr>
            <w:t>(CIE, 2018)</w:t>
          </w:r>
          <w:r>
            <w:fldChar w:fldCharType="end"/>
          </w:r>
        </w:sdtContent>
      </w:sdt>
      <w:r>
        <w:t xml:space="preserve"> did not include learning rates in the central case analysis as they concluded that there was not enough evidence to support a general learning rate </w:t>
      </w:r>
      <w:r w:rsidRPr="00CC2545">
        <w:rPr>
          <w:i/>
          <w:iCs/>
        </w:rPr>
        <w:t>linked</w:t>
      </w:r>
      <w:r>
        <w:rPr>
          <w:i/>
          <w:iCs/>
        </w:rPr>
        <w:t xml:space="preserve"> </w:t>
      </w:r>
      <w:r w:rsidRPr="00CC2545">
        <w:rPr>
          <w:i/>
          <w:iCs/>
        </w:rPr>
        <w:t>to</w:t>
      </w:r>
      <w:r>
        <w:rPr>
          <w:i/>
          <w:iCs/>
        </w:rPr>
        <w:t xml:space="preserve"> </w:t>
      </w:r>
      <w:r w:rsidRPr="00CC2545">
        <w:rPr>
          <w:i/>
          <w:iCs/>
        </w:rPr>
        <w:t>regulatory</w:t>
      </w:r>
      <w:r>
        <w:rPr>
          <w:i/>
          <w:iCs/>
        </w:rPr>
        <w:t xml:space="preserve"> </w:t>
      </w:r>
      <w:r w:rsidRPr="00CC2545">
        <w:rPr>
          <w:i/>
          <w:iCs/>
        </w:rPr>
        <w:t>change</w:t>
      </w:r>
      <w:r>
        <w:rPr>
          <w:i/>
          <w:iCs/>
        </w:rPr>
        <w:t xml:space="preserve">. </w:t>
      </w:r>
      <w:r>
        <w:t>The RIS also noted that:</w:t>
      </w:r>
    </w:p>
    <w:p w14:paraId="28CAE066" w14:textId="77777777" w:rsidR="00676882" w:rsidRDefault="00676882" w:rsidP="00676882">
      <w:pPr>
        <w:pStyle w:val="Quote"/>
      </w:pPr>
      <w:r w:rsidRPr="00B71B38">
        <w:t>in</w:t>
      </w:r>
      <w:r>
        <w:t xml:space="preserve"> </w:t>
      </w:r>
      <w:r w:rsidRPr="00B71B38">
        <w:t>some</w:t>
      </w:r>
      <w:r>
        <w:t xml:space="preserve"> </w:t>
      </w:r>
      <w:r w:rsidRPr="00B71B38">
        <w:t>circumstances,</w:t>
      </w:r>
      <w:r>
        <w:t xml:space="preserve"> </w:t>
      </w:r>
      <w:r w:rsidRPr="00B71B38">
        <w:t>buildings</w:t>
      </w:r>
      <w:r>
        <w:t xml:space="preserve"> </w:t>
      </w:r>
      <w:r w:rsidRPr="00B71B38">
        <w:t>constructed</w:t>
      </w:r>
      <w:r>
        <w:t xml:space="preserve"> </w:t>
      </w:r>
      <w:r w:rsidRPr="00B71B38">
        <w:t>under</w:t>
      </w:r>
      <w:r>
        <w:t xml:space="preserve"> </w:t>
      </w:r>
      <w:r w:rsidRPr="00B71B38">
        <w:t>the</w:t>
      </w:r>
      <w:r>
        <w:t xml:space="preserve"> </w:t>
      </w:r>
      <w:r w:rsidRPr="00B71B38">
        <w:t>baseline</w:t>
      </w:r>
      <w:r>
        <w:t xml:space="preserve"> </w:t>
      </w:r>
      <w:r w:rsidRPr="00B71B38">
        <w:t>scenario</w:t>
      </w:r>
      <w:r>
        <w:t xml:space="preserve"> </w:t>
      </w:r>
      <w:r w:rsidRPr="00B71B38">
        <w:t>(</w:t>
      </w:r>
      <w:proofErr w:type="gramStart"/>
      <w:r w:rsidRPr="00B71B38">
        <w:t>i.e.</w:t>
      </w:r>
      <w:proofErr w:type="gramEnd"/>
      <w:r>
        <w:t xml:space="preserve"> </w:t>
      </w:r>
      <w:r w:rsidRPr="00B71B38">
        <w:t>constructed</w:t>
      </w:r>
      <w:r>
        <w:t xml:space="preserve"> </w:t>
      </w:r>
      <w:r w:rsidRPr="00B71B38">
        <w:t>under</w:t>
      </w:r>
      <w:r>
        <w:t xml:space="preserve"> </w:t>
      </w:r>
      <w:r w:rsidRPr="00B71B38">
        <w:t>existing</w:t>
      </w:r>
      <w:r>
        <w:t xml:space="preserve"> </w:t>
      </w:r>
      <w:r w:rsidRPr="00B71B38">
        <w:t>NCC</w:t>
      </w:r>
      <w:r>
        <w:t xml:space="preserve"> </w:t>
      </w:r>
      <w:r w:rsidRPr="00B71B38">
        <w:t>minimum</w:t>
      </w:r>
      <w:r>
        <w:t xml:space="preserve"> </w:t>
      </w:r>
      <w:r w:rsidRPr="00B71B38">
        <w:t>requirements) would</w:t>
      </w:r>
      <w:r>
        <w:t xml:space="preserve"> </w:t>
      </w:r>
      <w:r w:rsidRPr="00B71B38">
        <w:t>also</w:t>
      </w:r>
      <w:r>
        <w:t xml:space="preserve"> </w:t>
      </w:r>
      <w:r w:rsidRPr="00B71B38">
        <w:t>benefit</w:t>
      </w:r>
      <w:r>
        <w:t xml:space="preserve"> </w:t>
      </w:r>
      <w:r w:rsidRPr="00B71B38">
        <w:t>from</w:t>
      </w:r>
      <w:r>
        <w:t xml:space="preserve"> </w:t>
      </w:r>
      <w:r w:rsidRPr="00B71B38">
        <w:t>declining</w:t>
      </w:r>
      <w:r>
        <w:t xml:space="preserve"> </w:t>
      </w:r>
      <w:r w:rsidRPr="00B71B38">
        <w:t>prices</w:t>
      </w:r>
      <w:r>
        <w:t xml:space="preserve"> </w:t>
      </w:r>
      <w:r w:rsidRPr="00B71B38">
        <w:t>of</w:t>
      </w:r>
      <w:r>
        <w:t xml:space="preserve"> </w:t>
      </w:r>
      <w:r w:rsidRPr="00B71B38">
        <w:t>building</w:t>
      </w:r>
      <w:r>
        <w:t xml:space="preserve"> </w:t>
      </w:r>
      <w:r w:rsidRPr="00B71B38">
        <w:t>products.</w:t>
      </w:r>
      <w:r>
        <w:t xml:space="preserve"> </w:t>
      </w:r>
      <w:r w:rsidRPr="00B71B38">
        <w:t>Where</w:t>
      </w:r>
      <w:r>
        <w:t xml:space="preserve"> </w:t>
      </w:r>
      <w:r w:rsidRPr="00B71B38">
        <w:t>the</w:t>
      </w:r>
      <w:r>
        <w:t xml:space="preserve"> </w:t>
      </w:r>
      <w:r w:rsidRPr="00B71B38">
        <w:t>price</w:t>
      </w:r>
      <w:r>
        <w:t xml:space="preserve"> </w:t>
      </w:r>
      <w:r w:rsidRPr="00B71B38">
        <w:t>declines</w:t>
      </w:r>
      <w:r>
        <w:t xml:space="preserve"> </w:t>
      </w:r>
      <w:r w:rsidRPr="00B71B38">
        <w:t>for</w:t>
      </w:r>
      <w:r>
        <w:t xml:space="preserve"> </w:t>
      </w:r>
      <w:r w:rsidRPr="00B71B38">
        <w:t>inputs</w:t>
      </w:r>
      <w:r>
        <w:t xml:space="preserve"> </w:t>
      </w:r>
      <w:r w:rsidRPr="00B71B38">
        <w:t>that</w:t>
      </w:r>
      <w:r>
        <w:t xml:space="preserve"> </w:t>
      </w:r>
      <w:r w:rsidRPr="00B71B38">
        <w:t>are</w:t>
      </w:r>
      <w:r>
        <w:t xml:space="preserve"> </w:t>
      </w:r>
      <w:r w:rsidRPr="00B71B38">
        <w:t>used</w:t>
      </w:r>
      <w:r>
        <w:t xml:space="preserve"> </w:t>
      </w:r>
      <w:r w:rsidRPr="00B71B38">
        <w:t>under</w:t>
      </w:r>
      <w:r>
        <w:t xml:space="preserve"> </w:t>
      </w:r>
      <w:r w:rsidRPr="00B71B38">
        <w:t>both</w:t>
      </w:r>
      <w:r>
        <w:t xml:space="preserve"> </w:t>
      </w:r>
      <w:r w:rsidRPr="00B71B38">
        <w:t>the</w:t>
      </w:r>
      <w:r>
        <w:t xml:space="preserve"> </w:t>
      </w:r>
      <w:r w:rsidRPr="00B71B38">
        <w:t>baseline</w:t>
      </w:r>
      <w:r>
        <w:t xml:space="preserve"> </w:t>
      </w:r>
      <w:r w:rsidRPr="00B71B38">
        <w:t>scenario</w:t>
      </w:r>
      <w:r>
        <w:t xml:space="preserve"> </w:t>
      </w:r>
      <w:r w:rsidRPr="00B71B38">
        <w:t>and</w:t>
      </w:r>
      <w:r>
        <w:t xml:space="preserve"> </w:t>
      </w:r>
      <w:r w:rsidRPr="00B71B38">
        <w:t>where</w:t>
      </w:r>
      <w:r>
        <w:t xml:space="preserve"> </w:t>
      </w:r>
      <w:r w:rsidRPr="00B71B38">
        <w:t>stricter</w:t>
      </w:r>
      <w:r>
        <w:t xml:space="preserve"> </w:t>
      </w:r>
      <w:r w:rsidRPr="00B71B38">
        <w:t>minimum</w:t>
      </w:r>
      <w:r>
        <w:t xml:space="preserve"> </w:t>
      </w:r>
      <w:r w:rsidRPr="00B71B38">
        <w:t>performance</w:t>
      </w:r>
      <w:r>
        <w:t xml:space="preserve"> </w:t>
      </w:r>
      <w:r w:rsidRPr="00B71B38">
        <w:t>requirements</w:t>
      </w:r>
      <w:r>
        <w:t xml:space="preserve"> </w:t>
      </w:r>
      <w:r w:rsidRPr="00B71B38">
        <w:t>apply,</w:t>
      </w:r>
      <w:r>
        <w:t xml:space="preserve"> </w:t>
      </w:r>
      <w:r w:rsidRPr="00B71B38">
        <w:t>there</w:t>
      </w:r>
      <w:r>
        <w:t xml:space="preserve"> </w:t>
      </w:r>
      <w:r w:rsidRPr="00B71B38">
        <w:t>would</w:t>
      </w:r>
      <w:r>
        <w:t xml:space="preserve"> </w:t>
      </w:r>
      <w:r w:rsidRPr="00B71B38">
        <w:t>be</w:t>
      </w:r>
      <w:r>
        <w:t xml:space="preserve"> </w:t>
      </w:r>
      <w:r w:rsidRPr="00B71B38">
        <w:t>no</w:t>
      </w:r>
      <w:r>
        <w:t xml:space="preserve"> </w:t>
      </w:r>
      <w:r w:rsidRPr="00B71B38">
        <w:t>change</w:t>
      </w:r>
      <w:r>
        <w:t xml:space="preserve"> </w:t>
      </w:r>
      <w:r w:rsidRPr="00B71B38">
        <w:t>in</w:t>
      </w:r>
      <w:r>
        <w:t xml:space="preserve"> </w:t>
      </w:r>
      <w:r w:rsidRPr="00B71B38">
        <w:t>the</w:t>
      </w:r>
      <w:r>
        <w:t xml:space="preserve"> </w:t>
      </w:r>
      <w:r w:rsidRPr="00B71B38">
        <w:t>incremental</w:t>
      </w:r>
      <w:r>
        <w:t xml:space="preserve"> </w:t>
      </w:r>
      <w:r w:rsidRPr="00B71B38">
        <w:t>cost</w:t>
      </w:r>
      <w:r>
        <w:t xml:space="preserve"> </w:t>
      </w:r>
      <w:r w:rsidRPr="00B71B38">
        <w:t>of</w:t>
      </w:r>
      <w:r>
        <w:t xml:space="preserve"> </w:t>
      </w:r>
      <w:r w:rsidRPr="00B71B38">
        <w:t>achieving</w:t>
      </w:r>
      <w:r>
        <w:t xml:space="preserve"> </w:t>
      </w:r>
      <w:r w:rsidRPr="00B71B38">
        <w:t>higher</w:t>
      </w:r>
      <w:r>
        <w:t xml:space="preserve"> </w:t>
      </w:r>
      <w:r w:rsidRPr="00B71B38">
        <w:t>standards.</w:t>
      </w:r>
      <w:r>
        <w:t xml:space="preserve"> </w:t>
      </w:r>
      <w:r w:rsidRPr="00B71B38">
        <w:t>Even</w:t>
      </w:r>
      <w:r>
        <w:t xml:space="preserve"> </w:t>
      </w:r>
      <w:r w:rsidRPr="00B71B38">
        <w:t>where</w:t>
      </w:r>
      <w:r>
        <w:t xml:space="preserve"> </w:t>
      </w:r>
      <w:r w:rsidRPr="00B71B38">
        <w:t>the</w:t>
      </w:r>
      <w:r>
        <w:t xml:space="preserve"> </w:t>
      </w:r>
      <w:r w:rsidRPr="00B71B38">
        <w:t>price</w:t>
      </w:r>
      <w:r>
        <w:t xml:space="preserve"> </w:t>
      </w:r>
      <w:r w:rsidRPr="00B71B38">
        <w:t>of</w:t>
      </w:r>
      <w:r>
        <w:t xml:space="preserve"> </w:t>
      </w:r>
      <w:r w:rsidRPr="00B71B38">
        <w:t>inputs</w:t>
      </w:r>
      <w:r>
        <w:t xml:space="preserve"> </w:t>
      </w:r>
      <w:r w:rsidRPr="00B71B38">
        <w:t>used</w:t>
      </w:r>
      <w:r>
        <w:t xml:space="preserve"> </w:t>
      </w:r>
      <w:r w:rsidRPr="00B71B38">
        <w:t>to</w:t>
      </w:r>
      <w:r>
        <w:t xml:space="preserve"> </w:t>
      </w:r>
      <w:r w:rsidRPr="00B71B38">
        <w:t>achieve</w:t>
      </w:r>
      <w:r>
        <w:t xml:space="preserve"> </w:t>
      </w:r>
      <w:r w:rsidRPr="00B71B38">
        <w:t>higher</w:t>
      </w:r>
      <w:r>
        <w:t xml:space="preserve"> </w:t>
      </w:r>
      <w:r w:rsidRPr="00B71B38">
        <w:t>standards</w:t>
      </w:r>
      <w:r>
        <w:t xml:space="preserve"> </w:t>
      </w:r>
      <w:r w:rsidRPr="00B71B38">
        <w:t>(but</w:t>
      </w:r>
      <w:r>
        <w:t xml:space="preserve"> </w:t>
      </w:r>
      <w:r w:rsidRPr="00B71B38">
        <w:t>not</w:t>
      </w:r>
      <w:r>
        <w:t xml:space="preserve"> </w:t>
      </w:r>
      <w:r w:rsidRPr="00B71B38">
        <w:t>necessarily</w:t>
      </w:r>
      <w:r>
        <w:t xml:space="preserve"> </w:t>
      </w:r>
      <w:r w:rsidRPr="00B71B38">
        <w:t>under</w:t>
      </w:r>
      <w:r>
        <w:t xml:space="preserve"> </w:t>
      </w:r>
      <w:r w:rsidRPr="00B71B38">
        <w:t>the</w:t>
      </w:r>
      <w:r>
        <w:t xml:space="preserve"> </w:t>
      </w:r>
      <w:r w:rsidRPr="00B71B38">
        <w:t>baseline) falls,</w:t>
      </w:r>
      <w:r>
        <w:t xml:space="preserve"> </w:t>
      </w:r>
      <w:r w:rsidRPr="00B71B38">
        <w:t>lower</w:t>
      </w:r>
      <w:r>
        <w:t xml:space="preserve"> </w:t>
      </w:r>
      <w:r w:rsidRPr="00B71B38">
        <w:t>prices</w:t>
      </w:r>
      <w:r>
        <w:t xml:space="preserve"> </w:t>
      </w:r>
      <w:r w:rsidRPr="00B71B38">
        <w:t>may</w:t>
      </w:r>
      <w:r>
        <w:t xml:space="preserve"> </w:t>
      </w:r>
      <w:r w:rsidRPr="00B71B38">
        <w:t>encourage</w:t>
      </w:r>
      <w:r>
        <w:t xml:space="preserve"> </w:t>
      </w:r>
      <w:r w:rsidRPr="00B71B38">
        <w:t>greater</w:t>
      </w:r>
      <w:r>
        <w:t xml:space="preserve"> </w:t>
      </w:r>
      <w:r w:rsidRPr="00B71B38">
        <w:t>uptake</w:t>
      </w:r>
      <w:r>
        <w:t xml:space="preserve"> </w:t>
      </w:r>
      <w:r w:rsidRPr="00B71B38">
        <w:t>of</w:t>
      </w:r>
      <w:r>
        <w:t xml:space="preserve"> </w:t>
      </w:r>
      <w:r w:rsidRPr="00B71B38">
        <w:t>these</w:t>
      </w:r>
      <w:r>
        <w:t xml:space="preserve"> </w:t>
      </w:r>
      <w:r w:rsidRPr="00B71B38">
        <w:t>products</w:t>
      </w:r>
      <w:r>
        <w:t xml:space="preserve"> </w:t>
      </w:r>
      <w:r w:rsidRPr="00B71B38">
        <w:t>under</w:t>
      </w:r>
      <w:r>
        <w:t xml:space="preserve"> </w:t>
      </w:r>
      <w:r w:rsidRPr="00B71B38">
        <w:t>the</w:t>
      </w:r>
      <w:r>
        <w:t xml:space="preserve"> </w:t>
      </w:r>
      <w:r w:rsidRPr="00B71B38">
        <w:t>baseline.</w:t>
      </w:r>
      <w:r>
        <w:t xml:space="preserve"> </w:t>
      </w:r>
      <w:r w:rsidRPr="00B71B38">
        <w:t>For</w:t>
      </w:r>
      <w:r>
        <w:t xml:space="preserve"> </w:t>
      </w:r>
      <w:r w:rsidRPr="00B71B38">
        <w:t>example,</w:t>
      </w:r>
      <w:r>
        <w:t xml:space="preserve"> </w:t>
      </w:r>
      <w:r w:rsidRPr="00B71B38">
        <w:t>declining</w:t>
      </w:r>
      <w:r>
        <w:t xml:space="preserve"> </w:t>
      </w:r>
      <w:r w:rsidRPr="00B71B38">
        <w:t>prices</w:t>
      </w:r>
      <w:r>
        <w:t xml:space="preserve"> </w:t>
      </w:r>
      <w:r w:rsidRPr="00B71B38">
        <w:t>has</w:t>
      </w:r>
      <w:r>
        <w:t xml:space="preserve"> </w:t>
      </w:r>
      <w:r w:rsidRPr="00B71B38">
        <w:t>encouraged</w:t>
      </w:r>
      <w:r>
        <w:t xml:space="preserve"> </w:t>
      </w:r>
      <w:r w:rsidRPr="00B71B38">
        <w:t>greater</w:t>
      </w:r>
      <w:r>
        <w:t xml:space="preserve"> </w:t>
      </w:r>
      <w:r w:rsidRPr="00B71B38">
        <w:t>uptake</w:t>
      </w:r>
      <w:r>
        <w:t xml:space="preserve"> </w:t>
      </w:r>
      <w:r w:rsidRPr="00B71B38">
        <w:t>of</w:t>
      </w:r>
      <w:r>
        <w:t xml:space="preserve"> </w:t>
      </w:r>
      <w:r w:rsidRPr="00B71B38">
        <w:t>LED</w:t>
      </w:r>
      <w:r>
        <w:t xml:space="preserve"> </w:t>
      </w:r>
      <w:r w:rsidRPr="00B71B38">
        <w:t>lighting</w:t>
      </w:r>
      <w:r>
        <w:t xml:space="preserve"> </w:t>
      </w:r>
      <w:r w:rsidRPr="00B71B38">
        <w:t>even</w:t>
      </w:r>
      <w:r>
        <w:t xml:space="preserve"> </w:t>
      </w:r>
      <w:r w:rsidRPr="00B71B38">
        <w:t>without</w:t>
      </w:r>
      <w:r>
        <w:t xml:space="preserve"> </w:t>
      </w:r>
      <w:r w:rsidRPr="00B71B38">
        <w:t>the</w:t>
      </w:r>
      <w:r>
        <w:t xml:space="preserve"> </w:t>
      </w:r>
      <w:r w:rsidRPr="00B71B38">
        <w:t>need</w:t>
      </w:r>
      <w:r>
        <w:t xml:space="preserve"> </w:t>
      </w:r>
      <w:r w:rsidRPr="00B71B38">
        <w:t>for</w:t>
      </w:r>
      <w:r>
        <w:t xml:space="preserve"> </w:t>
      </w:r>
      <w:r w:rsidRPr="00B71B38">
        <w:t>regulation</w:t>
      </w:r>
      <w:r>
        <w:t>.</w:t>
      </w:r>
    </w:p>
    <w:p w14:paraId="0A0F80A6" w14:textId="77777777" w:rsidR="00676882" w:rsidRDefault="00676882" w:rsidP="00676882">
      <w:pPr>
        <w:pStyle w:val="BodyText"/>
        <w:ind w:left="420"/>
      </w:pPr>
      <w:r>
        <w:t>And that:</w:t>
      </w:r>
    </w:p>
    <w:p w14:paraId="0FC720BF" w14:textId="77777777" w:rsidR="00676882" w:rsidRPr="00D97DAC" w:rsidRDefault="00676882" w:rsidP="00676882">
      <w:pPr>
        <w:pStyle w:val="Quote"/>
      </w:pPr>
      <w:r w:rsidRPr="00D97DAC">
        <w:t>Where</w:t>
      </w:r>
      <w:r>
        <w:t xml:space="preserve"> </w:t>
      </w:r>
      <w:r w:rsidRPr="00D97DAC">
        <w:t>cheaper</w:t>
      </w:r>
      <w:r>
        <w:t xml:space="preserve"> </w:t>
      </w:r>
      <w:r w:rsidRPr="00D97DAC">
        <w:t>and</w:t>
      </w:r>
      <w:r>
        <w:t xml:space="preserve"> </w:t>
      </w:r>
      <w:r w:rsidRPr="00D97DAC">
        <w:t>more</w:t>
      </w:r>
      <w:r>
        <w:t xml:space="preserve"> </w:t>
      </w:r>
      <w:r w:rsidRPr="00D97DAC">
        <w:t>energy</w:t>
      </w:r>
      <w:r>
        <w:t xml:space="preserve"> </w:t>
      </w:r>
      <w:r w:rsidRPr="00D97DAC">
        <w:t>efficient</w:t>
      </w:r>
      <w:r>
        <w:t xml:space="preserve"> </w:t>
      </w:r>
      <w:r w:rsidRPr="00D97DAC">
        <w:t>technologies</w:t>
      </w:r>
      <w:r>
        <w:t xml:space="preserve"> </w:t>
      </w:r>
      <w:r w:rsidRPr="00D97DAC">
        <w:t>(and</w:t>
      </w:r>
      <w:r>
        <w:t xml:space="preserve"> </w:t>
      </w:r>
      <w:r w:rsidRPr="00D97DAC">
        <w:t>there</w:t>
      </w:r>
      <w:r>
        <w:t xml:space="preserve"> </w:t>
      </w:r>
      <w:r w:rsidRPr="00D97DAC">
        <w:t>are</w:t>
      </w:r>
      <w:r>
        <w:t xml:space="preserve"> </w:t>
      </w:r>
      <w:r w:rsidRPr="00D97DAC">
        <w:t>no</w:t>
      </w:r>
      <w:r>
        <w:t xml:space="preserve"> </w:t>
      </w:r>
      <w:r w:rsidRPr="00D97DAC">
        <w:t>compromises</w:t>
      </w:r>
      <w:r>
        <w:t xml:space="preserve"> </w:t>
      </w:r>
      <w:r w:rsidRPr="00D97DAC">
        <w:t>on</w:t>
      </w:r>
      <w:r>
        <w:t xml:space="preserve"> </w:t>
      </w:r>
      <w:r w:rsidRPr="00D97DAC">
        <w:t>other</w:t>
      </w:r>
      <w:r>
        <w:t xml:space="preserve"> </w:t>
      </w:r>
      <w:r w:rsidRPr="00D97DAC">
        <w:t>characteristics) becomes</w:t>
      </w:r>
      <w:r>
        <w:t xml:space="preserve"> </w:t>
      </w:r>
      <w:r w:rsidRPr="00D97DAC">
        <w:t>available</w:t>
      </w:r>
      <w:r>
        <w:t xml:space="preserve"> </w:t>
      </w:r>
      <w:r w:rsidRPr="00D97DAC">
        <w:t>(such</w:t>
      </w:r>
      <w:r>
        <w:t xml:space="preserve"> </w:t>
      </w:r>
      <w:r w:rsidRPr="00D97DAC">
        <w:t>as</w:t>
      </w:r>
      <w:r>
        <w:t xml:space="preserve"> </w:t>
      </w:r>
      <w:r w:rsidRPr="00D97DAC">
        <w:t>LED</w:t>
      </w:r>
      <w:r>
        <w:t xml:space="preserve"> </w:t>
      </w:r>
      <w:r w:rsidRPr="00D97DAC">
        <w:t>lighting),</w:t>
      </w:r>
      <w:r>
        <w:t xml:space="preserve"> </w:t>
      </w:r>
      <w:r w:rsidRPr="00D97DAC">
        <w:t>they</w:t>
      </w:r>
      <w:r>
        <w:t xml:space="preserve"> </w:t>
      </w:r>
      <w:r w:rsidRPr="00D97DAC">
        <w:t>are</w:t>
      </w:r>
      <w:r>
        <w:t xml:space="preserve"> </w:t>
      </w:r>
      <w:r w:rsidRPr="00D97DAC">
        <w:t>likely</w:t>
      </w:r>
      <w:r>
        <w:t xml:space="preserve"> </w:t>
      </w:r>
      <w:r w:rsidRPr="00D97DAC">
        <w:t>to</w:t>
      </w:r>
      <w:r>
        <w:t xml:space="preserve"> </w:t>
      </w:r>
      <w:r w:rsidRPr="00D97DAC">
        <w:t>be</w:t>
      </w:r>
      <w:r>
        <w:t xml:space="preserve"> </w:t>
      </w:r>
      <w:r w:rsidRPr="00D97DAC">
        <w:t>adopted</w:t>
      </w:r>
      <w:r>
        <w:t xml:space="preserve"> </w:t>
      </w:r>
      <w:r w:rsidRPr="00D97DAC">
        <w:t>by</w:t>
      </w:r>
      <w:r>
        <w:t xml:space="preserve"> </w:t>
      </w:r>
      <w:r w:rsidRPr="00D97DAC">
        <w:t>industry</w:t>
      </w:r>
      <w:r>
        <w:t xml:space="preserve"> </w:t>
      </w:r>
      <w:r w:rsidRPr="00D97DAC">
        <w:t>even</w:t>
      </w:r>
      <w:r>
        <w:t xml:space="preserve"> </w:t>
      </w:r>
      <w:r w:rsidRPr="00D97DAC">
        <w:t>without</w:t>
      </w:r>
      <w:r>
        <w:t xml:space="preserve"> </w:t>
      </w:r>
      <w:r w:rsidRPr="00D97DAC">
        <w:t>the</w:t>
      </w:r>
      <w:r>
        <w:t xml:space="preserve"> </w:t>
      </w:r>
      <w:r w:rsidRPr="00D97DAC">
        <w:t>need</w:t>
      </w:r>
      <w:r>
        <w:t xml:space="preserve"> </w:t>
      </w:r>
      <w:r w:rsidRPr="00D97DAC">
        <w:t>for</w:t>
      </w:r>
      <w:r>
        <w:t xml:space="preserve"> </w:t>
      </w:r>
      <w:r w:rsidRPr="00D97DAC">
        <w:t>regulatory</w:t>
      </w:r>
      <w:r>
        <w:t xml:space="preserve"> </w:t>
      </w:r>
      <w:r w:rsidRPr="00D97DAC">
        <w:t>change.</w:t>
      </w:r>
    </w:p>
    <w:p w14:paraId="653FFAF4" w14:textId="77777777" w:rsidR="00676882" w:rsidRDefault="00676882" w:rsidP="00676882">
      <w:pPr>
        <w:pStyle w:val="ListBullet"/>
        <w:numPr>
          <w:ilvl w:val="0"/>
          <w:numId w:val="0"/>
        </w:numPr>
      </w:pPr>
      <w:r>
        <w:t>Given the above evidence, for the central case analysis in this RIS. The impact of lower costs of upgrades is tested through breakeven analysis.</w:t>
      </w:r>
    </w:p>
    <w:p w14:paraId="628B4BFD" w14:textId="77777777" w:rsidR="00676882" w:rsidRPr="004D54B8" w:rsidRDefault="00676882" w:rsidP="00676882">
      <w:pPr>
        <w:pStyle w:val="Heading3AP"/>
        <w:numPr>
          <w:ilvl w:val="2"/>
          <w:numId w:val="45"/>
        </w:numPr>
      </w:pPr>
      <w:r w:rsidRPr="004D54B8">
        <w:lastRenderedPageBreak/>
        <w:t>Administration and enforcement costs</w:t>
      </w:r>
    </w:p>
    <w:p w14:paraId="14EF1197" w14:textId="77777777" w:rsidR="00676882" w:rsidRDefault="00676882" w:rsidP="00676882">
      <w:pPr>
        <w:pStyle w:val="BodyText"/>
      </w:pPr>
      <w:r>
        <w:t>These costs include any additional government resources required to administer and enforce the proposed policy options. These costs could include:</w:t>
      </w:r>
    </w:p>
    <w:p w14:paraId="328277D1" w14:textId="77777777" w:rsidR="00676882" w:rsidRDefault="00676882" w:rsidP="00676882">
      <w:pPr>
        <w:pStyle w:val="ListBullet"/>
      </w:pPr>
      <w:r>
        <w:t>administration and enforcement costs of the policy</w:t>
      </w:r>
    </w:p>
    <w:p w14:paraId="523B5BF9" w14:textId="77777777" w:rsidR="00676882" w:rsidRDefault="00676882" w:rsidP="00676882">
      <w:pPr>
        <w:pStyle w:val="ListBullet"/>
      </w:pPr>
      <w:r>
        <w:t xml:space="preserve">information campaigns/materials to raise awareness of the changes </w:t>
      </w:r>
    </w:p>
    <w:p w14:paraId="4A44517F" w14:textId="77777777" w:rsidR="00676882" w:rsidRDefault="00676882" w:rsidP="00676882">
      <w:pPr>
        <w:pStyle w:val="ListBullet"/>
      </w:pPr>
      <w:r>
        <w:t>costs of implementation and review.</w:t>
      </w:r>
    </w:p>
    <w:p w14:paraId="39F76082" w14:textId="77777777" w:rsidR="00676882" w:rsidRDefault="00676882" w:rsidP="00676882">
      <w:pPr>
        <w:pStyle w:val="BodyText"/>
      </w:pPr>
      <w:r>
        <w:t>The costs used for this purpose have been provided by EPSDD and are assumed to be invariant between policy options, though do run for the period of the program. Estimates of Housing ACT organisation costs, which are scaled depending on the requirements of each proposed standard, have been taken from the ACT Public Sector Enterprise Agreement.</w:t>
      </w:r>
    </w:p>
    <w:p w14:paraId="623E403A" w14:textId="77777777" w:rsidR="00676882" w:rsidRDefault="00676882" w:rsidP="00676882">
      <w:pPr>
        <w:pStyle w:val="Heading3AP"/>
        <w:numPr>
          <w:ilvl w:val="2"/>
          <w:numId w:val="45"/>
        </w:numPr>
      </w:pPr>
      <w:r>
        <w:t>Industry costs</w:t>
      </w:r>
    </w:p>
    <w:p w14:paraId="0932EB95" w14:textId="77777777" w:rsidR="00676882" w:rsidRDefault="00676882" w:rsidP="00676882">
      <w:pPr>
        <w:pStyle w:val="BodyText"/>
      </w:pPr>
      <w:r>
        <w:t xml:space="preserve">Depending on the policy option being examined in the RIS, industry will incur some costs. These could include, for instance, costs associated with training, time required from property managers and insurance requirements. </w:t>
      </w:r>
    </w:p>
    <w:p w14:paraId="018465EF" w14:textId="77777777" w:rsidR="00676882" w:rsidRDefault="00676882" w:rsidP="00676882">
      <w:pPr>
        <w:pStyle w:val="Heading4AP"/>
        <w:numPr>
          <w:ilvl w:val="3"/>
          <w:numId w:val="45"/>
        </w:numPr>
      </w:pPr>
      <w:r>
        <w:t>Costs to real estate agents</w:t>
      </w:r>
    </w:p>
    <w:p w14:paraId="4F473B25" w14:textId="77777777" w:rsidR="00676882" w:rsidRDefault="00676882" w:rsidP="00676882">
      <w:pPr>
        <w:pStyle w:val="BodyText"/>
      </w:pPr>
      <w:r>
        <w:t>Although it is not expected that this will be a ‘formal’ requirement of the minimum performance standard policy option, it was assumed that real estate agents may be requested to organise for assessments and upgrades. This project management is in excess of organising simple upgrades as is the case with a heater replacement, for example.</w:t>
      </w:r>
    </w:p>
    <w:p w14:paraId="7AB4D28E" w14:textId="77777777" w:rsidR="00676882" w:rsidRDefault="00676882" w:rsidP="00676882">
      <w:pPr>
        <w:pStyle w:val="BodyText"/>
      </w:pPr>
      <w:r>
        <w:t>In some cases, these costs will be passed through to rental providers, however this time has been estimated separately. This only applies to those properties managed by real estate agents.</w:t>
      </w:r>
    </w:p>
    <w:p w14:paraId="05FE8E45" w14:textId="77777777" w:rsidR="00676882" w:rsidRDefault="00676882" w:rsidP="00676882">
      <w:pPr>
        <w:pStyle w:val="BodyText"/>
      </w:pPr>
      <w:r>
        <w:t xml:space="preserve">For the purposes of this analysis, it was therefore assumed that such a booking would require three hours of a real estate agent’s time, based on assumed time required to make phone calls to organise assessments, assist in planning upgrades across multiple providers, and organise payment, etc. This time was costed using the average annual earnings of a real estate agent in ACT (sourced from the ABS). </w:t>
      </w:r>
    </w:p>
    <w:p w14:paraId="11A4AA23" w14:textId="77777777" w:rsidR="00676882" w:rsidRDefault="00676882" w:rsidP="00676882">
      <w:pPr>
        <w:pStyle w:val="Heading2AP"/>
        <w:numPr>
          <w:ilvl w:val="1"/>
          <w:numId w:val="45"/>
        </w:numPr>
      </w:pPr>
      <w:bookmarkStart w:id="402" w:name="_Toc80281737"/>
      <w:bookmarkStart w:id="403" w:name="_Toc80712615"/>
      <w:r>
        <w:t>Modelling parameters and assumptions</w:t>
      </w:r>
      <w:bookmarkEnd w:id="402"/>
      <w:bookmarkEnd w:id="403"/>
    </w:p>
    <w:p w14:paraId="751FB59C" w14:textId="77777777" w:rsidR="00676882" w:rsidRDefault="00676882" w:rsidP="00676882">
      <w:pPr>
        <w:pStyle w:val="BodyText"/>
      </w:pPr>
      <w:r>
        <w:t xml:space="preserve">The following sections discuss key inputs and parameters that have been used for the CBA, both at the household and economywide level. </w:t>
      </w:r>
    </w:p>
    <w:p w14:paraId="5C872B04" w14:textId="77777777" w:rsidR="00676882" w:rsidRDefault="00676882" w:rsidP="00676882">
      <w:pPr>
        <w:pStyle w:val="Heading3AP"/>
        <w:numPr>
          <w:ilvl w:val="2"/>
          <w:numId w:val="45"/>
        </w:numPr>
      </w:pPr>
      <w:r>
        <w:t>Timeframe for analysis</w:t>
      </w:r>
    </w:p>
    <w:p w14:paraId="488A1058" w14:textId="77777777" w:rsidR="00676882" w:rsidRDefault="00676882" w:rsidP="00676882">
      <w:pPr>
        <w:pStyle w:val="BodyText"/>
      </w:pPr>
      <w:r>
        <w:t xml:space="preserve">The analytical timeframe used to model the costs and benefits of the proposed minimum standards is based on the following assumptions about the life of the intervention and of their associated impacts. </w:t>
      </w:r>
    </w:p>
    <w:p w14:paraId="73A1DC47" w14:textId="77777777" w:rsidR="00676882" w:rsidRDefault="00676882" w:rsidP="00676882">
      <w:pPr>
        <w:pStyle w:val="Heading4AP"/>
        <w:numPr>
          <w:ilvl w:val="3"/>
          <w:numId w:val="45"/>
        </w:numPr>
      </w:pPr>
      <w:r>
        <w:t>The effective life of the intervention</w:t>
      </w:r>
    </w:p>
    <w:p w14:paraId="238C879B" w14:textId="77777777" w:rsidR="00676882" w:rsidRDefault="00676882" w:rsidP="00676882">
      <w:pPr>
        <w:pStyle w:val="BodyText"/>
      </w:pPr>
      <w:r>
        <w:t>Consistent with best practice and previous CBA analyses, we propose to assume that actions related to the policy (compliance actions, information campaigns, industry training, etc) begin the year the scheme starts (2022) and extend for a period of 10 years (that is, costs associated with the scheme are be modelled for 10 years). After this period, it is assumed that, in a normal cyclical policy review, a new cost-benefit analysis results in the policy being superseded, revised or extended.</w:t>
      </w:r>
    </w:p>
    <w:p w14:paraId="613B09DE" w14:textId="77777777" w:rsidR="00676882" w:rsidRDefault="00676882" w:rsidP="00676882">
      <w:pPr>
        <w:pStyle w:val="Heading4AP"/>
        <w:numPr>
          <w:ilvl w:val="3"/>
          <w:numId w:val="45"/>
        </w:numPr>
      </w:pPr>
      <w:r>
        <w:lastRenderedPageBreak/>
        <w:t>The life of the intervention’s impact</w:t>
      </w:r>
    </w:p>
    <w:p w14:paraId="30F66B35" w14:textId="77777777" w:rsidR="00676882" w:rsidRDefault="00676882" w:rsidP="00676882">
      <w:pPr>
        <w:pStyle w:val="BodyText"/>
      </w:pPr>
      <w:r>
        <w:t xml:space="preserve">The benefits that flow from the energy efficiency investments triggered by the policy will depend on the life of the assets installed by householders. Buildings are typically long-lived assets with a life of 40 years or more, whereas appliances are shorter-lived. </w:t>
      </w:r>
      <w:proofErr w:type="gramStart"/>
      <w:r>
        <w:t>In light of</w:t>
      </w:r>
      <w:proofErr w:type="gramEnd"/>
      <w:r>
        <w:t xml:space="preserve"> this, depending on the upgrades required under each policy option, the following assumptions have been used about the expected life of investments. </w:t>
      </w:r>
    </w:p>
    <w:p w14:paraId="787B96C2" w14:textId="77777777" w:rsidR="00676882" w:rsidRDefault="00676882" w:rsidP="00676882">
      <w:pPr>
        <w:pStyle w:val="ListBullet"/>
      </w:pPr>
      <w:r>
        <w:t xml:space="preserve">Investments related to insulation have been assumed to have an average lifespan of 25 years (the useful life of insulation depends on the type of insulation installed, the R rating of the original insulation, compression and movement over time, and whether any damage has occurred). </w:t>
      </w:r>
    </w:p>
    <w:p w14:paraId="38538DC2" w14:textId="77777777" w:rsidR="00676882" w:rsidRDefault="00676882" w:rsidP="00676882">
      <w:pPr>
        <w:pStyle w:val="ListBullet"/>
      </w:pPr>
      <w:r>
        <w:t>Investments related to heaters have been assumed to have a lifespan of 12 years.</w:t>
      </w:r>
    </w:p>
    <w:p w14:paraId="787219EC" w14:textId="77777777" w:rsidR="00676882" w:rsidRDefault="00676882" w:rsidP="00676882">
      <w:pPr>
        <w:pStyle w:val="ListBullet"/>
      </w:pPr>
      <w:r>
        <w:t>For performance based minimum standard policy options:</w:t>
      </w:r>
    </w:p>
    <w:p w14:paraId="4C5979C1" w14:textId="77777777" w:rsidR="00676882" w:rsidRDefault="00676882" w:rsidP="00676882">
      <w:pPr>
        <w:pStyle w:val="ListBullet2"/>
      </w:pPr>
      <w:r>
        <w:t xml:space="preserve">Investments relating to upgrades to the building shell have a lifespan of 30 years. </w:t>
      </w:r>
    </w:p>
    <w:p w14:paraId="1FA0C73E" w14:textId="77777777" w:rsidR="00676882" w:rsidRDefault="00676882" w:rsidP="00676882">
      <w:pPr>
        <w:pStyle w:val="ListBullet2"/>
      </w:pPr>
      <w:r>
        <w:t>Investments related to hot water equipment have been assumed to have a lifespan of 12 years.</w:t>
      </w:r>
    </w:p>
    <w:p w14:paraId="76085F1A" w14:textId="77777777" w:rsidR="00676882" w:rsidRDefault="00676882" w:rsidP="00676882">
      <w:pPr>
        <w:pStyle w:val="ListBullet2"/>
      </w:pPr>
      <w:r>
        <w:t xml:space="preserve">For investments related to photovoltaics (PV), it was assumed that the panels have a lifetime of 20 years and that inverters (which are integral to the operation of the solar PV panels) last 10 years. It is also assumed that households will replace their inverter in year 11 so that the full </w:t>
      </w:r>
      <w:proofErr w:type="gramStart"/>
      <w:r>
        <w:t>20 year</w:t>
      </w:r>
      <w:proofErr w:type="gramEnd"/>
      <w:r>
        <w:t xml:space="preserve"> benefits from the panels are realised. Efficiency degradation of PV outputs is not explicitly modelled, instead an average efficiency is used over the panel’s lifetime. </w:t>
      </w:r>
    </w:p>
    <w:p w14:paraId="3A355085" w14:textId="77777777" w:rsidR="00676882" w:rsidRDefault="00676882" w:rsidP="00676882">
      <w:pPr>
        <w:pStyle w:val="Heading3AP"/>
        <w:numPr>
          <w:ilvl w:val="2"/>
          <w:numId w:val="45"/>
        </w:numPr>
      </w:pPr>
      <w:bookmarkStart w:id="404" w:name="_Ref80457527"/>
      <w:r>
        <w:t>Discount rate</w:t>
      </w:r>
      <w:bookmarkEnd w:id="404"/>
    </w:p>
    <w:p w14:paraId="2A5EE3B2" w14:textId="77777777" w:rsidR="00676882" w:rsidRDefault="00676882" w:rsidP="00676882">
      <w:pPr>
        <w:pStyle w:val="BodyText"/>
      </w:pPr>
      <w:r>
        <w:t xml:space="preserve">There is extensive debate around the basis and selection of the appropriate rate to discount the stream of costs and benefits of interventions related to energy efficiency, as the rate used in CBAs has a very significant impact on the value placed on the benefits accumulated in the future over a long period of time. </w:t>
      </w:r>
    </w:p>
    <w:p w14:paraId="1551F44A" w14:textId="77777777" w:rsidR="00676882" w:rsidRDefault="00676882" w:rsidP="00676882">
      <w:pPr>
        <w:pStyle w:val="BodyText"/>
      </w:pPr>
      <w:r>
        <w:t xml:space="preserve">The ACT Treasury Guide does not provide for a specific discount rate requirement for RIS. However, the Office of Best Practice Regulation (OBPR) require the calculation of net present values at an annual central real discount rate of 7 per cent, with sensitivity analysis conducted using a lower bound discount rate of 3 per cent and an upper bound discount rate of 10 per cent </w:t>
      </w:r>
      <w:sdt>
        <w:sdtPr>
          <w:id w:val="2112626194"/>
          <w:citation/>
        </w:sdtPr>
        <w:sdtContent>
          <w:r>
            <w:fldChar w:fldCharType="begin"/>
          </w:r>
          <w:r>
            <w:instrText xml:space="preserve"> CITATION OBP20 \l 3081 </w:instrText>
          </w:r>
          <w:r>
            <w:fldChar w:fldCharType="separate"/>
          </w:r>
          <w:r>
            <w:rPr>
              <w:noProof/>
            </w:rPr>
            <w:t>(OBPR, 2020)</w:t>
          </w:r>
          <w:r>
            <w:fldChar w:fldCharType="end"/>
          </w:r>
        </w:sdtContent>
      </w:sdt>
      <w:r>
        <w:t>. Recent energy efficiency Regulation Impact Statements (RISs) related to buildings</w:t>
      </w:r>
      <w:sdt>
        <w:sdtPr>
          <w:id w:val="-1044985939"/>
          <w:citation/>
        </w:sdtPr>
        <w:sdtContent>
          <w:r>
            <w:fldChar w:fldCharType="begin"/>
          </w:r>
          <w:r>
            <w:instrText xml:space="preserve"> CITATION CIE181 \l 3081 </w:instrText>
          </w:r>
          <w:r>
            <w:fldChar w:fldCharType="separate"/>
          </w:r>
          <w:r>
            <w:rPr>
              <w:noProof/>
            </w:rPr>
            <w:t xml:space="preserve"> (CIE, 2018)</w:t>
          </w:r>
          <w:r>
            <w:fldChar w:fldCharType="end"/>
          </w:r>
        </w:sdtContent>
      </w:sdt>
      <w:r>
        <w:t xml:space="preserve"> have used these recommended discount rates, and Houston Kemp in their report </w:t>
      </w:r>
      <w:r>
        <w:rPr>
          <w:i/>
          <w:iCs/>
        </w:rPr>
        <w:t>Residential Buildings Regulatory Impact Statement Methodology</w:t>
      </w:r>
      <w:sdt>
        <w:sdtPr>
          <w:rPr>
            <w:i/>
            <w:iCs/>
          </w:rPr>
          <w:id w:val="-336005765"/>
          <w:citation/>
        </w:sdtPr>
        <w:sdtContent>
          <w:r>
            <w:rPr>
              <w:i/>
              <w:iCs/>
            </w:rPr>
            <w:fldChar w:fldCharType="begin"/>
          </w:r>
          <w:r>
            <w:rPr>
              <w:i/>
              <w:iCs/>
            </w:rPr>
            <w:instrText xml:space="preserve"> CITATION Hou07 \l 3081 </w:instrText>
          </w:r>
          <w:r>
            <w:rPr>
              <w:i/>
              <w:iCs/>
            </w:rPr>
            <w:fldChar w:fldCharType="separate"/>
          </w:r>
          <w:r>
            <w:rPr>
              <w:i/>
              <w:iCs/>
              <w:noProof/>
            </w:rPr>
            <w:t xml:space="preserve"> </w:t>
          </w:r>
          <w:r>
            <w:rPr>
              <w:noProof/>
            </w:rPr>
            <w:t>(Houston Kemp, 2017)</w:t>
          </w:r>
          <w:r>
            <w:rPr>
              <w:i/>
              <w:iCs/>
            </w:rPr>
            <w:fldChar w:fldCharType="end"/>
          </w:r>
        </w:sdtContent>
      </w:sdt>
      <w:r>
        <w:t xml:space="preserve"> also suggest using these values (although they also suggest reporting evaluation results using a 5 per cent discount rate). </w:t>
      </w:r>
    </w:p>
    <w:p w14:paraId="04157F72" w14:textId="77777777" w:rsidR="00676882" w:rsidRDefault="00676882" w:rsidP="00676882">
      <w:pPr>
        <w:pStyle w:val="BodyText"/>
      </w:pPr>
      <w:r>
        <w:t xml:space="preserve">In contrast, </w:t>
      </w:r>
      <w:proofErr w:type="gramStart"/>
      <w:r>
        <w:t>a number of</w:t>
      </w:r>
      <w:proofErr w:type="gramEnd"/>
      <w:r>
        <w:t xml:space="preserve"> countries have used lower discount rates for evaluating policies or regulatory changes associated with energy efficiency or environmental outcomes, for instance:</w:t>
      </w:r>
    </w:p>
    <w:p w14:paraId="47C6F39B" w14:textId="77777777" w:rsidR="00676882" w:rsidRDefault="00676882" w:rsidP="00676882">
      <w:pPr>
        <w:pStyle w:val="ListBullet"/>
      </w:pPr>
      <w:r>
        <w:t xml:space="preserve">The New Zealand Treasury recommends a standard discount rate for all regulatory appraisals of 8 per cent. However, </w:t>
      </w:r>
      <w:proofErr w:type="gramStart"/>
      <w:r>
        <w:t>a number of</w:t>
      </w:r>
      <w:proofErr w:type="gramEnd"/>
      <w:r>
        <w:t xml:space="preserve"> RISs have used lower discount rates when there are environmental or energy efficiency concerns. For example, a RIS for updating energy efficiency regulations for air conditioners used a 5 per cent rate, citing “the value of long term environmental and social benefits associated with energy efficiency”.</w:t>
      </w:r>
      <w:sdt>
        <w:sdtPr>
          <w:id w:val="1639604890"/>
          <w:citation/>
        </w:sdtPr>
        <w:sdtContent>
          <w:r>
            <w:fldChar w:fldCharType="begin"/>
          </w:r>
          <w:r>
            <w:instrText xml:space="preserve"> CITATION Hou07 \l 3081 </w:instrText>
          </w:r>
          <w:r>
            <w:fldChar w:fldCharType="separate"/>
          </w:r>
          <w:r>
            <w:rPr>
              <w:noProof/>
            </w:rPr>
            <w:t xml:space="preserve"> (Houston Kemp, 2017)</w:t>
          </w:r>
          <w:r>
            <w:fldChar w:fldCharType="end"/>
          </w:r>
        </w:sdtContent>
      </w:sdt>
      <w:r w:rsidDel="0045368E">
        <w:rPr>
          <w:rStyle w:val="FootnoteReference"/>
        </w:rPr>
        <w:t xml:space="preserve"> </w:t>
      </w:r>
    </w:p>
    <w:p w14:paraId="367C6E2E" w14:textId="77777777" w:rsidR="00676882" w:rsidRDefault="00676882" w:rsidP="00676882">
      <w:pPr>
        <w:pStyle w:val="ListBullet"/>
      </w:pPr>
      <w:r>
        <w:t>Houston Kemp notes that, in the United States (US), “the Department of Energy recommends using a 3.0 per cent real discount rate (2.5 per cent nominal) for projects relating to energy conservation and renewable energy sources”.</w:t>
      </w:r>
      <w:sdt>
        <w:sdtPr>
          <w:id w:val="-1937588619"/>
          <w:citation/>
        </w:sdtPr>
        <w:sdtContent>
          <w:r>
            <w:fldChar w:fldCharType="begin"/>
          </w:r>
          <w:r>
            <w:instrText xml:space="preserve"> CITATION Hou07 \l 3081 </w:instrText>
          </w:r>
          <w:r>
            <w:fldChar w:fldCharType="separate"/>
          </w:r>
          <w:r>
            <w:rPr>
              <w:noProof/>
            </w:rPr>
            <w:t xml:space="preserve"> (Houston Kemp, 2017)</w:t>
          </w:r>
          <w:r>
            <w:fldChar w:fldCharType="end"/>
          </w:r>
        </w:sdtContent>
      </w:sdt>
    </w:p>
    <w:p w14:paraId="5E9BB1A0" w14:textId="77777777" w:rsidR="00676882" w:rsidRDefault="00676882" w:rsidP="00676882">
      <w:pPr>
        <w:pStyle w:val="ListBullet"/>
      </w:pPr>
      <w:r>
        <w:t xml:space="preserve">The Intergovernmental Panel on Climate Change (IPCC) recommends using the following discount rates for projects with long term impacts:  a 3.5 per cent discount rate for 1-30 years, </w:t>
      </w:r>
      <w:r>
        <w:lastRenderedPageBreak/>
        <w:t>a 3 per cent rate for 31-75 years, a 2.5 per cent rate for 76-125 years, a 2 per cent rate for 125-200 years, 1.5 per cent for 100-300 years, and 1 per cent for a longer period.</w:t>
      </w:r>
      <w:r>
        <w:rPr>
          <w:rStyle w:val="FootnoteReference"/>
        </w:rPr>
        <w:footnoteReference w:id="27"/>
      </w:r>
    </w:p>
    <w:p w14:paraId="15FA3BF1" w14:textId="77777777" w:rsidR="00676882" w:rsidRDefault="00676882" w:rsidP="00676882">
      <w:pPr>
        <w:pStyle w:val="BodyText"/>
      </w:pPr>
      <w:r>
        <w:t>For this RIS, we have followed the Directorate’s instruction to use a 3 per cent discount rate as the primary comparison rate, reflecting the ACT’s commitment to including a social cost of carbon and appropriate discount rate for policies which relate to climate change, and the social and private opportunity cost of the capital investments (and other costs) of a minimum standard. This assumption is the same both at the household and economywide level of analysis. We have also conducted sensitivity analysis using a discount rate of 7 per cent and 10 per cent.</w:t>
      </w:r>
    </w:p>
    <w:p w14:paraId="3BDA46D8" w14:textId="77777777" w:rsidR="00676882" w:rsidRDefault="00676882" w:rsidP="00676882">
      <w:pPr>
        <w:pStyle w:val="Heading2AP"/>
        <w:numPr>
          <w:ilvl w:val="1"/>
          <w:numId w:val="45"/>
        </w:numPr>
      </w:pPr>
      <w:bookmarkStart w:id="405" w:name="_Toc80481701"/>
      <w:bookmarkStart w:id="406" w:name="_Toc80700338"/>
      <w:bookmarkStart w:id="407" w:name="_Toc80700586"/>
      <w:bookmarkStart w:id="408" w:name="_Toc80281738"/>
      <w:bookmarkStart w:id="409" w:name="_Toc80712616"/>
      <w:bookmarkEnd w:id="405"/>
      <w:bookmarkEnd w:id="406"/>
      <w:bookmarkEnd w:id="407"/>
      <w:r>
        <w:t>Net impact</w:t>
      </w:r>
      <w:bookmarkEnd w:id="408"/>
      <w:bookmarkEnd w:id="409"/>
    </w:p>
    <w:p w14:paraId="3FDCB272" w14:textId="77777777" w:rsidR="00676882" w:rsidRDefault="00676882" w:rsidP="00676882">
      <w:pPr>
        <w:pStyle w:val="BodyText"/>
      </w:pPr>
      <w:r>
        <w:t xml:space="preserve">The results of a cost-benefit analysis should be presented </w:t>
      </w:r>
      <w:proofErr w:type="gramStart"/>
      <w:r>
        <w:t>so as to</w:t>
      </w:r>
      <w:proofErr w:type="gramEnd"/>
      <w:r>
        <w:t xml:space="preserve"> facilitate identification of the preferred option. Combining all estimated benefits and costs, we have estimated the net impact of the proposed changes and identify the option that generates the greatest net benefit for the community. </w:t>
      </w:r>
    </w:p>
    <w:p w14:paraId="10B6A16C" w14:textId="77777777" w:rsidR="00676882" w:rsidRDefault="00676882" w:rsidP="00676882">
      <w:pPr>
        <w:pStyle w:val="BodyText"/>
      </w:pPr>
      <w:r>
        <w:t>We have provided the following metrics for each policy option:</w:t>
      </w:r>
    </w:p>
    <w:p w14:paraId="495B7630" w14:textId="77777777" w:rsidR="00676882" w:rsidRDefault="00676882" w:rsidP="00676882">
      <w:pPr>
        <w:pStyle w:val="ListBullet"/>
      </w:pPr>
      <w:r>
        <w:t xml:space="preserve">Net Present Value (NPV) </w:t>
      </w:r>
      <w:r>
        <w:sym w:font="Symbol" w:char="F0BE"/>
      </w:r>
      <w:r>
        <w:t xml:space="preserve"> the NPV is the sum of the discounted stream of costs and benefits. </w:t>
      </w:r>
    </w:p>
    <w:p w14:paraId="54D1F3FE" w14:textId="77777777" w:rsidR="00676882" w:rsidRDefault="00676882" w:rsidP="00676882">
      <w:pPr>
        <w:pStyle w:val="ListBullet"/>
      </w:pPr>
      <w:r>
        <w:t xml:space="preserve">Benefit Cost Ratio (BCR) </w:t>
      </w:r>
      <w:r>
        <w:sym w:font="Symbol" w:char="F0BE"/>
      </w:r>
      <w:r>
        <w:t xml:space="preserve"> the BCR is calculated by dividing the present value of benefits by the present value of costs and can be interpreted as every </w:t>
      </w:r>
      <w:proofErr w:type="gramStart"/>
      <w:r>
        <w:t>one-dollar</w:t>
      </w:r>
      <w:proofErr w:type="gramEnd"/>
      <w:r>
        <w:t xml:space="preserve"> of costs delivers ‘X’ dollars of benefits.</w:t>
      </w:r>
    </w:p>
    <w:p w14:paraId="158A27F9" w14:textId="77777777" w:rsidR="00676882" w:rsidRDefault="00676882" w:rsidP="00676882">
      <w:pPr>
        <w:pStyle w:val="Heading3AP"/>
        <w:numPr>
          <w:ilvl w:val="2"/>
          <w:numId w:val="45"/>
        </w:numPr>
      </w:pPr>
      <w:r>
        <w:t>Sensitivity analysis</w:t>
      </w:r>
    </w:p>
    <w:p w14:paraId="702C46FB" w14:textId="77777777" w:rsidR="00676882" w:rsidRDefault="00676882" w:rsidP="00676882">
      <w:pPr>
        <w:pStyle w:val="BodyText"/>
      </w:pPr>
      <w:r>
        <w:t>Our RIS experience suggests that there is often uncertainty surrounding the values used to estimate potential effects (both future benefits and costs). It is therefore important to conduct a sensitivity analysis to determine the robustness of the parameters used to estimate potential impacts.</w:t>
      </w:r>
    </w:p>
    <w:p w14:paraId="6DAC0EFB" w14:textId="77777777" w:rsidR="00676882" w:rsidRDefault="00676882" w:rsidP="00676882">
      <w:pPr>
        <w:pStyle w:val="BodyText"/>
      </w:pPr>
      <w:r>
        <w:t>The sensitivity analysis allows for variation in the following variables across each of the options:</w:t>
      </w:r>
    </w:p>
    <w:p w14:paraId="7CC7A080" w14:textId="77777777" w:rsidR="00676882" w:rsidRDefault="00676882" w:rsidP="00676882">
      <w:pPr>
        <w:pStyle w:val="ListBullet"/>
      </w:pPr>
      <w:r>
        <w:t>the discount rate (discussed briefly)</w:t>
      </w:r>
    </w:p>
    <w:p w14:paraId="11654F4E" w14:textId="77777777" w:rsidR="00676882" w:rsidRDefault="00676882" w:rsidP="00676882">
      <w:pPr>
        <w:pStyle w:val="ListBullet"/>
      </w:pPr>
      <w:r>
        <w:t>energy prices</w:t>
      </w:r>
    </w:p>
    <w:p w14:paraId="76A0201A" w14:textId="77777777" w:rsidR="00676882" w:rsidRDefault="00676882" w:rsidP="00676882">
      <w:pPr>
        <w:pStyle w:val="ListBullet"/>
      </w:pPr>
      <w:r>
        <w:t>the balance between energy efficiency and health impacts</w:t>
      </w:r>
    </w:p>
    <w:p w14:paraId="77FC6B32" w14:textId="77777777" w:rsidR="00676882" w:rsidRDefault="00676882" w:rsidP="00676882">
      <w:pPr>
        <w:pStyle w:val="ListBullet"/>
      </w:pPr>
      <w:r>
        <w:t>upgrade costs</w:t>
      </w:r>
    </w:p>
    <w:p w14:paraId="29A950C8" w14:textId="77777777" w:rsidR="00676882" w:rsidRDefault="00676882" w:rsidP="00676882">
      <w:pPr>
        <w:pStyle w:val="ListBullet"/>
      </w:pPr>
      <w:r>
        <w:t>maximum expenditure limits (discussed briefly)</w:t>
      </w:r>
    </w:p>
    <w:p w14:paraId="5F8CC69F" w14:textId="77777777" w:rsidR="00676882" w:rsidRDefault="00676882" w:rsidP="00676882">
      <w:pPr>
        <w:pStyle w:val="ListBullet"/>
      </w:pPr>
      <w:r>
        <w:t>phase-in rate (implicitly in the scenarios).</w:t>
      </w:r>
    </w:p>
    <w:p w14:paraId="36ACA3EB" w14:textId="77777777" w:rsidR="00676882" w:rsidRDefault="00676882" w:rsidP="00676882">
      <w:pPr>
        <w:pStyle w:val="BodyText"/>
      </w:pPr>
      <w:r>
        <w:t xml:space="preserve">The sensitivity analysis is given in section </w:t>
      </w:r>
      <w:r w:rsidRPr="009E4AB1">
        <w:fldChar w:fldCharType="begin"/>
      </w:r>
      <w:r w:rsidRPr="009E4AB1">
        <w:instrText xml:space="preserve"> REF _Ref75814528 \r \h  \* MERGEFORMAT </w:instrText>
      </w:r>
      <w:r w:rsidRPr="009E4AB1">
        <w:fldChar w:fldCharType="separate"/>
      </w:r>
      <w:r>
        <w:t>5.4</w:t>
      </w:r>
      <w:r w:rsidRPr="009E4AB1">
        <w:fldChar w:fldCharType="end"/>
      </w:r>
      <w:r>
        <w:t>.</w:t>
      </w:r>
    </w:p>
    <w:p w14:paraId="18194644" w14:textId="77777777" w:rsidR="00676882" w:rsidRPr="00CF47F3" w:rsidRDefault="00676882" w:rsidP="00676882">
      <w:pPr>
        <w:pStyle w:val="Heading3AP"/>
      </w:pPr>
      <w:bookmarkStart w:id="410" w:name="_Ref78966175"/>
      <w:r w:rsidRPr="00CF47F3">
        <w:t>Compliance</w:t>
      </w:r>
      <w:bookmarkEnd w:id="410"/>
    </w:p>
    <w:p w14:paraId="1CA954A7" w14:textId="77777777" w:rsidR="00676882" w:rsidRDefault="00676882" w:rsidP="00676882">
      <w:pPr>
        <w:pStyle w:val="BodyText"/>
      </w:pPr>
      <w:r w:rsidRPr="00CF47F3">
        <w:t>The</w:t>
      </w:r>
      <w:r>
        <w:t xml:space="preserve"> </w:t>
      </w:r>
      <w:r w:rsidRPr="00CF47F3">
        <w:t>analysis</w:t>
      </w:r>
      <w:r>
        <w:t xml:space="preserve"> </w:t>
      </w:r>
      <w:r w:rsidRPr="00CF47F3">
        <w:t>assume</w:t>
      </w:r>
      <w:r>
        <w:t xml:space="preserve">s </w:t>
      </w:r>
      <w:r w:rsidRPr="00CF47F3">
        <w:t>full</w:t>
      </w:r>
      <w:r>
        <w:t xml:space="preserve"> </w:t>
      </w:r>
      <w:r w:rsidRPr="00CF47F3">
        <w:t>compliance</w:t>
      </w:r>
      <w:r>
        <w:t xml:space="preserve"> </w:t>
      </w:r>
      <w:r w:rsidRPr="00CF47F3">
        <w:t>with</w:t>
      </w:r>
      <w:r>
        <w:t xml:space="preserve"> </w:t>
      </w:r>
      <w:r w:rsidRPr="00CF47F3">
        <w:t>the</w:t>
      </w:r>
      <w:r>
        <w:t xml:space="preserve"> </w:t>
      </w:r>
      <w:r w:rsidRPr="00CF47F3">
        <w:t>new</w:t>
      </w:r>
      <w:r>
        <w:t xml:space="preserve"> </w:t>
      </w:r>
      <w:r w:rsidRPr="00CF47F3">
        <w:t>energy</w:t>
      </w:r>
      <w:r>
        <w:t xml:space="preserve"> </w:t>
      </w:r>
      <w:r w:rsidRPr="00CF47F3">
        <w:t>efficiency</w:t>
      </w:r>
      <w:r>
        <w:t xml:space="preserve"> </w:t>
      </w:r>
      <w:r w:rsidRPr="00CF47F3">
        <w:t>requirements.</w:t>
      </w:r>
      <w:r>
        <w:t xml:space="preserve"> </w:t>
      </w:r>
      <w:r w:rsidRPr="00CF47F3">
        <w:t>While</w:t>
      </w:r>
      <w:proofErr w:type="gramStart"/>
      <w:r>
        <w:t xml:space="preserve">, </w:t>
      </w:r>
      <w:r w:rsidRPr="00CF47F3">
        <w:t>in</w:t>
      </w:r>
      <w:r>
        <w:t xml:space="preserve"> </w:t>
      </w:r>
      <w:r w:rsidRPr="00CF47F3">
        <w:t>reality</w:t>
      </w:r>
      <w:r>
        <w:t xml:space="preserve">, </w:t>
      </w:r>
      <w:r w:rsidRPr="00CF47F3">
        <w:t>not</w:t>
      </w:r>
      <w:proofErr w:type="gramEnd"/>
      <w:r>
        <w:t xml:space="preserve"> </w:t>
      </w:r>
      <w:r w:rsidRPr="00CF47F3">
        <w:t>all</w:t>
      </w:r>
      <w:r>
        <w:t xml:space="preserve"> rental dwellings </w:t>
      </w:r>
      <w:r w:rsidRPr="00CF47F3">
        <w:t>are</w:t>
      </w:r>
      <w:r>
        <w:t xml:space="preserve"> </w:t>
      </w:r>
      <w:r w:rsidRPr="00CF47F3">
        <w:t>likely</w:t>
      </w:r>
      <w:r>
        <w:t xml:space="preserve"> </w:t>
      </w:r>
      <w:r w:rsidRPr="00CF47F3">
        <w:t>to</w:t>
      </w:r>
      <w:r>
        <w:t xml:space="preserve"> </w:t>
      </w:r>
      <w:r w:rsidRPr="00CF47F3">
        <w:t>comply</w:t>
      </w:r>
      <w:r>
        <w:t xml:space="preserve"> </w:t>
      </w:r>
      <w:r w:rsidRPr="00CF47F3">
        <w:t>with</w:t>
      </w:r>
      <w:r>
        <w:t xml:space="preserve"> </w:t>
      </w:r>
      <w:r w:rsidRPr="00CF47F3">
        <w:t>the</w:t>
      </w:r>
      <w:r>
        <w:t xml:space="preserve"> </w:t>
      </w:r>
      <w:r w:rsidRPr="00CF47F3">
        <w:t>requirements</w:t>
      </w:r>
      <w:r>
        <w:t xml:space="preserve"> </w:t>
      </w:r>
      <w:r w:rsidRPr="00CF47F3">
        <w:t>fully,</w:t>
      </w:r>
      <w:r>
        <w:t xml:space="preserve"> </w:t>
      </w:r>
      <w:r w:rsidRPr="00CF47F3">
        <w:t>this</w:t>
      </w:r>
      <w:r>
        <w:t xml:space="preserve"> </w:t>
      </w:r>
      <w:r w:rsidRPr="00CF47F3">
        <w:t>is</w:t>
      </w:r>
      <w:r>
        <w:t xml:space="preserve"> </w:t>
      </w:r>
      <w:r w:rsidRPr="00CF47F3">
        <w:t>a</w:t>
      </w:r>
      <w:r>
        <w:t xml:space="preserve"> </w:t>
      </w:r>
      <w:r w:rsidRPr="00CF47F3">
        <w:t>standard</w:t>
      </w:r>
      <w:r>
        <w:t xml:space="preserve"> </w:t>
      </w:r>
      <w:r w:rsidRPr="00CF47F3">
        <w:t>assumption</w:t>
      </w:r>
      <w:r>
        <w:t xml:space="preserve"> </w:t>
      </w:r>
      <w:r w:rsidRPr="00CF47F3">
        <w:t>in</w:t>
      </w:r>
      <w:r>
        <w:t xml:space="preserve"> </w:t>
      </w:r>
      <w:r w:rsidRPr="00CF47F3">
        <w:t>regulatory</w:t>
      </w:r>
      <w:r>
        <w:t xml:space="preserve"> </w:t>
      </w:r>
      <w:r w:rsidRPr="00CF47F3">
        <w:t>analysis.</w:t>
      </w:r>
      <w:r>
        <w:t xml:space="preserve"> </w:t>
      </w:r>
    </w:p>
    <w:p w14:paraId="27215C1E" w14:textId="77777777" w:rsidR="00676882" w:rsidRDefault="00676882" w:rsidP="00676882">
      <w:pPr>
        <w:pStyle w:val="Heading3AP"/>
        <w:numPr>
          <w:ilvl w:val="2"/>
          <w:numId w:val="45"/>
        </w:numPr>
      </w:pPr>
      <w:r w:rsidRPr="00341EE9">
        <w:t>Cost pass-through</w:t>
      </w:r>
      <w:r>
        <w:t>: distributional impacts and the effect on the rental market via rental providers</w:t>
      </w:r>
    </w:p>
    <w:p w14:paraId="45D7AF62" w14:textId="77777777" w:rsidR="00676882" w:rsidRDefault="00676882" w:rsidP="00676882">
      <w:pPr>
        <w:pStyle w:val="BodyText"/>
      </w:pPr>
      <w:r>
        <w:t xml:space="preserve">The ACT rental market is relatively tight. Since 2005, vacancy rates have been below 2.4 per cent; and over the previous five years, the vacancy rate has been closer to 1 per cent. The effect is that </w:t>
      </w:r>
      <w:r>
        <w:lastRenderedPageBreak/>
        <w:t xml:space="preserve">rental providers have power in negotiations. Typically, full cost pass-through is assumed in regulatory impact analyses. In the case of the ACT rental market, the negotiating power of rental providers support this assumption. </w:t>
      </w:r>
    </w:p>
    <w:p w14:paraId="7E701D30" w14:textId="77777777" w:rsidR="00676882" w:rsidRDefault="00676882" w:rsidP="00676882">
      <w:pPr>
        <w:pStyle w:val="BodyText"/>
      </w:pPr>
      <w:r>
        <w:t xml:space="preserve">However, in 2019, the </w:t>
      </w:r>
      <w:r w:rsidRPr="006B0263">
        <w:rPr>
          <w:i/>
          <w:iCs/>
        </w:rPr>
        <w:t>Residential Tenancies Amendment Act</w:t>
      </w:r>
      <w:r>
        <w:t xml:space="preserve"> was introduced in the ACT. This prevents rental providers from excessive rent increases, and limited rent increases to once per year. This limitation may prevent rental providers from increasing rents to cover capital investments in energy efficiency measures in the short-term. This is particularly if they are not able to make their case through the ACT Civil &amp; Administrative Tribunal (ACAT), which approves rent increases in excess of the prescribed amount. </w:t>
      </w:r>
    </w:p>
    <w:p w14:paraId="2E1CAB6E" w14:textId="77777777" w:rsidR="00676882" w:rsidRDefault="00676882" w:rsidP="00676882">
      <w:pPr>
        <w:pStyle w:val="BodyText"/>
      </w:pPr>
      <w:r>
        <w:t>However, to test the potential impacts to tenants and rental providers of partial and full cost pass-through, we have conducted:</w:t>
      </w:r>
    </w:p>
    <w:p w14:paraId="1CE97181" w14:textId="77777777" w:rsidR="00676882" w:rsidRDefault="00676882" w:rsidP="00676882">
      <w:pPr>
        <w:pStyle w:val="ListBullet"/>
      </w:pPr>
      <w:r>
        <w:t>an analysis of the distributional impacts of the proposed standards with and without full cost pass through</w:t>
      </w:r>
    </w:p>
    <w:p w14:paraId="42B433D6" w14:textId="77777777" w:rsidR="00676882" w:rsidRDefault="00676882" w:rsidP="00676882">
      <w:pPr>
        <w:pStyle w:val="ListBullet"/>
      </w:pPr>
      <w:r>
        <w:t xml:space="preserve">a case study of a ‘typical’ or ‘average’ property with and without a limitation on rent increases. This case study examines the relative cost of the capital investment relative to the after-tax returns for a rental provider. This, represented as a percentage of capital returns, illustrates the annual impact of the returns in the case that rental providers are completely unable to pass through costs. </w:t>
      </w:r>
    </w:p>
    <w:p w14:paraId="163567A5" w14:textId="77777777" w:rsidR="00676882" w:rsidRDefault="00676882" w:rsidP="00676882">
      <w:pPr>
        <w:pStyle w:val="Heading2AP"/>
      </w:pPr>
      <w:bookmarkStart w:id="411" w:name="_Toc80281739"/>
      <w:bookmarkStart w:id="412" w:name="_Toc80712617"/>
      <w:bookmarkStart w:id="413" w:name="_Ref80716592"/>
      <w:r>
        <w:t>Key modelling assumptions</w:t>
      </w:r>
      <w:bookmarkEnd w:id="411"/>
      <w:bookmarkEnd w:id="412"/>
      <w:bookmarkEnd w:id="413"/>
    </w:p>
    <w:p w14:paraId="19D5E2AF" w14:textId="77777777" w:rsidR="00676882" w:rsidRDefault="00676882" w:rsidP="00676882">
      <w:pPr>
        <w:pStyle w:val="BodyText"/>
      </w:pPr>
      <w:r>
        <w:t>Other key modelling assumptions underpinning the analysis are provided in the tables below:</w:t>
      </w:r>
    </w:p>
    <w:p w14:paraId="3D6620D3" w14:textId="77777777" w:rsidR="00676882" w:rsidRPr="00A3484B" w:rsidRDefault="00676882" w:rsidP="00676882">
      <w:pPr>
        <w:pStyle w:val="ListDash"/>
        <w:ind w:left="426"/>
      </w:pPr>
      <w:r w:rsidRPr="00A3484B">
        <w:fldChar w:fldCharType="begin"/>
      </w:r>
      <w:r w:rsidRPr="00A3484B">
        <w:instrText xml:space="preserve"> REF _Ref76314888 \h  \* MERGEFORMAT </w:instrText>
      </w:r>
      <w:r w:rsidRPr="00A3484B">
        <w:fldChar w:fldCharType="separate"/>
      </w:r>
      <w:r w:rsidRPr="00F32FCC">
        <w:t>Table B.6</w:t>
      </w:r>
      <w:r>
        <w:tab/>
      </w:r>
      <w:r w:rsidRPr="00E32F3A">
        <w:t>Costs,</w:t>
      </w:r>
      <w:r>
        <w:t xml:space="preserve"> </w:t>
      </w:r>
      <w:r w:rsidRPr="00E32F3A">
        <w:t>benefits</w:t>
      </w:r>
      <w:r>
        <w:t xml:space="preserve"> </w:t>
      </w:r>
      <w:r w:rsidRPr="00E32F3A">
        <w:t>and</w:t>
      </w:r>
      <w:r>
        <w:t xml:space="preserve"> </w:t>
      </w:r>
      <w:r w:rsidRPr="00E32F3A">
        <w:t>assumptions</w:t>
      </w:r>
      <w:r>
        <w:t xml:space="preserve"> </w:t>
      </w:r>
      <w:r w:rsidRPr="00E32F3A">
        <w:t>included</w:t>
      </w:r>
      <w:r>
        <w:t xml:space="preserve"> </w:t>
      </w:r>
      <w:r w:rsidRPr="00E32F3A">
        <w:t>in</w:t>
      </w:r>
      <w:r>
        <w:t xml:space="preserve"> </w:t>
      </w:r>
      <w:r w:rsidRPr="00E32F3A">
        <w:t>the</w:t>
      </w:r>
      <w:r>
        <w:t xml:space="preserve"> </w:t>
      </w:r>
      <w:r w:rsidRPr="00E32F3A">
        <w:t>CBA</w:t>
      </w:r>
      <w:r>
        <w:t xml:space="preserve"> </w:t>
      </w:r>
      <w:r w:rsidRPr="00E32F3A">
        <w:t>model</w:t>
      </w:r>
      <w:r>
        <w:t xml:space="preserve"> </w:t>
      </w:r>
      <w:r w:rsidRPr="00E32F3A">
        <w:t>– insulation</w:t>
      </w:r>
      <w:r w:rsidRPr="00A3484B">
        <w:fldChar w:fldCharType="end"/>
      </w:r>
    </w:p>
    <w:p w14:paraId="120622E9" w14:textId="77777777" w:rsidR="00676882" w:rsidRPr="00A3484B" w:rsidRDefault="00676882" w:rsidP="00676882">
      <w:pPr>
        <w:pStyle w:val="ListDash"/>
        <w:ind w:left="426"/>
      </w:pPr>
      <w:r w:rsidRPr="00A3484B">
        <w:fldChar w:fldCharType="begin"/>
      </w:r>
      <w:r w:rsidRPr="00A3484B">
        <w:instrText xml:space="preserve"> REF _Ref76314894 \h  \* MERGEFORMAT </w:instrText>
      </w:r>
      <w:r w:rsidRPr="00A3484B">
        <w:fldChar w:fldCharType="separate"/>
      </w:r>
      <w:r w:rsidRPr="00F32FCC">
        <w:t>Table B.7</w:t>
      </w:r>
      <w:r>
        <w:tab/>
      </w:r>
      <w:r w:rsidRPr="00E32F3A">
        <w:t>Costs,</w:t>
      </w:r>
      <w:r>
        <w:t xml:space="preserve"> </w:t>
      </w:r>
      <w:r w:rsidRPr="00E32F3A">
        <w:t>benefits</w:t>
      </w:r>
      <w:r>
        <w:t xml:space="preserve"> </w:t>
      </w:r>
      <w:r w:rsidRPr="00E32F3A">
        <w:t>and</w:t>
      </w:r>
      <w:r>
        <w:t xml:space="preserve"> </w:t>
      </w:r>
      <w:r w:rsidRPr="00E32F3A">
        <w:t>assumptions</w:t>
      </w:r>
      <w:r>
        <w:t xml:space="preserve"> </w:t>
      </w:r>
      <w:r w:rsidRPr="00E32F3A">
        <w:t>included</w:t>
      </w:r>
      <w:r>
        <w:t xml:space="preserve"> </w:t>
      </w:r>
      <w:r w:rsidRPr="00E32F3A">
        <w:t>in</w:t>
      </w:r>
      <w:r>
        <w:t xml:space="preserve"> </w:t>
      </w:r>
      <w:r w:rsidRPr="00E32F3A">
        <w:t>the</w:t>
      </w:r>
      <w:r>
        <w:t xml:space="preserve"> </w:t>
      </w:r>
      <w:r w:rsidRPr="00E32F3A">
        <w:t>CBA</w:t>
      </w:r>
      <w:r>
        <w:t xml:space="preserve"> </w:t>
      </w:r>
      <w:r w:rsidRPr="00E32F3A">
        <w:t>model</w:t>
      </w:r>
      <w:r>
        <w:t xml:space="preserve"> </w:t>
      </w:r>
      <w:r w:rsidRPr="00E32F3A">
        <w:t xml:space="preserve">– </w:t>
      </w:r>
      <w:r>
        <w:t>heater</w:t>
      </w:r>
      <w:r w:rsidRPr="00A3484B">
        <w:fldChar w:fldCharType="end"/>
      </w:r>
    </w:p>
    <w:p w14:paraId="1075F979" w14:textId="77777777" w:rsidR="00676882" w:rsidRPr="00A3484B" w:rsidRDefault="00676882" w:rsidP="00676882">
      <w:pPr>
        <w:pStyle w:val="ListDash"/>
        <w:ind w:left="426"/>
      </w:pPr>
      <w:r w:rsidRPr="00A3484B">
        <w:fldChar w:fldCharType="begin"/>
      </w:r>
      <w:r w:rsidRPr="00A3484B">
        <w:instrText xml:space="preserve"> REF _Ref76314895 \h  \* MERGEFORMAT </w:instrText>
      </w:r>
      <w:r w:rsidRPr="00A3484B">
        <w:fldChar w:fldCharType="separate"/>
      </w:r>
      <w:r w:rsidRPr="00F32FCC">
        <w:t>Table B.8</w:t>
      </w:r>
      <w:r>
        <w:tab/>
      </w:r>
      <w:r w:rsidRPr="00E32F3A">
        <w:t>Costs,</w:t>
      </w:r>
      <w:r>
        <w:t xml:space="preserve"> </w:t>
      </w:r>
      <w:r w:rsidRPr="00E32F3A">
        <w:t>benefits</w:t>
      </w:r>
      <w:r>
        <w:t xml:space="preserve"> </w:t>
      </w:r>
      <w:r w:rsidRPr="00E32F3A">
        <w:t>and</w:t>
      </w:r>
      <w:r>
        <w:t xml:space="preserve"> </w:t>
      </w:r>
      <w:r w:rsidRPr="00E32F3A">
        <w:t>assumptions</w:t>
      </w:r>
      <w:r>
        <w:t xml:space="preserve"> </w:t>
      </w:r>
      <w:r w:rsidRPr="00E32F3A">
        <w:t>included</w:t>
      </w:r>
      <w:r>
        <w:t xml:space="preserve"> </w:t>
      </w:r>
      <w:r w:rsidRPr="00E32F3A">
        <w:t>in</w:t>
      </w:r>
      <w:r>
        <w:t xml:space="preserve"> </w:t>
      </w:r>
      <w:r w:rsidRPr="00E32F3A">
        <w:t>the</w:t>
      </w:r>
      <w:r>
        <w:t xml:space="preserve"> </w:t>
      </w:r>
      <w:r w:rsidRPr="00E32F3A">
        <w:t>CBA</w:t>
      </w:r>
      <w:r>
        <w:t xml:space="preserve"> </w:t>
      </w:r>
      <w:r w:rsidRPr="00E32F3A">
        <w:t>model</w:t>
      </w:r>
      <w:r>
        <w:t xml:space="preserve"> </w:t>
      </w:r>
      <w:r w:rsidRPr="00E32F3A">
        <w:t xml:space="preserve">– </w:t>
      </w:r>
      <w:r>
        <w:t>performance</w:t>
      </w:r>
      <w:r w:rsidRPr="00A3484B">
        <w:fldChar w:fldCharType="end"/>
      </w:r>
      <w:r>
        <w:t>.</w:t>
      </w:r>
    </w:p>
    <w:p w14:paraId="18F04C9C" w14:textId="77777777" w:rsidR="00676882" w:rsidRDefault="00676882" w:rsidP="00676882">
      <w:pPr>
        <w:pStyle w:val="BodyText"/>
      </w:pPr>
    </w:p>
    <w:p w14:paraId="55B7B23F" w14:textId="77777777" w:rsidR="00676882" w:rsidRPr="001F74AF" w:rsidRDefault="00676882" w:rsidP="00676882"/>
    <w:p w14:paraId="033DEFDC" w14:textId="77777777" w:rsidR="00676882" w:rsidRDefault="00676882" w:rsidP="00676882">
      <w:pPr>
        <w:pStyle w:val="BodyText"/>
        <w:sectPr w:rsidR="00676882" w:rsidSect="00F32FCC">
          <w:headerReference w:type="even" r:id="rId113"/>
          <w:footerReference w:type="even" r:id="rId114"/>
          <w:headerReference w:type="first" r:id="rId115"/>
          <w:footerReference w:type="first" r:id="rId116"/>
          <w:pgSz w:w="11906" w:h="16838" w:code="9"/>
          <w:pgMar w:top="1134" w:right="851" w:bottom="1134" w:left="3119" w:header="454" w:footer="374" w:gutter="0"/>
          <w:pgNumType w:start="1" w:chapStyle="9"/>
          <w:cols w:space="708"/>
          <w:docGrid w:linePitch="360"/>
        </w:sectPr>
      </w:pPr>
    </w:p>
    <w:p w14:paraId="7A277DA5" w14:textId="77777777" w:rsidR="00676882" w:rsidRDefault="00676882" w:rsidP="00676882">
      <w:pPr>
        <w:pStyle w:val="Caption"/>
        <w:ind w:left="-790"/>
      </w:pPr>
      <w:bookmarkStart w:id="414" w:name="_Ref76314888"/>
      <w:bookmarkStart w:id="415" w:name="_Toc80719343"/>
      <w:r w:rsidRPr="00577966">
        <w:rPr>
          <w:rStyle w:val="CaptionLabel"/>
        </w:rPr>
        <w:lastRenderedPageBreak/>
        <w:t>Table </w:t>
      </w:r>
      <w:r w:rsidRPr="00577966">
        <w:rPr>
          <w:rStyle w:val="CaptionLabel"/>
        </w:rPr>
        <w:fldChar w:fldCharType="begin"/>
      </w:r>
      <w:r w:rsidRPr="00577966">
        <w:rPr>
          <w:rStyle w:val="CaptionLabel"/>
        </w:rPr>
        <w:instrText xml:space="preserve"> STYLEREF 9 \S \* MERGEFORMAT </w:instrText>
      </w:r>
      <w:r w:rsidRPr="00577966">
        <w:rPr>
          <w:rStyle w:val="CaptionLabel"/>
        </w:rPr>
        <w:fldChar w:fldCharType="separate"/>
      </w:r>
      <w:r>
        <w:rPr>
          <w:rStyle w:val="CaptionLabel"/>
          <w:noProof/>
        </w:rPr>
        <w:t>B</w:t>
      </w:r>
      <w:r w:rsidRPr="00577966">
        <w:rPr>
          <w:rStyle w:val="CaptionLabel"/>
        </w:rPr>
        <w:fldChar w:fldCharType="end"/>
      </w:r>
      <w:r w:rsidRPr="00577966">
        <w:rPr>
          <w:rStyle w:val="CaptionLabel"/>
        </w:rPr>
        <w:t>.</w:t>
      </w:r>
      <w:r w:rsidRPr="00577966">
        <w:rPr>
          <w:rStyle w:val="CaptionLabel"/>
        </w:rPr>
        <w:fldChar w:fldCharType="begin"/>
      </w:r>
      <w:r w:rsidRPr="00577966">
        <w:rPr>
          <w:rStyle w:val="CaptionLabel"/>
        </w:rPr>
        <w:instrText xml:space="preserve"> SEQ Table_AP \* ARABIC \S 9 \* MERGEFORMAT </w:instrText>
      </w:r>
      <w:r w:rsidRPr="00577966">
        <w:rPr>
          <w:rStyle w:val="CaptionLabel"/>
        </w:rPr>
        <w:fldChar w:fldCharType="separate"/>
      </w:r>
      <w:r>
        <w:rPr>
          <w:rStyle w:val="CaptionLabel"/>
          <w:noProof/>
        </w:rPr>
        <w:t>6</w:t>
      </w:r>
      <w:r w:rsidRPr="00577966">
        <w:rPr>
          <w:rStyle w:val="CaptionLabel"/>
        </w:rPr>
        <w:fldChar w:fldCharType="end"/>
      </w:r>
      <w:r>
        <w:tab/>
      </w:r>
      <w:r w:rsidRPr="00E32F3A">
        <w:t>Costs,</w:t>
      </w:r>
      <w:r>
        <w:t xml:space="preserve"> </w:t>
      </w:r>
      <w:r w:rsidRPr="00E32F3A">
        <w:t>benefits</w:t>
      </w:r>
      <w:r>
        <w:t xml:space="preserve"> </w:t>
      </w:r>
      <w:r w:rsidRPr="00E32F3A">
        <w:t>and</w:t>
      </w:r>
      <w:r>
        <w:t xml:space="preserve"> </w:t>
      </w:r>
      <w:r w:rsidRPr="00E32F3A">
        <w:t>assumptions</w:t>
      </w:r>
      <w:r>
        <w:t xml:space="preserve"> </w:t>
      </w:r>
      <w:r w:rsidRPr="00E32F3A">
        <w:t>included</w:t>
      </w:r>
      <w:r>
        <w:t xml:space="preserve"> </w:t>
      </w:r>
      <w:r w:rsidRPr="00E32F3A">
        <w:t>in</w:t>
      </w:r>
      <w:r>
        <w:t xml:space="preserve"> </w:t>
      </w:r>
      <w:r w:rsidRPr="00E32F3A">
        <w:t>the</w:t>
      </w:r>
      <w:r>
        <w:t xml:space="preserve"> </w:t>
      </w:r>
      <w:r w:rsidRPr="00E32F3A">
        <w:t>CBA</w:t>
      </w:r>
      <w:r>
        <w:t xml:space="preserve"> </w:t>
      </w:r>
      <w:r w:rsidRPr="00E32F3A">
        <w:t>model</w:t>
      </w:r>
      <w:r>
        <w:t xml:space="preserve"> </w:t>
      </w:r>
      <w:r w:rsidRPr="00E32F3A">
        <w:t>– insulation</w:t>
      </w:r>
      <w:bookmarkEnd w:id="414"/>
      <w:bookmarkEnd w:id="415"/>
    </w:p>
    <w:tbl>
      <w:tblPr>
        <w:tblW w:w="15290" w:type="dxa"/>
        <w:tblInd w:w="-2423"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B.6"/>
        <w:tblDescription w:val="Costs, benefits and assumptions included in the CBA model - insulation"/>
      </w:tblPr>
      <w:tblGrid>
        <w:gridCol w:w="454"/>
        <w:gridCol w:w="1118"/>
        <w:gridCol w:w="1560"/>
        <w:gridCol w:w="12158"/>
      </w:tblGrid>
      <w:tr w:rsidR="00676882" w14:paraId="389C869B" w14:textId="77777777" w:rsidTr="00DF45FA">
        <w:trPr>
          <w:tblHeader/>
        </w:trPr>
        <w:tc>
          <w:tcPr>
            <w:tcW w:w="1572" w:type="dxa"/>
            <w:gridSpan w:val="2"/>
            <w:tcBorders>
              <w:top w:val="nil"/>
              <w:bottom w:val="nil"/>
            </w:tcBorders>
            <w:shd w:val="clear" w:color="auto" w:fill="140034"/>
            <w:tcMar>
              <w:left w:w="454" w:type="dxa"/>
            </w:tcMar>
          </w:tcPr>
          <w:p w14:paraId="580C2205" w14:textId="77777777" w:rsidR="00676882" w:rsidRDefault="00676882" w:rsidP="00DF45FA">
            <w:pPr>
              <w:pStyle w:val="Tablecolumnheadings"/>
            </w:pPr>
          </w:p>
        </w:tc>
        <w:tc>
          <w:tcPr>
            <w:tcW w:w="1560" w:type="dxa"/>
            <w:tcBorders>
              <w:top w:val="nil"/>
              <w:bottom w:val="nil"/>
            </w:tcBorders>
            <w:shd w:val="clear" w:color="auto" w:fill="140034"/>
          </w:tcPr>
          <w:p w14:paraId="64820D21" w14:textId="77777777" w:rsidR="00676882" w:rsidRDefault="00676882" w:rsidP="00DF45FA">
            <w:pPr>
              <w:pStyle w:val="Tablecolumnheadings"/>
            </w:pPr>
            <w:r>
              <w:t>Item</w:t>
            </w:r>
          </w:p>
        </w:tc>
        <w:tc>
          <w:tcPr>
            <w:tcW w:w="12158" w:type="dxa"/>
            <w:tcBorders>
              <w:top w:val="nil"/>
              <w:bottom w:val="nil"/>
              <w:right w:val="single" w:sz="6" w:space="0" w:color="140034"/>
            </w:tcBorders>
            <w:shd w:val="clear" w:color="auto" w:fill="140034"/>
          </w:tcPr>
          <w:p w14:paraId="6C3E99BB" w14:textId="77777777" w:rsidR="00676882" w:rsidRDefault="00676882" w:rsidP="00DF45FA">
            <w:pPr>
              <w:pStyle w:val="Tablecolumnheadings"/>
            </w:pPr>
            <w:r>
              <w:t>Related assumptions/notes</w:t>
            </w:r>
          </w:p>
        </w:tc>
      </w:tr>
      <w:tr w:rsidR="00676882" w14:paraId="039FD860" w14:textId="77777777" w:rsidTr="00DF45FA">
        <w:trPr>
          <w:gridBefore w:val="1"/>
          <w:wBefore w:w="454" w:type="dxa"/>
        </w:trPr>
        <w:tc>
          <w:tcPr>
            <w:tcW w:w="1118" w:type="dxa"/>
            <w:tcBorders>
              <w:top w:val="nil"/>
            </w:tcBorders>
            <w:shd w:val="clear" w:color="auto" w:fill="E5E5E5"/>
          </w:tcPr>
          <w:p w14:paraId="67E4C2E5" w14:textId="77777777" w:rsidR="00676882" w:rsidRPr="00577966" w:rsidRDefault="00676882" w:rsidP="00DF45FA">
            <w:pPr>
              <w:pStyle w:val="Tableunitsrow"/>
              <w:rPr>
                <w:b/>
                <w:bCs/>
              </w:rPr>
            </w:pPr>
            <w:r w:rsidRPr="00577966">
              <w:rPr>
                <w:b/>
                <w:bCs/>
              </w:rPr>
              <w:t>Costs</w:t>
            </w:r>
          </w:p>
        </w:tc>
        <w:tc>
          <w:tcPr>
            <w:tcW w:w="1560" w:type="dxa"/>
            <w:tcBorders>
              <w:top w:val="nil"/>
            </w:tcBorders>
            <w:shd w:val="clear" w:color="auto" w:fill="E5E5E5"/>
          </w:tcPr>
          <w:p w14:paraId="4E15BC2F" w14:textId="77777777" w:rsidR="00676882" w:rsidRDefault="00676882" w:rsidP="00DF45FA">
            <w:pPr>
              <w:pStyle w:val="Tableunitsrow"/>
            </w:pPr>
          </w:p>
        </w:tc>
        <w:tc>
          <w:tcPr>
            <w:tcW w:w="12158" w:type="dxa"/>
            <w:tcBorders>
              <w:top w:val="nil"/>
            </w:tcBorders>
            <w:shd w:val="clear" w:color="auto" w:fill="E5E5E5"/>
          </w:tcPr>
          <w:p w14:paraId="32E12D9E" w14:textId="77777777" w:rsidR="00676882" w:rsidRDefault="00676882" w:rsidP="00DF45FA">
            <w:pPr>
              <w:pStyle w:val="Tableunitsrow"/>
            </w:pPr>
          </w:p>
        </w:tc>
      </w:tr>
      <w:tr w:rsidR="00676882" w14:paraId="2D11190A" w14:textId="77777777" w:rsidTr="00DF45FA">
        <w:trPr>
          <w:gridBefore w:val="1"/>
          <w:wBefore w:w="454" w:type="dxa"/>
        </w:trPr>
        <w:tc>
          <w:tcPr>
            <w:tcW w:w="1118" w:type="dxa"/>
            <w:shd w:val="clear" w:color="auto" w:fill="auto"/>
          </w:tcPr>
          <w:p w14:paraId="263C836A" w14:textId="77777777" w:rsidR="00676882" w:rsidRDefault="00676882" w:rsidP="00DF45FA">
            <w:pPr>
              <w:pStyle w:val="Tabletext"/>
            </w:pPr>
            <w:r w:rsidRPr="009416E6">
              <w:t>Households</w:t>
            </w:r>
          </w:p>
        </w:tc>
        <w:tc>
          <w:tcPr>
            <w:tcW w:w="1560" w:type="dxa"/>
            <w:shd w:val="clear" w:color="auto" w:fill="auto"/>
          </w:tcPr>
          <w:p w14:paraId="7A8A373F" w14:textId="77777777" w:rsidR="00676882" w:rsidRPr="00577966" w:rsidRDefault="00676882" w:rsidP="00DF45FA">
            <w:pPr>
              <w:pStyle w:val="Tabletext"/>
            </w:pPr>
            <w:r w:rsidRPr="00577966">
              <w:t>Cost</w:t>
            </w:r>
            <w:r>
              <w:t xml:space="preserve"> </w:t>
            </w:r>
            <w:r w:rsidRPr="00577966">
              <w:t>of</w:t>
            </w:r>
            <w:r>
              <w:t xml:space="preserve"> </w:t>
            </w:r>
            <w:r w:rsidRPr="00577966">
              <w:t>energy</w:t>
            </w:r>
            <w:r>
              <w:t xml:space="preserve"> </w:t>
            </w:r>
            <w:r w:rsidRPr="00577966">
              <w:t>efficiency</w:t>
            </w:r>
            <w:r>
              <w:t xml:space="preserve"> </w:t>
            </w:r>
            <w:r w:rsidRPr="00577966">
              <w:t>upgrades</w:t>
            </w:r>
            <w:r>
              <w:t xml:space="preserve"> </w:t>
            </w:r>
          </w:p>
        </w:tc>
        <w:tc>
          <w:tcPr>
            <w:tcW w:w="12158" w:type="dxa"/>
            <w:shd w:val="clear" w:color="auto" w:fill="auto"/>
          </w:tcPr>
          <w:p w14:paraId="23765F81" w14:textId="77777777" w:rsidR="00676882" w:rsidRPr="00577966" w:rsidRDefault="00676882" w:rsidP="00DF45FA">
            <w:pPr>
              <w:pStyle w:val="Tablesideheading1"/>
            </w:pPr>
            <w:r w:rsidRPr="00577966">
              <w:t>Costs</w:t>
            </w:r>
            <w:r>
              <w:t xml:space="preserve"> </w:t>
            </w:r>
            <w:r w:rsidRPr="00577966">
              <w:t>incurred</w:t>
            </w:r>
            <w:r>
              <w:t xml:space="preserve"> </w:t>
            </w:r>
            <w:r w:rsidRPr="00577966">
              <w:t>by</w:t>
            </w:r>
            <w:r>
              <w:t xml:space="preserve"> </w:t>
            </w:r>
            <w:r w:rsidRPr="00577966">
              <w:t>the</w:t>
            </w:r>
            <w:r>
              <w:t xml:space="preserve"> </w:t>
            </w:r>
            <w:r w:rsidRPr="00577966">
              <w:t>properties</w:t>
            </w:r>
            <w:r>
              <w:t xml:space="preserve"> </w:t>
            </w:r>
            <w:r w:rsidRPr="00577966">
              <w:t>that</w:t>
            </w:r>
            <w:r>
              <w:t xml:space="preserve"> </w:t>
            </w:r>
            <w:r w:rsidRPr="00577966">
              <w:t>get</w:t>
            </w:r>
            <w:r>
              <w:t xml:space="preserve"> </w:t>
            </w:r>
            <w:r w:rsidRPr="00577966">
              <w:t>upgraded</w:t>
            </w:r>
          </w:p>
          <w:p w14:paraId="0F3A95D5" w14:textId="77777777" w:rsidR="00676882" w:rsidRPr="00577966" w:rsidRDefault="00676882" w:rsidP="00DF45FA">
            <w:pPr>
              <w:pStyle w:val="Tablelistnumber"/>
            </w:pPr>
            <w:r w:rsidRPr="00577966">
              <w:t>DIY</w:t>
            </w:r>
            <w:r>
              <w:t xml:space="preserve"> </w:t>
            </w:r>
            <w:r w:rsidRPr="00577966">
              <w:t>installations</w:t>
            </w:r>
            <w:r>
              <w:t xml:space="preserve"> </w:t>
            </w:r>
            <w:r w:rsidRPr="00577966">
              <w:t>— insulation</w:t>
            </w:r>
            <w:r>
              <w:t xml:space="preserve"> </w:t>
            </w:r>
            <w:r w:rsidRPr="00577966">
              <w:t>can</w:t>
            </w:r>
            <w:r>
              <w:t xml:space="preserve"> </w:t>
            </w:r>
            <w:r w:rsidRPr="00577966">
              <w:t>be</w:t>
            </w:r>
            <w:r>
              <w:t xml:space="preserve"> </w:t>
            </w:r>
            <w:r w:rsidRPr="00577966">
              <w:t>installed</w:t>
            </w:r>
            <w:r>
              <w:t xml:space="preserve"> </w:t>
            </w:r>
            <w:r w:rsidRPr="00577966">
              <w:t>by</w:t>
            </w:r>
            <w:r>
              <w:t xml:space="preserve"> </w:t>
            </w:r>
            <w:r w:rsidRPr="00577966">
              <w:t>a</w:t>
            </w:r>
            <w:r>
              <w:t xml:space="preserve"> </w:t>
            </w:r>
            <w:r w:rsidRPr="00577966">
              <w:t>professional</w:t>
            </w:r>
            <w:r>
              <w:t xml:space="preserve"> </w:t>
            </w:r>
            <w:r w:rsidRPr="00577966">
              <w:t>or</w:t>
            </w:r>
            <w:r>
              <w:t xml:space="preserve"> </w:t>
            </w:r>
            <w:r w:rsidRPr="00577966">
              <w:t>on</w:t>
            </w:r>
            <w:r>
              <w:t xml:space="preserve"> </w:t>
            </w:r>
            <w:r w:rsidRPr="00577966">
              <w:t>a</w:t>
            </w:r>
            <w:r>
              <w:t xml:space="preserve"> </w:t>
            </w:r>
            <w:r w:rsidRPr="00577966">
              <w:t>do-it-yourself</w:t>
            </w:r>
            <w:r>
              <w:t xml:space="preserve"> </w:t>
            </w:r>
            <w:r w:rsidRPr="00577966">
              <w:t>(DIY) basis.</w:t>
            </w:r>
            <w:r>
              <w:t xml:space="preserve"> </w:t>
            </w:r>
            <w:r w:rsidRPr="00577966">
              <w:t>While</w:t>
            </w:r>
            <w:r>
              <w:t xml:space="preserve"> </w:t>
            </w:r>
            <w:r w:rsidRPr="00577966">
              <w:t>there</w:t>
            </w:r>
            <w:r>
              <w:t xml:space="preserve"> </w:t>
            </w:r>
            <w:r w:rsidRPr="00577966">
              <w:t>is</w:t>
            </w:r>
            <w:r>
              <w:t xml:space="preserve"> </w:t>
            </w:r>
            <w:r w:rsidRPr="00577966">
              <w:t>no</w:t>
            </w:r>
            <w:r>
              <w:t xml:space="preserve"> </w:t>
            </w:r>
            <w:r w:rsidRPr="00577966">
              <w:t>certainty</w:t>
            </w:r>
            <w:r>
              <w:t xml:space="preserve"> </w:t>
            </w:r>
            <w:r w:rsidRPr="00577966">
              <w:t>about</w:t>
            </w:r>
            <w:r>
              <w:t xml:space="preserve"> </w:t>
            </w:r>
            <w:r w:rsidRPr="00577966">
              <w:t>the</w:t>
            </w:r>
            <w:r>
              <w:t xml:space="preserve"> </w:t>
            </w:r>
            <w:r w:rsidRPr="00577966">
              <w:t>proportion</w:t>
            </w:r>
            <w:r>
              <w:t xml:space="preserve"> </w:t>
            </w:r>
            <w:r w:rsidRPr="00577966">
              <w:t>of</w:t>
            </w:r>
            <w:r>
              <w:t xml:space="preserve"> </w:t>
            </w:r>
            <w:r w:rsidRPr="00577966">
              <w:t>people</w:t>
            </w:r>
            <w:r>
              <w:t xml:space="preserve"> </w:t>
            </w:r>
            <w:r w:rsidRPr="00577966">
              <w:t>that</w:t>
            </w:r>
            <w:r>
              <w:t xml:space="preserve"> </w:t>
            </w:r>
            <w:r w:rsidRPr="00577966">
              <w:t>would</w:t>
            </w:r>
            <w:r>
              <w:t xml:space="preserve"> </w:t>
            </w:r>
            <w:r w:rsidRPr="00577966">
              <w:t>choose</w:t>
            </w:r>
            <w:r>
              <w:t xml:space="preserve"> </w:t>
            </w:r>
            <w:r w:rsidRPr="00577966">
              <w:t>DIY,</w:t>
            </w:r>
            <w:r>
              <w:t xml:space="preserve"> </w:t>
            </w:r>
            <w:r w:rsidRPr="00577966">
              <w:t>it</w:t>
            </w:r>
            <w:r>
              <w:t xml:space="preserve"> </w:t>
            </w:r>
            <w:r w:rsidRPr="00577966">
              <w:t>has</w:t>
            </w:r>
            <w:r>
              <w:t xml:space="preserve"> </w:t>
            </w:r>
            <w:r w:rsidRPr="00577966">
              <w:t>been</w:t>
            </w:r>
            <w:r>
              <w:t xml:space="preserve"> </w:t>
            </w:r>
            <w:r w:rsidRPr="00577966">
              <w:t>assumed</w:t>
            </w:r>
            <w:r>
              <w:t xml:space="preserve"> </w:t>
            </w:r>
            <w:r w:rsidRPr="00577966">
              <w:t>that</w:t>
            </w:r>
            <w:r>
              <w:t xml:space="preserve"> </w:t>
            </w:r>
            <w:r w:rsidRPr="00577966">
              <w:t>10% of</w:t>
            </w:r>
            <w:r>
              <w:t xml:space="preserve"> </w:t>
            </w:r>
            <w:r w:rsidRPr="00577966">
              <w:t>rental</w:t>
            </w:r>
            <w:r>
              <w:t xml:space="preserve"> </w:t>
            </w:r>
            <w:r w:rsidRPr="00577966">
              <w:t>providers</w:t>
            </w:r>
            <w:r>
              <w:t xml:space="preserve"> </w:t>
            </w:r>
            <w:r w:rsidRPr="00577966">
              <w:t>would</w:t>
            </w:r>
            <w:r>
              <w:t xml:space="preserve"> </w:t>
            </w:r>
            <w:r w:rsidRPr="00577966">
              <w:t>choose</w:t>
            </w:r>
            <w:r>
              <w:t xml:space="preserve"> </w:t>
            </w:r>
            <w:r w:rsidRPr="00577966">
              <w:t>this</w:t>
            </w:r>
            <w:r>
              <w:t xml:space="preserve"> </w:t>
            </w:r>
            <w:r w:rsidRPr="00577966">
              <w:t>option,</w:t>
            </w:r>
            <w:r>
              <w:t xml:space="preserve"> </w:t>
            </w:r>
            <w:r w:rsidRPr="00577966">
              <w:t>with</w:t>
            </w:r>
            <w:r>
              <w:t xml:space="preserve"> </w:t>
            </w:r>
            <w:r w:rsidRPr="00577966">
              <w:t>90% choosing</w:t>
            </w:r>
            <w:r>
              <w:t xml:space="preserve"> </w:t>
            </w:r>
            <w:r w:rsidRPr="00577966">
              <w:t>to</w:t>
            </w:r>
            <w:r>
              <w:t xml:space="preserve"> </w:t>
            </w:r>
            <w:r w:rsidRPr="00577966">
              <w:t>do</w:t>
            </w:r>
            <w:r>
              <w:t xml:space="preserve"> </w:t>
            </w:r>
            <w:r w:rsidRPr="00577966">
              <w:t>it</w:t>
            </w:r>
            <w:r>
              <w:t xml:space="preserve"> </w:t>
            </w:r>
            <w:r w:rsidRPr="00577966">
              <w:t>through</w:t>
            </w:r>
            <w:r>
              <w:t xml:space="preserve"> </w:t>
            </w:r>
            <w:r w:rsidRPr="00577966">
              <w:t>a</w:t>
            </w:r>
            <w:r>
              <w:t xml:space="preserve"> </w:t>
            </w:r>
            <w:r w:rsidRPr="00577966">
              <w:t>professional.</w:t>
            </w:r>
            <w:r>
              <w:t xml:space="preserve"> </w:t>
            </w:r>
          </w:p>
          <w:p w14:paraId="5592C82C" w14:textId="77777777" w:rsidR="00676882" w:rsidRPr="00577966" w:rsidRDefault="00676882" w:rsidP="00DF45FA">
            <w:pPr>
              <w:pStyle w:val="Tablelistnumber"/>
            </w:pPr>
            <w:r>
              <w:t>Organisation and upgrade costs:</w:t>
            </w:r>
          </w:p>
          <w:p w14:paraId="7B1617DF" w14:textId="77777777" w:rsidR="00676882" w:rsidRPr="00577966" w:rsidRDefault="00676882" w:rsidP="00DF45FA">
            <w:pPr>
              <w:pStyle w:val="Tablelistnumber2"/>
              <w:tabs>
                <w:tab w:val="clear" w:pos="360"/>
              </w:tabs>
              <w:ind w:left="680" w:hanging="340"/>
            </w:pPr>
            <w:r w:rsidRPr="00577966">
              <w:t>Pre-inspection</w:t>
            </w:r>
            <w:r>
              <w:t xml:space="preserve"> </w:t>
            </w:r>
            <w:r w:rsidRPr="00577966">
              <w:t>costs</w:t>
            </w:r>
            <w:r>
              <w:t xml:space="preserve"> </w:t>
            </w:r>
            <w:r w:rsidRPr="00577966">
              <w:t>— there</w:t>
            </w:r>
            <w:r>
              <w:t xml:space="preserve"> </w:t>
            </w:r>
            <w:r w:rsidRPr="00577966">
              <w:t>are</w:t>
            </w:r>
            <w:r>
              <w:t xml:space="preserve"> </w:t>
            </w:r>
            <w:r w:rsidRPr="00577966">
              <w:t>a</w:t>
            </w:r>
            <w:r>
              <w:t xml:space="preserve"> </w:t>
            </w:r>
            <w:r w:rsidRPr="00577966">
              <w:t>range</w:t>
            </w:r>
            <w:r>
              <w:t xml:space="preserve"> </w:t>
            </w:r>
            <w:r w:rsidRPr="00577966">
              <w:t>of</w:t>
            </w:r>
            <w:r>
              <w:t xml:space="preserve"> </w:t>
            </w:r>
            <w:r w:rsidRPr="00577966">
              <w:t>significant</w:t>
            </w:r>
            <w:r>
              <w:t xml:space="preserve"> </w:t>
            </w:r>
            <w:r w:rsidRPr="00577966">
              <w:t>risks</w:t>
            </w:r>
            <w:r>
              <w:t xml:space="preserve"> </w:t>
            </w:r>
            <w:r w:rsidRPr="00577966">
              <w:t>associated</w:t>
            </w:r>
            <w:r>
              <w:t xml:space="preserve"> </w:t>
            </w:r>
            <w:r w:rsidRPr="00577966">
              <w:t>with</w:t>
            </w:r>
            <w:r>
              <w:t xml:space="preserve"> </w:t>
            </w:r>
            <w:r w:rsidRPr="00577966">
              <w:t>installing</w:t>
            </w:r>
            <w:r>
              <w:t xml:space="preserve"> </w:t>
            </w:r>
            <w:r w:rsidRPr="00577966">
              <w:t>ceiling</w:t>
            </w:r>
            <w:r>
              <w:t xml:space="preserve"> </w:t>
            </w:r>
            <w:r w:rsidRPr="00577966">
              <w:t>installation.</w:t>
            </w:r>
            <w:r>
              <w:t xml:space="preserve"> We </w:t>
            </w:r>
            <w:r w:rsidRPr="00577966">
              <w:t>assume</w:t>
            </w:r>
            <w:r>
              <w:t xml:space="preserve"> </w:t>
            </w:r>
            <w:r w:rsidRPr="00577966">
              <w:t>that,</w:t>
            </w:r>
            <w:r>
              <w:t xml:space="preserve"> </w:t>
            </w:r>
            <w:r w:rsidRPr="00577966">
              <w:rPr>
                <w:i/>
                <w:iCs/>
              </w:rPr>
              <w:t>if</w:t>
            </w:r>
            <w:r>
              <w:rPr>
                <w:i/>
                <w:iCs/>
              </w:rPr>
              <w:t xml:space="preserve"> </w:t>
            </w:r>
            <w:r w:rsidRPr="00577966">
              <w:rPr>
                <w:i/>
                <w:iCs/>
              </w:rPr>
              <w:t>the</w:t>
            </w:r>
            <w:r>
              <w:rPr>
                <w:i/>
                <w:iCs/>
              </w:rPr>
              <w:t xml:space="preserve"> </w:t>
            </w:r>
            <w:r w:rsidRPr="00577966">
              <w:rPr>
                <w:i/>
                <w:iCs/>
              </w:rPr>
              <w:t>insulation</w:t>
            </w:r>
            <w:r>
              <w:rPr>
                <w:i/>
                <w:iCs/>
              </w:rPr>
              <w:t xml:space="preserve"> </w:t>
            </w:r>
            <w:r w:rsidRPr="00577966">
              <w:rPr>
                <w:i/>
                <w:iCs/>
              </w:rPr>
              <w:t>is</w:t>
            </w:r>
            <w:r>
              <w:rPr>
                <w:i/>
                <w:iCs/>
              </w:rPr>
              <w:t xml:space="preserve"> </w:t>
            </w:r>
            <w:r w:rsidRPr="00577966">
              <w:rPr>
                <w:i/>
                <w:iCs/>
              </w:rPr>
              <w:t>to</w:t>
            </w:r>
            <w:r>
              <w:rPr>
                <w:i/>
                <w:iCs/>
              </w:rPr>
              <w:t xml:space="preserve"> </w:t>
            </w:r>
            <w:r w:rsidRPr="00577966">
              <w:rPr>
                <w:i/>
                <w:iCs/>
              </w:rPr>
              <w:t>be</w:t>
            </w:r>
            <w:r>
              <w:rPr>
                <w:i/>
                <w:iCs/>
              </w:rPr>
              <w:t xml:space="preserve"> </w:t>
            </w:r>
            <w:r w:rsidRPr="00577966">
              <w:rPr>
                <w:i/>
                <w:iCs/>
              </w:rPr>
              <w:t>installed</w:t>
            </w:r>
            <w:r>
              <w:rPr>
                <w:i/>
                <w:iCs/>
              </w:rPr>
              <w:t xml:space="preserve"> </w:t>
            </w:r>
            <w:r w:rsidRPr="00577966">
              <w:rPr>
                <w:i/>
                <w:iCs/>
              </w:rPr>
              <w:t>by</w:t>
            </w:r>
            <w:r>
              <w:rPr>
                <w:i/>
                <w:iCs/>
              </w:rPr>
              <w:t xml:space="preserve"> </w:t>
            </w:r>
            <w:r w:rsidRPr="00577966">
              <w:rPr>
                <w:i/>
                <w:iCs/>
              </w:rPr>
              <w:t>a</w:t>
            </w:r>
            <w:r>
              <w:rPr>
                <w:i/>
                <w:iCs/>
              </w:rPr>
              <w:t xml:space="preserve"> </w:t>
            </w:r>
            <w:r w:rsidRPr="00577966">
              <w:rPr>
                <w:i/>
                <w:iCs/>
              </w:rPr>
              <w:t>professional</w:t>
            </w:r>
            <w:r w:rsidRPr="00577966">
              <w:t>,</w:t>
            </w:r>
            <w:r>
              <w:t xml:space="preserve"> </w:t>
            </w:r>
            <w:r w:rsidRPr="00577966">
              <w:t>the</w:t>
            </w:r>
            <w:r>
              <w:t xml:space="preserve"> </w:t>
            </w:r>
            <w:r w:rsidRPr="00577966">
              <w:t>rental</w:t>
            </w:r>
            <w:r>
              <w:t xml:space="preserve"> </w:t>
            </w:r>
            <w:r w:rsidRPr="00577966">
              <w:t>property</w:t>
            </w:r>
            <w:r>
              <w:t xml:space="preserve"> </w:t>
            </w:r>
            <w:r w:rsidRPr="00577966">
              <w:t>will</w:t>
            </w:r>
            <w:r>
              <w:t xml:space="preserve"> </w:t>
            </w:r>
            <w:r w:rsidRPr="00577966">
              <w:t>be</w:t>
            </w:r>
            <w:r>
              <w:t xml:space="preserve"> </w:t>
            </w:r>
            <w:r w:rsidRPr="00577966">
              <w:t>inspected</w:t>
            </w:r>
            <w:r>
              <w:t xml:space="preserve"> by a trained tradesman </w:t>
            </w:r>
            <w:r w:rsidRPr="00577966">
              <w:t>prior</w:t>
            </w:r>
            <w:r>
              <w:t xml:space="preserve"> </w:t>
            </w:r>
            <w:r w:rsidRPr="00577966">
              <w:t>to</w:t>
            </w:r>
            <w:r>
              <w:t xml:space="preserve"> </w:t>
            </w:r>
            <w:r w:rsidRPr="00577966">
              <w:t>the</w:t>
            </w:r>
            <w:r>
              <w:t xml:space="preserve"> </w:t>
            </w:r>
            <w:r w:rsidRPr="00577966">
              <w:t>installation</w:t>
            </w:r>
            <w:r>
              <w:t xml:space="preserve"> </w:t>
            </w:r>
            <w:r w:rsidRPr="00577966">
              <w:t>of</w:t>
            </w:r>
            <w:r>
              <w:t xml:space="preserve"> </w:t>
            </w:r>
            <w:r w:rsidRPr="00577966">
              <w:t>ceiling</w:t>
            </w:r>
            <w:r>
              <w:t xml:space="preserve"> </w:t>
            </w:r>
            <w:r w:rsidRPr="00577966">
              <w:t>insulation</w:t>
            </w:r>
            <w:r>
              <w:t xml:space="preserve"> </w:t>
            </w:r>
            <w:r w:rsidRPr="00577966">
              <w:t>to</w:t>
            </w:r>
            <w:r>
              <w:t xml:space="preserve"> </w:t>
            </w:r>
            <w:r w:rsidRPr="00577966">
              <w:t>assess</w:t>
            </w:r>
            <w:r>
              <w:t xml:space="preserve"> </w:t>
            </w:r>
            <w:r w:rsidRPr="00577966">
              <w:t>these</w:t>
            </w:r>
            <w:r>
              <w:t xml:space="preserve"> </w:t>
            </w:r>
            <w:r w:rsidRPr="00577966">
              <w:t>risks,</w:t>
            </w:r>
            <w:r>
              <w:t xml:space="preserve"> </w:t>
            </w:r>
            <w:r w:rsidRPr="00577966">
              <w:t>including</w:t>
            </w:r>
            <w:r>
              <w:t xml:space="preserve"> </w:t>
            </w:r>
            <w:r w:rsidRPr="00577966">
              <w:t>the</w:t>
            </w:r>
            <w:r>
              <w:t xml:space="preserve"> </w:t>
            </w:r>
            <w:r w:rsidRPr="00577966">
              <w:t>wiring</w:t>
            </w:r>
            <w:r>
              <w:t xml:space="preserve"> </w:t>
            </w:r>
            <w:r w:rsidRPr="00577966">
              <w:t>and</w:t>
            </w:r>
            <w:r>
              <w:t xml:space="preserve"> </w:t>
            </w:r>
            <w:r w:rsidRPr="00577966">
              <w:t>electrical</w:t>
            </w:r>
            <w:r>
              <w:t xml:space="preserve"> </w:t>
            </w:r>
            <w:r w:rsidRPr="00577966">
              <w:t>equipment,</w:t>
            </w:r>
            <w:r>
              <w:t xml:space="preserve"> </w:t>
            </w:r>
            <w:r w:rsidRPr="00577966">
              <w:t>accessibility,</w:t>
            </w:r>
            <w:r>
              <w:t xml:space="preserve"> </w:t>
            </w:r>
            <w:r w:rsidRPr="00577966">
              <w:t>exposure</w:t>
            </w:r>
            <w:r>
              <w:t xml:space="preserve"> </w:t>
            </w:r>
            <w:r w:rsidRPr="00577966">
              <w:t>to</w:t>
            </w:r>
            <w:r>
              <w:t xml:space="preserve"> </w:t>
            </w:r>
            <w:r w:rsidRPr="00577966">
              <w:t>hazardous</w:t>
            </w:r>
            <w:r>
              <w:t xml:space="preserve"> </w:t>
            </w:r>
            <w:r w:rsidRPr="00577966">
              <w:t>substances</w:t>
            </w:r>
            <w:r>
              <w:t xml:space="preserve"> </w:t>
            </w:r>
            <w:r w:rsidRPr="00577966">
              <w:t>(vermin</w:t>
            </w:r>
            <w:r>
              <w:t xml:space="preserve"> </w:t>
            </w:r>
            <w:r w:rsidRPr="00577966">
              <w:t>and</w:t>
            </w:r>
            <w:r>
              <w:t xml:space="preserve"> </w:t>
            </w:r>
            <w:r w:rsidRPr="00577966">
              <w:t>asbestos),</w:t>
            </w:r>
            <w:r>
              <w:t xml:space="preserve"> </w:t>
            </w:r>
            <w:r w:rsidRPr="00577966">
              <w:t>and</w:t>
            </w:r>
            <w:r>
              <w:t xml:space="preserve"> </w:t>
            </w:r>
            <w:r w:rsidRPr="00577966">
              <w:t>condition</w:t>
            </w:r>
            <w:r>
              <w:t xml:space="preserve"> </w:t>
            </w:r>
            <w:r w:rsidRPr="00577966">
              <w:t>of</w:t>
            </w:r>
            <w:r>
              <w:t xml:space="preserve"> </w:t>
            </w:r>
            <w:r w:rsidRPr="00577966">
              <w:t>the</w:t>
            </w:r>
            <w:r>
              <w:t xml:space="preserve"> </w:t>
            </w:r>
            <w:r w:rsidRPr="00577966">
              <w:t>ceiling.</w:t>
            </w:r>
            <w:r>
              <w:t xml:space="preserve"> We </w:t>
            </w:r>
            <w:r w:rsidRPr="00577966">
              <w:t>assume</w:t>
            </w:r>
            <w:r>
              <w:t xml:space="preserve"> </w:t>
            </w:r>
            <w:r w:rsidRPr="00577966">
              <w:t>that</w:t>
            </w:r>
            <w:r>
              <w:t xml:space="preserve"> </w:t>
            </w:r>
            <w:r w:rsidRPr="00577966">
              <w:t>the</w:t>
            </w:r>
            <w:r>
              <w:t xml:space="preserve"> </w:t>
            </w:r>
            <w:r w:rsidRPr="00577966">
              <w:t>pre-inspection</w:t>
            </w:r>
            <w:r>
              <w:t xml:space="preserve"> </w:t>
            </w:r>
            <w:r w:rsidRPr="00577966">
              <w:t>will</w:t>
            </w:r>
            <w:r>
              <w:t xml:space="preserve"> </w:t>
            </w:r>
            <w:r w:rsidRPr="00577966">
              <w:t>take</w:t>
            </w:r>
            <w:r>
              <w:t xml:space="preserve"> </w:t>
            </w:r>
            <w:r w:rsidRPr="00577966">
              <w:t>one</w:t>
            </w:r>
            <w:r>
              <w:t xml:space="preserve"> </w:t>
            </w:r>
            <w:r w:rsidRPr="00577966">
              <w:t>hour</w:t>
            </w:r>
            <w:r>
              <w:t xml:space="preserve"> </w:t>
            </w:r>
            <w:r w:rsidRPr="00577966">
              <w:t>at</w:t>
            </w:r>
            <w:r>
              <w:t xml:space="preserve"> </w:t>
            </w:r>
            <w:r w:rsidRPr="00577966">
              <w:t>a</w:t>
            </w:r>
            <w:r>
              <w:t xml:space="preserve"> </w:t>
            </w:r>
            <w:r w:rsidRPr="00577966">
              <w:t>rate</w:t>
            </w:r>
            <w:r>
              <w:t xml:space="preserve"> </w:t>
            </w:r>
            <w:r w:rsidRPr="00577966">
              <w:t>of</w:t>
            </w:r>
            <w:r>
              <w:t xml:space="preserve"> </w:t>
            </w:r>
            <w:r w:rsidRPr="00577966">
              <w:t>$100</w:t>
            </w:r>
            <w:r>
              <w:t xml:space="preserve"> </w:t>
            </w:r>
            <w:r w:rsidRPr="00577966">
              <w:t>per</w:t>
            </w:r>
            <w:r>
              <w:t xml:space="preserve"> </w:t>
            </w:r>
            <w:r w:rsidRPr="00577966">
              <w:t>hour</w:t>
            </w:r>
            <w:r>
              <w:t xml:space="preserve"> </w:t>
            </w:r>
            <w:r w:rsidRPr="00577966">
              <w:t>plus</w:t>
            </w:r>
            <w:r>
              <w:t xml:space="preserve"> </w:t>
            </w:r>
            <w:r w:rsidRPr="00577966">
              <w:t>a</w:t>
            </w:r>
            <w:r>
              <w:t xml:space="preserve"> </w:t>
            </w:r>
            <w:r w:rsidRPr="00577966">
              <w:t>call</w:t>
            </w:r>
            <w:r>
              <w:t xml:space="preserve"> </w:t>
            </w:r>
            <w:r w:rsidRPr="00577966">
              <w:t>out</w:t>
            </w:r>
            <w:r>
              <w:t xml:space="preserve"> </w:t>
            </w:r>
            <w:r w:rsidRPr="00577966">
              <w:t>fee</w:t>
            </w:r>
            <w:r>
              <w:t xml:space="preserve"> </w:t>
            </w:r>
            <w:r w:rsidRPr="00577966">
              <w:t>of</w:t>
            </w:r>
            <w:r>
              <w:t xml:space="preserve"> </w:t>
            </w:r>
            <w:r w:rsidRPr="00577966">
              <w:t>$120.</w:t>
            </w:r>
            <w:r>
              <w:t xml:space="preserve"> We note that in some cases, rental providers can get free quotes, however, noting that many will not be sure whether work is required or not, we have not assumed this in the modelling. As per the EEIS, EPSDD has directed that an electrician’s assessment is required to test the safety of the ceiling space. </w:t>
            </w:r>
            <w:r w:rsidRPr="00577966">
              <w:t>DIY</w:t>
            </w:r>
            <w:r>
              <w:t xml:space="preserve"> </w:t>
            </w:r>
            <w:r w:rsidRPr="00577966">
              <w:t>installations</w:t>
            </w:r>
            <w:r>
              <w:t xml:space="preserve"> </w:t>
            </w:r>
            <w:r w:rsidRPr="00577966">
              <w:t>will</w:t>
            </w:r>
            <w:r>
              <w:t xml:space="preserve"> </w:t>
            </w:r>
            <w:r w:rsidRPr="00577966">
              <w:t>not</w:t>
            </w:r>
            <w:r>
              <w:t xml:space="preserve"> </w:t>
            </w:r>
            <w:r w:rsidRPr="00577966">
              <w:t>incur</w:t>
            </w:r>
            <w:r>
              <w:t xml:space="preserve"> </w:t>
            </w:r>
            <w:r w:rsidRPr="00577966">
              <w:t>these</w:t>
            </w:r>
            <w:r>
              <w:t xml:space="preserve"> </w:t>
            </w:r>
            <w:r w:rsidRPr="00577966">
              <w:t>costs</w:t>
            </w:r>
            <w:r>
              <w:t xml:space="preserve"> </w:t>
            </w:r>
            <w:r w:rsidRPr="00577966">
              <w:t>as</w:t>
            </w:r>
            <w:r>
              <w:t xml:space="preserve"> </w:t>
            </w:r>
            <w:r w:rsidRPr="00577966">
              <w:t>it</w:t>
            </w:r>
            <w:r>
              <w:t xml:space="preserve"> </w:t>
            </w:r>
            <w:r w:rsidRPr="00577966">
              <w:t>is</w:t>
            </w:r>
            <w:r>
              <w:t xml:space="preserve"> </w:t>
            </w:r>
            <w:r w:rsidRPr="00577966">
              <w:t>assumed</w:t>
            </w:r>
            <w:r>
              <w:t xml:space="preserve"> </w:t>
            </w:r>
            <w:r w:rsidRPr="00577966">
              <w:t>rental</w:t>
            </w:r>
            <w:r>
              <w:t xml:space="preserve"> </w:t>
            </w:r>
            <w:r w:rsidRPr="00577966">
              <w:t>providers</w:t>
            </w:r>
            <w:r>
              <w:t xml:space="preserve"> </w:t>
            </w:r>
            <w:r w:rsidRPr="00577966">
              <w:t>check</w:t>
            </w:r>
            <w:r>
              <w:t xml:space="preserve"> </w:t>
            </w:r>
            <w:r w:rsidRPr="00577966">
              <w:t>the</w:t>
            </w:r>
            <w:r>
              <w:t xml:space="preserve"> </w:t>
            </w:r>
            <w:r w:rsidRPr="00577966">
              <w:t>ceiling</w:t>
            </w:r>
            <w:r>
              <w:t xml:space="preserve"> </w:t>
            </w:r>
            <w:r w:rsidRPr="00577966">
              <w:t>and</w:t>
            </w:r>
            <w:r>
              <w:t xml:space="preserve"> </w:t>
            </w:r>
            <w:r w:rsidRPr="00577966">
              <w:t>install</w:t>
            </w:r>
            <w:r>
              <w:t xml:space="preserve"> </w:t>
            </w:r>
            <w:r w:rsidRPr="00577966">
              <w:t>the</w:t>
            </w:r>
            <w:r>
              <w:t xml:space="preserve"> </w:t>
            </w:r>
            <w:r w:rsidRPr="00577966">
              <w:t>batts</w:t>
            </w:r>
            <w:r>
              <w:t xml:space="preserve"> </w:t>
            </w:r>
            <w:r w:rsidRPr="00577966">
              <w:t>if</w:t>
            </w:r>
            <w:r>
              <w:t xml:space="preserve"> </w:t>
            </w:r>
            <w:r w:rsidRPr="00577966">
              <w:t>needed.</w:t>
            </w:r>
          </w:p>
          <w:p w14:paraId="199EC8B0" w14:textId="77777777" w:rsidR="00676882" w:rsidRPr="00577966" w:rsidRDefault="00676882" w:rsidP="00DF45FA">
            <w:pPr>
              <w:pStyle w:val="Tablelistnumber2"/>
              <w:tabs>
                <w:tab w:val="clear" w:pos="360"/>
              </w:tabs>
              <w:ind w:left="680" w:hanging="340"/>
            </w:pPr>
            <w:r w:rsidRPr="00577966">
              <w:t>Pre-installation</w:t>
            </w:r>
            <w:r>
              <w:t xml:space="preserve"> </w:t>
            </w:r>
            <w:r w:rsidRPr="00577966">
              <w:t>rectification</w:t>
            </w:r>
            <w:r>
              <w:t xml:space="preserve"> </w:t>
            </w:r>
            <w:r w:rsidRPr="00577966">
              <w:t>works</w:t>
            </w:r>
            <w:r>
              <w:t xml:space="preserve"> </w:t>
            </w:r>
            <w:r w:rsidRPr="00577966">
              <w:t>— the</w:t>
            </w:r>
            <w:r>
              <w:t xml:space="preserve"> </w:t>
            </w:r>
            <w:r w:rsidRPr="00577966">
              <w:t>pre-inspection</w:t>
            </w:r>
            <w:r>
              <w:t xml:space="preserve"> </w:t>
            </w:r>
            <w:r w:rsidRPr="00577966">
              <w:t>may</w:t>
            </w:r>
            <w:r>
              <w:t xml:space="preserve"> </w:t>
            </w:r>
            <w:r w:rsidRPr="00577966">
              <w:t>identify</w:t>
            </w:r>
            <w:r>
              <w:t xml:space="preserve"> </w:t>
            </w:r>
            <w:r w:rsidRPr="00577966">
              <w:t>a</w:t>
            </w:r>
            <w:r>
              <w:t xml:space="preserve"> </w:t>
            </w:r>
            <w:r w:rsidRPr="00577966">
              <w:t>range</w:t>
            </w:r>
            <w:r>
              <w:t xml:space="preserve"> </w:t>
            </w:r>
            <w:r w:rsidRPr="00577966">
              <w:t>of</w:t>
            </w:r>
            <w:r>
              <w:t xml:space="preserve"> </w:t>
            </w:r>
            <w:r w:rsidRPr="00577966">
              <w:t>rectification</w:t>
            </w:r>
            <w:r>
              <w:t xml:space="preserve"> </w:t>
            </w:r>
            <w:r w:rsidRPr="00577966">
              <w:t>works</w:t>
            </w:r>
            <w:r>
              <w:t xml:space="preserve"> </w:t>
            </w:r>
            <w:r w:rsidRPr="00577966">
              <w:t>that</w:t>
            </w:r>
            <w:r>
              <w:t xml:space="preserve"> </w:t>
            </w:r>
            <w:r w:rsidRPr="00577966">
              <w:t>are</w:t>
            </w:r>
            <w:r>
              <w:t xml:space="preserve"> </w:t>
            </w:r>
            <w:r w:rsidRPr="00577966">
              <w:t>required</w:t>
            </w:r>
            <w:r>
              <w:t xml:space="preserve"> </w:t>
            </w:r>
            <w:r w:rsidRPr="00577966">
              <w:t>to</w:t>
            </w:r>
            <w:r>
              <w:t xml:space="preserve"> </w:t>
            </w:r>
            <w:r w:rsidRPr="00577966">
              <w:t>be</w:t>
            </w:r>
            <w:r>
              <w:t xml:space="preserve"> </w:t>
            </w:r>
            <w:r w:rsidRPr="00577966">
              <w:t>undertaken</w:t>
            </w:r>
            <w:r>
              <w:t xml:space="preserve"> </w:t>
            </w:r>
            <w:r w:rsidRPr="00577966">
              <w:t>prior</w:t>
            </w:r>
            <w:r>
              <w:t xml:space="preserve"> </w:t>
            </w:r>
            <w:r w:rsidRPr="00577966">
              <w:t>to</w:t>
            </w:r>
            <w:r>
              <w:t xml:space="preserve"> </w:t>
            </w:r>
            <w:r w:rsidRPr="00577966">
              <w:t>the</w:t>
            </w:r>
            <w:r>
              <w:t xml:space="preserve"> </w:t>
            </w:r>
            <w:r w:rsidRPr="00577966">
              <w:t>installation</w:t>
            </w:r>
            <w:r>
              <w:t xml:space="preserve"> </w:t>
            </w:r>
            <w:r w:rsidRPr="00577966">
              <w:t>of</w:t>
            </w:r>
            <w:r>
              <w:t xml:space="preserve"> </w:t>
            </w:r>
            <w:r w:rsidRPr="00577966">
              <w:t>the</w:t>
            </w:r>
            <w:r>
              <w:t xml:space="preserve"> </w:t>
            </w:r>
            <w:r w:rsidRPr="00577966">
              <w:t>ceiling</w:t>
            </w:r>
            <w:r>
              <w:t xml:space="preserve"> </w:t>
            </w:r>
            <w:r w:rsidRPr="00577966">
              <w:t>insulation</w:t>
            </w:r>
            <w:r>
              <w:t xml:space="preserve"> </w:t>
            </w:r>
            <w:r w:rsidRPr="00577966">
              <w:t>to</w:t>
            </w:r>
            <w:r>
              <w:t xml:space="preserve"> </w:t>
            </w:r>
            <w:r w:rsidRPr="00577966">
              <w:t>address</w:t>
            </w:r>
            <w:r>
              <w:t xml:space="preserve"> </w:t>
            </w:r>
            <w:r w:rsidRPr="00577966">
              <w:t>risks.</w:t>
            </w:r>
            <w:r>
              <w:t xml:space="preserve"> </w:t>
            </w:r>
            <w:r w:rsidRPr="00577966">
              <w:t>While</w:t>
            </w:r>
            <w:r>
              <w:t xml:space="preserve"> </w:t>
            </w:r>
            <w:r w:rsidRPr="00577966">
              <w:t>some</w:t>
            </w:r>
            <w:r>
              <w:t xml:space="preserve"> </w:t>
            </w:r>
            <w:r w:rsidRPr="00577966">
              <w:t>houses</w:t>
            </w:r>
            <w:r>
              <w:t xml:space="preserve"> </w:t>
            </w:r>
            <w:r w:rsidRPr="00577966">
              <w:t>will</w:t>
            </w:r>
            <w:r>
              <w:t xml:space="preserve"> </w:t>
            </w:r>
            <w:r w:rsidRPr="00577966">
              <w:t>require</w:t>
            </w:r>
            <w:r>
              <w:t xml:space="preserve"> </w:t>
            </w:r>
            <w:r w:rsidRPr="00577966">
              <w:t>minimal</w:t>
            </w:r>
            <w:r>
              <w:t xml:space="preserve"> </w:t>
            </w:r>
            <w:r w:rsidRPr="00577966">
              <w:t>works,</w:t>
            </w:r>
            <w:r>
              <w:t xml:space="preserve"> </w:t>
            </w:r>
            <w:r w:rsidRPr="00577966">
              <w:t>others</w:t>
            </w:r>
            <w:r>
              <w:t xml:space="preserve"> </w:t>
            </w:r>
            <w:r w:rsidRPr="00577966">
              <w:t>may</w:t>
            </w:r>
            <w:r>
              <w:t xml:space="preserve"> </w:t>
            </w:r>
            <w:r w:rsidRPr="00577966">
              <w:t>need</w:t>
            </w:r>
            <w:r>
              <w:t xml:space="preserve"> </w:t>
            </w:r>
            <w:r w:rsidRPr="00577966">
              <w:t>substantial</w:t>
            </w:r>
            <w:r>
              <w:t xml:space="preserve"> </w:t>
            </w:r>
            <w:r w:rsidRPr="00577966">
              <w:t>works</w:t>
            </w:r>
            <w:r>
              <w:t xml:space="preserve"> </w:t>
            </w:r>
            <w:r w:rsidRPr="00577966">
              <w:t>to,</w:t>
            </w:r>
            <w:r>
              <w:t xml:space="preserve"> </w:t>
            </w:r>
            <w:r w:rsidRPr="00577966">
              <w:t>for</w:t>
            </w:r>
            <w:r>
              <w:t xml:space="preserve"> </w:t>
            </w:r>
            <w:r w:rsidRPr="00577966">
              <w:t>example,</w:t>
            </w:r>
            <w:r>
              <w:t xml:space="preserve"> </w:t>
            </w:r>
            <w:r w:rsidRPr="00577966">
              <w:t>address</w:t>
            </w:r>
            <w:r>
              <w:t xml:space="preserve"> </w:t>
            </w:r>
            <w:r w:rsidRPr="00577966">
              <w:t>wiring</w:t>
            </w:r>
            <w:r>
              <w:t xml:space="preserve"> </w:t>
            </w:r>
            <w:r w:rsidRPr="00577966">
              <w:t>issues,</w:t>
            </w:r>
            <w:r>
              <w:t xml:space="preserve"> </w:t>
            </w:r>
            <w:r w:rsidRPr="00577966">
              <w:t>remove</w:t>
            </w:r>
            <w:r>
              <w:t xml:space="preserve"> </w:t>
            </w:r>
            <w:r w:rsidRPr="00577966">
              <w:t>pests,</w:t>
            </w:r>
            <w:r>
              <w:t xml:space="preserve"> </w:t>
            </w:r>
            <w:r w:rsidRPr="00577966">
              <w:t>and</w:t>
            </w:r>
            <w:r>
              <w:t xml:space="preserve"> </w:t>
            </w:r>
            <w:r w:rsidRPr="00577966">
              <w:t>repair</w:t>
            </w:r>
            <w:r>
              <w:t xml:space="preserve"> </w:t>
            </w:r>
            <w:r w:rsidRPr="00577966">
              <w:t>roofs</w:t>
            </w:r>
            <w:r>
              <w:t xml:space="preserve"> </w:t>
            </w:r>
            <w:r w:rsidRPr="00577966">
              <w:t>and</w:t>
            </w:r>
            <w:r>
              <w:t xml:space="preserve"> </w:t>
            </w:r>
            <w:r w:rsidRPr="00577966">
              <w:t>ceilings.</w:t>
            </w:r>
            <w:r>
              <w:t xml:space="preserve"> </w:t>
            </w:r>
            <w:r w:rsidRPr="00577966">
              <w:t>The</w:t>
            </w:r>
            <w:r>
              <w:t xml:space="preserve"> </w:t>
            </w:r>
            <w:r w:rsidRPr="00577966">
              <w:t>proportion</w:t>
            </w:r>
            <w:r>
              <w:t xml:space="preserve"> </w:t>
            </w:r>
            <w:r w:rsidRPr="00577966">
              <w:t>of</w:t>
            </w:r>
            <w:r>
              <w:t xml:space="preserve"> </w:t>
            </w:r>
            <w:r w:rsidRPr="00577966">
              <w:t>houses</w:t>
            </w:r>
            <w:r>
              <w:t xml:space="preserve"> </w:t>
            </w:r>
            <w:r w:rsidRPr="00577966">
              <w:t>that</w:t>
            </w:r>
            <w:r>
              <w:t xml:space="preserve"> </w:t>
            </w:r>
            <w:r w:rsidRPr="00577966">
              <w:t>would</w:t>
            </w:r>
            <w:r>
              <w:t xml:space="preserve"> </w:t>
            </w:r>
            <w:r w:rsidRPr="00577966">
              <w:t>need</w:t>
            </w:r>
            <w:r>
              <w:t xml:space="preserve"> </w:t>
            </w:r>
            <w:r w:rsidRPr="00577966">
              <w:t>rectification</w:t>
            </w:r>
            <w:r>
              <w:t xml:space="preserve"> </w:t>
            </w:r>
            <w:r w:rsidRPr="00577966">
              <w:t>works</w:t>
            </w:r>
            <w:r>
              <w:t xml:space="preserve"> </w:t>
            </w:r>
            <w:r w:rsidRPr="00577966">
              <w:t>and</w:t>
            </w:r>
            <w:r>
              <w:t xml:space="preserve"> </w:t>
            </w:r>
            <w:r w:rsidRPr="00577966">
              <w:t>the</w:t>
            </w:r>
            <w:r>
              <w:t xml:space="preserve"> </w:t>
            </w:r>
            <w:r w:rsidRPr="00577966">
              <w:t>extent</w:t>
            </w:r>
            <w:r>
              <w:t xml:space="preserve"> </w:t>
            </w:r>
            <w:r w:rsidRPr="00577966">
              <w:t>of</w:t>
            </w:r>
            <w:r>
              <w:t xml:space="preserve"> </w:t>
            </w:r>
            <w:r w:rsidRPr="00577966">
              <w:t>these</w:t>
            </w:r>
            <w:r>
              <w:t xml:space="preserve"> </w:t>
            </w:r>
            <w:r w:rsidRPr="00577966">
              <w:t>works</w:t>
            </w:r>
            <w:r>
              <w:t xml:space="preserve"> </w:t>
            </w:r>
            <w:r w:rsidRPr="00577966">
              <w:t>is</w:t>
            </w:r>
            <w:r>
              <w:t xml:space="preserve"> </w:t>
            </w:r>
            <w:r w:rsidRPr="00577966">
              <w:t>not</w:t>
            </w:r>
            <w:r>
              <w:t xml:space="preserve"> </w:t>
            </w:r>
            <w:r w:rsidRPr="00577966">
              <w:t>known,</w:t>
            </w:r>
            <w:r>
              <w:t xml:space="preserve"> </w:t>
            </w:r>
            <w:r w:rsidRPr="00577966">
              <w:t>although</w:t>
            </w:r>
            <w:r>
              <w:t xml:space="preserve"> </w:t>
            </w:r>
            <w:r w:rsidRPr="00577966">
              <w:t>some</w:t>
            </w:r>
            <w:r>
              <w:t xml:space="preserve"> </w:t>
            </w:r>
            <w:r w:rsidRPr="00577966">
              <w:t>insulation</w:t>
            </w:r>
            <w:r>
              <w:t xml:space="preserve"> </w:t>
            </w:r>
            <w:r w:rsidRPr="00577966">
              <w:t>stakeholders</w:t>
            </w:r>
            <w:r>
              <w:t xml:space="preserve"> </w:t>
            </w:r>
            <w:r w:rsidRPr="00577966">
              <w:t>noted</w:t>
            </w:r>
            <w:r>
              <w:t xml:space="preserve"> </w:t>
            </w:r>
            <w:r w:rsidRPr="00577966">
              <w:t>that</w:t>
            </w:r>
            <w:r>
              <w:t xml:space="preserve"> </w:t>
            </w:r>
            <w:r w:rsidRPr="00577966">
              <w:t>there</w:t>
            </w:r>
            <w:r>
              <w:t xml:space="preserve"> </w:t>
            </w:r>
            <w:r w:rsidRPr="00577966">
              <w:t>is</w:t>
            </w:r>
            <w:r>
              <w:t xml:space="preserve"> </w:t>
            </w:r>
            <w:r w:rsidRPr="00577966">
              <w:t>a</w:t>
            </w:r>
            <w:r>
              <w:t xml:space="preserve"> </w:t>
            </w:r>
            <w:r w:rsidRPr="00577966">
              <w:t>small</w:t>
            </w:r>
            <w:r>
              <w:t xml:space="preserve"> </w:t>
            </w:r>
            <w:r w:rsidRPr="00577966">
              <w:t>chance</w:t>
            </w:r>
            <w:r>
              <w:t xml:space="preserve"> </w:t>
            </w:r>
            <w:r w:rsidRPr="00577966">
              <w:t>of</w:t>
            </w:r>
            <w:r>
              <w:t xml:space="preserve"> </w:t>
            </w:r>
            <w:r w:rsidRPr="00577966">
              <w:t>needing</w:t>
            </w:r>
            <w:r>
              <w:t xml:space="preserve"> </w:t>
            </w:r>
            <w:r w:rsidRPr="00577966">
              <w:t>substantial</w:t>
            </w:r>
            <w:r>
              <w:t xml:space="preserve"> </w:t>
            </w:r>
            <w:r w:rsidRPr="00577966">
              <w:t>work.</w:t>
            </w:r>
            <w:r>
              <w:t xml:space="preserve"> W</w:t>
            </w:r>
            <w:r w:rsidRPr="00577966">
              <w:t>e</w:t>
            </w:r>
            <w:r>
              <w:t xml:space="preserve"> </w:t>
            </w:r>
            <w:r w:rsidRPr="00577966">
              <w:t>assume</w:t>
            </w:r>
            <w:r>
              <w:t xml:space="preserve"> </w:t>
            </w:r>
            <w:r w:rsidRPr="00577966">
              <w:t>that,</w:t>
            </w:r>
            <w:r>
              <w:t xml:space="preserve"> </w:t>
            </w:r>
            <w:r w:rsidRPr="00577966">
              <w:t>on</w:t>
            </w:r>
            <w:r>
              <w:t xml:space="preserve"> </w:t>
            </w:r>
            <w:r w:rsidRPr="00577966">
              <w:t>average,</w:t>
            </w:r>
            <w:r>
              <w:t xml:space="preserve"> 5 per cent </w:t>
            </w:r>
            <w:r w:rsidRPr="00577966">
              <w:t>of</w:t>
            </w:r>
            <w:r>
              <w:t xml:space="preserve"> </w:t>
            </w:r>
            <w:r w:rsidRPr="00577966">
              <w:t>houses</w:t>
            </w:r>
            <w:r>
              <w:t xml:space="preserve"> </w:t>
            </w:r>
            <w:r w:rsidRPr="00577966">
              <w:t>will</w:t>
            </w:r>
            <w:r>
              <w:t xml:space="preserve"> </w:t>
            </w:r>
            <w:r w:rsidRPr="00577966">
              <w:t>require</w:t>
            </w:r>
            <w:r>
              <w:t xml:space="preserve"> </w:t>
            </w:r>
            <w:r w:rsidRPr="00577966">
              <w:t>some</w:t>
            </w:r>
            <w:r>
              <w:t xml:space="preserve"> </w:t>
            </w:r>
            <w:r w:rsidRPr="00577966">
              <w:t>work</w:t>
            </w:r>
            <w:r>
              <w:t xml:space="preserve"> </w:t>
            </w:r>
            <w:r w:rsidRPr="00577966">
              <w:t>to</w:t>
            </w:r>
            <w:r>
              <w:t xml:space="preserve"> </w:t>
            </w:r>
            <w:r w:rsidRPr="00577966">
              <w:t>be</w:t>
            </w:r>
            <w:r>
              <w:t xml:space="preserve"> </w:t>
            </w:r>
            <w:r w:rsidRPr="00577966">
              <w:t>undertaken,</w:t>
            </w:r>
            <w:r>
              <w:t xml:space="preserve"> </w:t>
            </w:r>
            <w:r w:rsidRPr="00577966">
              <w:t>with</w:t>
            </w:r>
            <w:r>
              <w:t xml:space="preserve"> </w:t>
            </w:r>
            <w:r w:rsidRPr="00577966">
              <w:t>the</w:t>
            </w:r>
            <w:r>
              <w:t xml:space="preserve"> </w:t>
            </w:r>
            <w:r w:rsidRPr="00577966">
              <w:t>cost</w:t>
            </w:r>
            <w:r>
              <w:t xml:space="preserve"> </w:t>
            </w:r>
            <w:r w:rsidRPr="00577966">
              <w:t>of</w:t>
            </w:r>
            <w:r>
              <w:t xml:space="preserve"> </w:t>
            </w:r>
            <w:r w:rsidRPr="00577966">
              <w:t>the</w:t>
            </w:r>
            <w:r>
              <w:t xml:space="preserve"> </w:t>
            </w:r>
            <w:r w:rsidRPr="00577966">
              <w:t>works</w:t>
            </w:r>
            <w:r>
              <w:t xml:space="preserve"> </w:t>
            </w:r>
            <w:r w:rsidRPr="00577966">
              <w:t>estimated</w:t>
            </w:r>
            <w:r>
              <w:t xml:space="preserve"> </w:t>
            </w:r>
            <w:r w:rsidRPr="00577966">
              <w:t>to</w:t>
            </w:r>
            <w:r>
              <w:t xml:space="preserve"> </w:t>
            </w:r>
            <w:r w:rsidRPr="00577966">
              <w:t>be,</w:t>
            </w:r>
            <w:r>
              <w:t xml:space="preserve"> </w:t>
            </w:r>
            <w:r w:rsidRPr="00577966">
              <w:t>on</w:t>
            </w:r>
            <w:r>
              <w:t xml:space="preserve"> </w:t>
            </w:r>
            <w:r w:rsidRPr="00577966">
              <w:t>average</w:t>
            </w:r>
            <w:r>
              <w:t xml:space="preserve"> </w:t>
            </w:r>
            <w:r w:rsidRPr="00577966">
              <w:t>$</w:t>
            </w:r>
            <w:r>
              <w:t>2</w:t>
            </w:r>
            <w:r w:rsidRPr="00577966">
              <w:t>,000.</w:t>
            </w:r>
          </w:p>
          <w:p w14:paraId="7B85D962" w14:textId="77777777" w:rsidR="00676882" w:rsidRPr="00577966" w:rsidRDefault="00676882" w:rsidP="00DF45FA">
            <w:pPr>
              <w:pStyle w:val="Tablelistnumber2"/>
              <w:tabs>
                <w:tab w:val="clear" w:pos="360"/>
              </w:tabs>
              <w:ind w:left="680" w:hanging="340"/>
            </w:pPr>
            <w:r w:rsidRPr="00577966">
              <w:t>Post</w:t>
            </w:r>
            <w:r>
              <w:t xml:space="preserve"> </w:t>
            </w:r>
            <w:r w:rsidRPr="00577966">
              <w:t>inspection</w:t>
            </w:r>
            <w:r>
              <w:t xml:space="preserve"> </w:t>
            </w:r>
            <w:r w:rsidRPr="00577966">
              <w:t xml:space="preserve">— </w:t>
            </w:r>
            <w:r>
              <w:t xml:space="preserve">this analysis </w:t>
            </w:r>
            <w:r w:rsidRPr="00577966">
              <w:t>assumes</w:t>
            </w:r>
            <w:r>
              <w:t xml:space="preserve"> </w:t>
            </w:r>
            <w:r w:rsidRPr="00577966">
              <w:t>that</w:t>
            </w:r>
            <w:r>
              <w:t xml:space="preserve"> </w:t>
            </w:r>
            <w:r w:rsidRPr="00577966">
              <w:t>the</w:t>
            </w:r>
            <w:r>
              <w:t xml:space="preserve"> </w:t>
            </w:r>
            <w:r w:rsidRPr="00577966">
              <w:t>property</w:t>
            </w:r>
            <w:r>
              <w:t xml:space="preserve"> </w:t>
            </w:r>
            <w:r w:rsidRPr="00577966">
              <w:t>will</w:t>
            </w:r>
            <w:r>
              <w:t xml:space="preserve"> </w:t>
            </w:r>
            <w:r w:rsidRPr="00577966">
              <w:t>be</w:t>
            </w:r>
            <w:r>
              <w:t xml:space="preserve"> </w:t>
            </w:r>
            <w:r w:rsidRPr="00577966">
              <w:t>inspected</w:t>
            </w:r>
            <w:r>
              <w:t xml:space="preserve"> by a trained tradesman </w:t>
            </w:r>
            <w:r w:rsidRPr="00577966">
              <w:t>following</w:t>
            </w:r>
            <w:r>
              <w:t xml:space="preserve"> </w:t>
            </w:r>
            <w:r w:rsidRPr="00577966">
              <w:t>the</w:t>
            </w:r>
            <w:r>
              <w:t xml:space="preserve"> </w:t>
            </w:r>
            <w:r w:rsidRPr="00577966">
              <w:t>installation</w:t>
            </w:r>
            <w:r>
              <w:t xml:space="preserve"> </w:t>
            </w:r>
            <w:r w:rsidRPr="00577966">
              <w:t>of</w:t>
            </w:r>
            <w:r>
              <w:t xml:space="preserve"> </w:t>
            </w:r>
            <w:r w:rsidRPr="00577966">
              <w:t>the</w:t>
            </w:r>
            <w:r>
              <w:t xml:space="preserve"> </w:t>
            </w:r>
            <w:r w:rsidRPr="00577966">
              <w:t>insulation</w:t>
            </w:r>
            <w:r>
              <w:t xml:space="preserve"> </w:t>
            </w:r>
            <w:r w:rsidRPr="00577966">
              <w:t>to</w:t>
            </w:r>
            <w:r>
              <w:t xml:space="preserve"> </w:t>
            </w:r>
            <w:r w:rsidRPr="00577966">
              <w:t>ensure</w:t>
            </w:r>
            <w:r>
              <w:t xml:space="preserve"> </w:t>
            </w:r>
            <w:r w:rsidRPr="00577966">
              <w:t>that</w:t>
            </w:r>
            <w:r>
              <w:t xml:space="preserve"> </w:t>
            </w:r>
            <w:r w:rsidRPr="00577966">
              <w:t>the</w:t>
            </w:r>
            <w:r>
              <w:t xml:space="preserve"> </w:t>
            </w:r>
            <w:r w:rsidRPr="00577966">
              <w:t>installation</w:t>
            </w:r>
            <w:r>
              <w:t xml:space="preserve"> </w:t>
            </w:r>
            <w:r w:rsidRPr="00577966">
              <w:t>is</w:t>
            </w:r>
            <w:r>
              <w:t xml:space="preserve"> </w:t>
            </w:r>
            <w:r w:rsidRPr="00577966">
              <w:t>safe</w:t>
            </w:r>
            <w:r>
              <w:t xml:space="preserve"> </w:t>
            </w:r>
            <w:r w:rsidRPr="00577966">
              <w:t>and</w:t>
            </w:r>
            <w:r>
              <w:t xml:space="preserve"> </w:t>
            </w:r>
            <w:r w:rsidRPr="00577966">
              <w:t>meets</w:t>
            </w:r>
            <w:r>
              <w:t xml:space="preserve"> </w:t>
            </w:r>
            <w:r w:rsidRPr="00577966">
              <w:t>the</w:t>
            </w:r>
            <w:r>
              <w:t xml:space="preserve"> </w:t>
            </w:r>
            <w:r w:rsidRPr="00577966">
              <w:t>requirements.</w:t>
            </w:r>
            <w:r>
              <w:t xml:space="preserve"> It has been </w:t>
            </w:r>
            <w:r w:rsidRPr="00577966">
              <w:t>assumed</w:t>
            </w:r>
            <w:r>
              <w:t xml:space="preserve"> </w:t>
            </w:r>
            <w:r w:rsidRPr="00577966">
              <w:t>that</w:t>
            </w:r>
            <w:r>
              <w:t xml:space="preserve"> </w:t>
            </w:r>
            <w:r w:rsidRPr="00577966">
              <w:t>all</w:t>
            </w:r>
            <w:r>
              <w:t xml:space="preserve"> </w:t>
            </w:r>
            <w:r w:rsidRPr="00577966">
              <w:t>properties</w:t>
            </w:r>
            <w:r>
              <w:t xml:space="preserve"> </w:t>
            </w:r>
            <w:r w:rsidRPr="00577966">
              <w:t>are</w:t>
            </w:r>
            <w:r>
              <w:t xml:space="preserve"> </w:t>
            </w:r>
            <w:r w:rsidRPr="00577966">
              <w:t>inspected,</w:t>
            </w:r>
            <w:r>
              <w:t xml:space="preserve"> </w:t>
            </w:r>
            <w:r w:rsidRPr="00577966">
              <w:t>whether:</w:t>
            </w:r>
          </w:p>
          <w:p w14:paraId="58F16F73" w14:textId="77777777" w:rsidR="00676882" w:rsidRPr="00577966" w:rsidRDefault="00676882" w:rsidP="00DF45FA">
            <w:pPr>
              <w:pStyle w:val="Tablelistnumber3"/>
              <w:tabs>
                <w:tab w:val="clear" w:pos="360"/>
              </w:tabs>
              <w:ind w:left="907" w:hanging="227"/>
            </w:pPr>
            <w:r w:rsidRPr="00577966">
              <w:t>they</w:t>
            </w:r>
            <w:r>
              <w:t xml:space="preserve"> </w:t>
            </w:r>
            <w:r w:rsidRPr="00577966">
              <w:t>are</w:t>
            </w:r>
            <w:r>
              <w:t xml:space="preserve"> </w:t>
            </w:r>
            <w:r w:rsidRPr="00577966">
              <w:t>class</w:t>
            </w:r>
            <w:r>
              <w:t xml:space="preserve"> </w:t>
            </w:r>
            <w:r w:rsidRPr="00577966">
              <w:t>1</w:t>
            </w:r>
            <w:r>
              <w:t xml:space="preserve"> </w:t>
            </w:r>
            <w:r w:rsidRPr="00577966">
              <w:t>or</w:t>
            </w:r>
            <w:r>
              <w:t xml:space="preserve"> </w:t>
            </w:r>
            <w:r w:rsidRPr="00577966">
              <w:t>class</w:t>
            </w:r>
            <w:r>
              <w:t xml:space="preserve"> </w:t>
            </w:r>
            <w:r w:rsidRPr="00577966">
              <w:t>2</w:t>
            </w:r>
            <w:r>
              <w:t xml:space="preserve"> </w:t>
            </w:r>
            <w:r w:rsidRPr="00577966">
              <w:t>buildings</w:t>
            </w:r>
          </w:p>
          <w:p w14:paraId="414D6984" w14:textId="77777777" w:rsidR="00676882" w:rsidRPr="00577966" w:rsidRDefault="00676882" w:rsidP="00DF45FA">
            <w:pPr>
              <w:pStyle w:val="Tablelistnumber3"/>
              <w:tabs>
                <w:tab w:val="clear" w:pos="360"/>
              </w:tabs>
              <w:ind w:left="907" w:hanging="227"/>
            </w:pPr>
            <w:r w:rsidRPr="00577966">
              <w:t>the</w:t>
            </w:r>
            <w:r>
              <w:t xml:space="preserve"> </w:t>
            </w:r>
            <w:r w:rsidRPr="00577966">
              <w:t>installation</w:t>
            </w:r>
            <w:r>
              <w:t xml:space="preserve"> </w:t>
            </w:r>
            <w:r w:rsidRPr="00577966">
              <w:t>has</w:t>
            </w:r>
            <w:r>
              <w:t xml:space="preserve"> </w:t>
            </w:r>
            <w:r w:rsidRPr="00577966">
              <w:t>been</w:t>
            </w:r>
            <w:r>
              <w:t xml:space="preserve"> </w:t>
            </w:r>
            <w:r w:rsidRPr="00577966">
              <w:t>done</w:t>
            </w:r>
            <w:r>
              <w:t xml:space="preserve"> </w:t>
            </w:r>
            <w:r w:rsidRPr="00577966">
              <w:t>by</w:t>
            </w:r>
            <w:r>
              <w:t xml:space="preserve"> </w:t>
            </w:r>
            <w:r w:rsidRPr="00577966">
              <w:t>a</w:t>
            </w:r>
            <w:r>
              <w:t xml:space="preserve"> </w:t>
            </w:r>
            <w:r w:rsidRPr="00577966">
              <w:t>professional</w:t>
            </w:r>
            <w:r>
              <w:t xml:space="preserve"> </w:t>
            </w:r>
            <w:r w:rsidRPr="00577966">
              <w:t>or</w:t>
            </w:r>
            <w:r>
              <w:t xml:space="preserve"> </w:t>
            </w:r>
            <w:r w:rsidRPr="00577966">
              <w:t>a</w:t>
            </w:r>
            <w:r>
              <w:t xml:space="preserve"> </w:t>
            </w:r>
            <w:r w:rsidRPr="00577966">
              <w:t>DIYer.</w:t>
            </w:r>
            <w:r>
              <w:t xml:space="preserve"> </w:t>
            </w:r>
          </w:p>
          <w:p w14:paraId="51D5C585" w14:textId="77777777" w:rsidR="00676882" w:rsidRPr="00577966" w:rsidRDefault="00676882" w:rsidP="00DF45FA">
            <w:pPr>
              <w:pStyle w:val="Tabletext"/>
              <w:ind w:left="422"/>
            </w:pPr>
            <w:r>
              <w:t>W</w:t>
            </w:r>
            <w:r w:rsidRPr="00577966">
              <w:t>e</w:t>
            </w:r>
            <w:r>
              <w:t xml:space="preserve"> </w:t>
            </w:r>
            <w:r w:rsidRPr="00577966">
              <w:t>assume</w:t>
            </w:r>
            <w:r>
              <w:t xml:space="preserve"> </w:t>
            </w:r>
            <w:r w:rsidRPr="00577966">
              <w:t>that</w:t>
            </w:r>
            <w:r>
              <w:t xml:space="preserve"> </w:t>
            </w:r>
            <w:r w:rsidRPr="00577966">
              <w:t>the</w:t>
            </w:r>
            <w:r>
              <w:t xml:space="preserve"> </w:t>
            </w:r>
            <w:r w:rsidRPr="00577966">
              <w:t>post-inspection</w:t>
            </w:r>
            <w:r>
              <w:t xml:space="preserve"> </w:t>
            </w:r>
            <w:r w:rsidRPr="00577966">
              <w:t>would</w:t>
            </w:r>
            <w:r>
              <w:t xml:space="preserve"> </w:t>
            </w:r>
            <w:r w:rsidRPr="00577966">
              <w:t>take</w:t>
            </w:r>
            <w:r>
              <w:t xml:space="preserve"> </w:t>
            </w:r>
            <w:r w:rsidRPr="00577966">
              <w:t>two</w:t>
            </w:r>
            <w:r>
              <w:t xml:space="preserve"> </w:t>
            </w:r>
            <w:r w:rsidRPr="00577966">
              <w:t>hours</w:t>
            </w:r>
            <w:r>
              <w:t xml:space="preserve"> </w:t>
            </w:r>
            <w:r w:rsidRPr="00577966">
              <w:t>at</w:t>
            </w:r>
            <w:r>
              <w:t xml:space="preserve"> </w:t>
            </w:r>
            <w:r w:rsidRPr="00577966">
              <w:t>a</w:t>
            </w:r>
            <w:r>
              <w:t xml:space="preserve"> </w:t>
            </w:r>
            <w:r w:rsidRPr="00577966">
              <w:t>rate</w:t>
            </w:r>
            <w:r>
              <w:t xml:space="preserve"> </w:t>
            </w:r>
            <w:r w:rsidRPr="00577966">
              <w:t>of</w:t>
            </w:r>
            <w:r>
              <w:t xml:space="preserve"> </w:t>
            </w:r>
            <w:r w:rsidRPr="00577966">
              <w:t>$100</w:t>
            </w:r>
            <w:r>
              <w:t xml:space="preserve"> </w:t>
            </w:r>
            <w:r w:rsidRPr="00577966">
              <w:t>per</w:t>
            </w:r>
            <w:r>
              <w:t xml:space="preserve"> </w:t>
            </w:r>
            <w:r w:rsidRPr="00577966">
              <w:t>hour</w:t>
            </w:r>
            <w:r>
              <w:t xml:space="preserve"> </w:t>
            </w:r>
            <w:r w:rsidRPr="00577966">
              <w:t>plus</w:t>
            </w:r>
            <w:r>
              <w:t xml:space="preserve"> </w:t>
            </w:r>
            <w:r w:rsidRPr="00577966">
              <w:t>a</w:t>
            </w:r>
            <w:r>
              <w:t xml:space="preserve"> </w:t>
            </w:r>
            <w:r w:rsidRPr="00577966">
              <w:t>call</w:t>
            </w:r>
            <w:r>
              <w:t xml:space="preserve"> </w:t>
            </w:r>
            <w:r w:rsidRPr="00577966">
              <w:t>out</w:t>
            </w:r>
            <w:r>
              <w:t xml:space="preserve"> </w:t>
            </w:r>
            <w:r w:rsidRPr="00577966">
              <w:t>fee</w:t>
            </w:r>
            <w:r>
              <w:t xml:space="preserve"> </w:t>
            </w:r>
            <w:r w:rsidRPr="00577966">
              <w:t>of</w:t>
            </w:r>
            <w:r>
              <w:t xml:space="preserve"> </w:t>
            </w:r>
            <w:r w:rsidRPr="00577966">
              <w:t>$120.</w:t>
            </w:r>
            <w:r>
              <w:t xml:space="preserve"> </w:t>
            </w:r>
            <w:r w:rsidRPr="00577966">
              <w:t>It</w:t>
            </w:r>
            <w:r>
              <w:t xml:space="preserve"> </w:t>
            </w:r>
            <w:r w:rsidRPr="00577966">
              <w:t>would</w:t>
            </w:r>
            <w:r>
              <w:t xml:space="preserve"> </w:t>
            </w:r>
            <w:r w:rsidRPr="00577966">
              <w:t>be</w:t>
            </w:r>
            <w:r>
              <w:t xml:space="preserve"> </w:t>
            </w:r>
            <w:r w:rsidRPr="00577966">
              <w:t>assumed</w:t>
            </w:r>
            <w:r>
              <w:t xml:space="preserve"> </w:t>
            </w:r>
            <w:r w:rsidRPr="00577966">
              <w:t>that</w:t>
            </w:r>
            <w:r>
              <w:t xml:space="preserve"> </w:t>
            </w:r>
            <w:r w:rsidRPr="00577966">
              <w:t>a</w:t>
            </w:r>
            <w:r>
              <w:t xml:space="preserve"> </w:t>
            </w:r>
            <w:r w:rsidRPr="00577966">
              <w:t>‘certificate’ (or</w:t>
            </w:r>
            <w:r>
              <w:t xml:space="preserve"> </w:t>
            </w:r>
            <w:r w:rsidRPr="00577966">
              <w:t>similar</w:t>
            </w:r>
            <w:r>
              <w:t xml:space="preserve"> </w:t>
            </w:r>
            <w:r w:rsidRPr="00577966">
              <w:t>document) is</w:t>
            </w:r>
            <w:r>
              <w:t xml:space="preserve"> </w:t>
            </w:r>
            <w:r w:rsidRPr="00577966">
              <w:t>issued</w:t>
            </w:r>
            <w:r>
              <w:t xml:space="preserve"> </w:t>
            </w:r>
            <w:r w:rsidRPr="00577966">
              <w:t>after</w:t>
            </w:r>
            <w:r>
              <w:t xml:space="preserve"> </w:t>
            </w:r>
            <w:r w:rsidRPr="00577966">
              <w:t>this</w:t>
            </w:r>
            <w:r>
              <w:t xml:space="preserve"> </w:t>
            </w:r>
            <w:r w:rsidRPr="00577966">
              <w:t>inspection,</w:t>
            </w:r>
            <w:r>
              <w:t xml:space="preserve"> </w:t>
            </w:r>
            <w:r w:rsidRPr="00577966">
              <w:t>which</w:t>
            </w:r>
            <w:r>
              <w:t xml:space="preserve"> </w:t>
            </w:r>
            <w:r w:rsidRPr="00577966">
              <w:t>can</w:t>
            </w:r>
            <w:r>
              <w:t xml:space="preserve"> </w:t>
            </w:r>
            <w:r w:rsidRPr="00577966">
              <w:t>be</w:t>
            </w:r>
            <w:r>
              <w:t xml:space="preserve"> </w:t>
            </w:r>
            <w:r w:rsidRPr="00577966">
              <w:t>used</w:t>
            </w:r>
            <w:r>
              <w:t xml:space="preserve"> </w:t>
            </w:r>
            <w:r w:rsidRPr="00577966">
              <w:t>to</w:t>
            </w:r>
            <w:r>
              <w:t xml:space="preserve"> </w:t>
            </w:r>
            <w:r w:rsidRPr="00577966">
              <w:t>demonstrate</w:t>
            </w:r>
            <w:r>
              <w:t xml:space="preserve"> </w:t>
            </w:r>
            <w:r w:rsidRPr="00577966">
              <w:t>compliance</w:t>
            </w:r>
            <w:r>
              <w:t xml:space="preserve"> </w:t>
            </w:r>
            <w:r w:rsidRPr="00577966">
              <w:t>with</w:t>
            </w:r>
            <w:r>
              <w:t xml:space="preserve"> </w:t>
            </w:r>
            <w:r w:rsidRPr="00577966">
              <w:t>the</w:t>
            </w:r>
            <w:r>
              <w:t xml:space="preserve"> </w:t>
            </w:r>
            <w:r w:rsidRPr="00577966">
              <w:t>requirements.</w:t>
            </w:r>
          </w:p>
          <w:p w14:paraId="11074D9F" w14:textId="77777777" w:rsidR="00676882" w:rsidRPr="00577966" w:rsidRDefault="00676882" w:rsidP="00DF45FA">
            <w:pPr>
              <w:pStyle w:val="Tablelistnumber"/>
            </w:pPr>
            <w:r w:rsidRPr="00577966">
              <w:t>Time</w:t>
            </w:r>
            <w:r>
              <w:t xml:space="preserve"> </w:t>
            </w:r>
            <w:r w:rsidRPr="00577966">
              <w:t>to</w:t>
            </w:r>
            <w:r>
              <w:t xml:space="preserve"> </w:t>
            </w:r>
            <w:r w:rsidRPr="00577966">
              <w:t>obtain</w:t>
            </w:r>
            <w:r>
              <w:t xml:space="preserve"> </w:t>
            </w:r>
            <w:r w:rsidRPr="00577966">
              <w:t>and</w:t>
            </w:r>
            <w:r>
              <w:t xml:space="preserve"> </w:t>
            </w:r>
            <w:r w:rsidRPr="00577966">
              <w:t>organise</w:t>
            </w:r>
            <w:r>
              <w:t xml:space="preserve"> </w:t>
            </w:r>
            <w:r w:rsidRPr="00577966">
              <w:t>quotes/works</w:t>
            </w:r>
            <w:r>
              <w:t xml:space="preserve"> </w:t>
            </w:r>
            <w:r w:rsidRPr="00577966">
              <w:t>— we</w:t>
            </w:r>
            <w:r>
              <w:t xml:space="preserve"> </w:t>
            </w:r>
            <w:r w:rsidRPr="00577966">
              <w:t>have</w:t>
            </w:r>
            <w:r>
              <w:t xml:space="preserve"> </w:t>
            </w:r>
            <w:r w:rsidRPr="00577966">
              <w:t>included</w:t>
            </w:r>
            <w:r>
              <w:t xml:space="preserve"> </w:t>
            </w:r>
            <w:r w:rsidRPr="00577966">
              <w:t>the</w:t>
            </w:r>
            <w:r>
              <w:t xml:space="preserve"> </w:t>
            </w:r>
            <w:r w:rsidRPr="00577966">
              <w:t>opportunity</w:t>
            </w:r>
            <w:r>
              <w:t xml:space="preserve"> </w:t>
            </w:r>
            <w:r w:rsidRPr="00577966">
              <w:t>cost</w:t>
            </w:r>
            <w:r>
              <w:t xml:space="preserve"> </w:t>
            </w:r>
            <w:r w:rsidRPr="00577966">
              <w:t>associated</w:t>
            </w:r>
            <w:r>
              <w:t xml:space="preserve"> </w:t>
            </w:r>
            <w:r w:rsidRPr="00577966">
              <w:t>with</w:t>
            </w:r>
            <w:r>
              <w:t xml:space="preserve"> </w:t>
            </w:r>
            <w:r w:rsidRPr="00577966">
              <w:t>the</w:t>
            </w:r>
            <w:r>
              <w:t xml:space="preserve"> </w:t>
            </w:r>
            <w:r w:rsidRPr="00577966">
              <w:t>rental</w:t>
            </w:r>
            <w:r>
              <w:t xml:space="preserve"> </w:t>
            </w:r>
            <w:r w:rsidRPr="00577966">
              <w:t>provider,</w:t>
            </w:r>
            <w:r>
              <w:t xml:space="preserve"> </w:t>
            </w:r>
            <w:r w:rsidRPr="00577966">
              <w:t>property</w:t>
            </w:r>
            <w:r>
              <w:t xml:space="preserve"> </w:t>
            </w:r>
            <w:r w:rsidRPr="00577966">
              <w:t>manager</w:t>
            </w:r>
            <w:r>
              <w:t xml:space="preserve"> </w:t>
            </w:r>
            <w:r w:rsidRPr="00577966">
              <w:t>or</w:t>
            </w:r>
            <w:r>
              <w:t xml:space="preserve"> </w:t>
            </w:r>
            <w:r w:rsidRPr="00577966">
              <w:t>some</w:t>
            </w:r>
            <w:r>
              <w:t xml:space="preserve"> </w:t>
            </w:r>
            <w:r w:rsidRPr="00577966">
              <w:t>other</w:t>
            </w:r>
            <w:r>
              <w:t xml:space="preserve"> </w:t>
            </w:r>
            <w:r w:rsidRPr="00577966">
              <w:t>party</w:t>
            </w:r>
            <w:r>
              <w:t xml:space="preserve"> </w:t>
            </w:r>
            <w:r w:rsidRPr="00577966">
              <w:t>organising</w:t>
            </w:r>
            <w:r>
              <w:t xml:space="preserve"> </w:t>
            </w:r>
            <w:r w:rsidRPr="00577966">
              <w:t>quotes</w:t>
            </w:r>
            <w:r>
              <w:t xml:space="preserve"> </w:t>
            </w:r>
            <w:r w:rsidRPr="00577966">
              <w:t>– for</w:t>
            </w:r>
            <w:r>
              <w:t xml:space="preserve"> </w:t>
            </w:r>
            <w:r w:rsidRPr="00577966">
              <w:t>the</w:t>
            </w:r>
            <w:r>
              <w:t xml:space="preserve"> </w:t>
            </w:r>
            <w:r w:rsidRPr="00577966">
              <w:t>supply</w:t>
            </w:r>
            <w:r>
              <w:t xml:space="preserve"> </w:t>
            </w:r>
            <w:r w:rsidRPr="00577966">
              <w:t>and</w:t>
            </w:r>
            <w:r>
              <w:t xml:space="preserve"> </w:t>
            </w:r>
            <w:r w:rsidRPr="00577966">
              <w:t>installation</w:t>
            </w:r>
            <w:r>
              <w:t xml:space="preserve"> </w:t>
            </w:r>
            <w:r w:rsidRPr="00577966">
              <w:t>of</w:t>
            </w:r>
            <w:r>
              <w:t xml:space="preserve"> </w:t>
            </w:r>
            <w:r w:rsidRPr="00577966">
              <w:t>insulation</w:t>
            </w:r>
            <w:r>
              <w:t xml:space="preserve"> </w:t>
            </w:r>
            <w:r w:rsidRPr="00577966">
              <w:t>where</w:t>
            </w:r>
            <w:r>
              <w:t xml:space="preserve"> </w:t>
            </w:r>
            <w:r w:rsidRPr="00577966">
              <w:t>the</w:t>
            </w:r>
            <w:r>
              <w:t xml:space="preserve"> </w:t>
            </w:r>
            <w:r w:rsidRPr="00577966">
              <w:t>insulation</w:t>
            </w:r>
            <w:r>
              <w:t xml:space="preserve"> </w:t>
            </w:r>
            <w:r w:rsidRPr="00577966">
              <w:t>is</w:t>
            </w:r>
            <w:r>
              <w:t xml:space="preserve"> </w:t>
            </w:r>
            <w:r w:rsidRPr="00577966">
              <w:t>installed</w:t>
            </w:r>
            <w:r>
              <w:t xml:space="preserve"> </w:t>
            </w:r>
            <w:r w:rsidRPr="00577966">
              <w:t>by</w:t>
            </w:r>
            <w:r>
              <w:t xml:space="preserve"> </w:t>
            </w:r>
            <w:r w:rsidRPr="00577966">
              <w:t>a</w:t>
            </w:r>
            <w:r>
              <w:t xml:space="preserve"> </w:t>
            </w:r>
            <w:r w:rsidRPr="00577966">
              <w:t>professional</w:t>
            </w:r>
            <w:r>
              <w:t xml:space="preserve"> </w:t>
            </w:r>
            <w:r w:rsidRPr="00577966">
              <w:t>and</w:t>
            </w:r>
            <w:r>
              <w:t xml:space="preserve"> </w:t>
            </w:r>
            <w:r w:rsidRPr="00577966">
              <w:t>for</w:t>
            </w:r>
            <w:r>
              <w:t xml:space="preserve"> </w:t>
            </w:r>
            <w:r w:rsidRPr="00577966">
              <w:t>the</w:t>
            </w:r>
            <w:r>
              <w:t xml:space="preserve"> </w:t>
            </w:r>
            <w:r w:rsidRPr="00577966">
              <w:t>supply</w:t>
            </w:r>
            <w:r>
              <w:t xml:space="preserve"> </w:t>
            </w:r>
            <w:r w:rsidRPr="00577966">
              <w:t>of</w:t>
            </w:r>
            <w:r>
              <w:t xml:space="preserve"> </w:t>
            </w:r>
            <w:r w:rsidRPr="00577966">
              <w:t>insulation</w:t>
            </w:r>
            <w:r>
              <w:t xml:space="preserve"> </w:t>
            </w:r>
            <w:r w:rsidRPr="00577966">
              <w:t>where</w:t>
            </w:r>
            <w:r>
              <w:t xml:space="preserve"> </w:t>
            </w:r>
            <w:r w:rsidRPr="00577966">
              <w:t>the</w:t>
            </w:r>
            <w:r>
              <w:t xml:space="preserve"> </w:t>
            </w:r>
            <w:r w:rsidRPr="00577966">
              <w:t>insulation</w:t>
            </w:r>
            <w:r>
              <w:t xml:space="preserve"> </w:t>
            </w:r>
            <w:r w:rsidRPr="00577966">
              <w:t>is</w:t>
            </w:r>
            <w:r>
              <w:t xml:space="preserve"> </w:t>
            </w:r>
            <w:r w:rsidRPr="00577966">
              <w:t>installed</w:t>
            </w:r>
            <w:r>
              <w:t xml:space="preserve"> </w:t>
            </w:r>
            <w:r w:rsidRPr="00577966">
              <w:t>by</w:t>
            </w:r>
            <w:r>
              <w:t xml:space="preserve"> </w:t>
            </w:r>
            <w:r w:rsidRPr="00577966">
              <w:t>a</w:t>
            </w:r>
            <w:r>
              <w:t xml:space="preserve"> </w:t>
            </w:r>
            <w:r w:rsidRPr="00577966">
              <w:t>DIYer,</w:t>
            </w:r>
            <w:r>
              <w:t xml:space="preserve"> </w:t>
            </w:r>
            <w:r w:rsidRPr="00577966">
              <w:t>and</w:t>
            </w:r>
            <w:r>
              <w:t xml:space="preserve"> </w:t>
            </w:r>
            <w:r w:rsidRPr="00577966">
              <w:t>to</w:t>
            </w:r>
            <w:r>
              <w:t xml:space="preserve"> </w:t>
            </w:r>
            <w:r w:rsidRPr="00577966">
              <w:t>arrange</w:t>
            </w:r>
            <w:r>
              <w:t xml:space="preserve"> </w:t>
            </w:r>
            <w:r w:rsidRPr="00577966">
              <w:t>and</w:t>
            </w:r>
            <w:r>
              <w:t xml:space="preserve"> </w:t>
            </w:r>
            <w:r w:rsidRPr="00577966">
              <w:t>attend</w:t>
            </w:r>
            <w:r>
              <w:t xml:space="preserve"> </w:t>
            </w:r>
            <w:r w:rsidRPr="00577966">
              <w:t>a</w:t>
            </w:r>
            <w:r>
              <w:t xml:space="preserve"> </w:t>
            </w:r>
            <w:r w:rsidRPr="00577966">
              <w:t>pre-inspection</w:t>
            </w:r>
            <w:r>
              <w:t xml:space="preserve"> </w:t>
            </w:r>
            <w:r w:rsidRPr="00577966">
              <w:t>(where</w:t>
            </w:r>
            <w:r>
              <w:t xml:space="preserve"> </w:t>
            </w:r>
            <w:r w:rsidRPr="00577966">
              <w:t>the</w:t>
            </w:r>
            <w:r>
              <w:t xml:space="preserve"> </w:t>
            </w:r>
            <w:r w:rsidRPr="00577966">
              <w:t>insulation</w:t>
            </w:r>
            <w:r>
              <w:t xml:space="preserve"> </w:t>
            </w:r>
            <w:r w:rsidRPr="00577966">
              <w:t>is</w:t>
            </w:r>
            <w:r>
              <w:t xml:space="preserve"> </w:t>
            </w:r>
            <w:r w:rsidRPr="00577966">
              <w:t>being</w:t>
            </w:r>
            <w:r>
              <w:t xml:space="preserve"> </w:t>
            </w:r>
            <w:r w:rsidRPr="00577966">
              <w:t>installed</w:t>
            </w:r>
            <w:r>
              <w:t xml:space="preserve"> </w:t>
            </w:r>
            <w:r w:rsidRPr="00577966">
              <w:t>by</w:t>
            </w:r>
            <w:r>
              <w:t xml:space="preserve"> </w:t>
            </w:r>
            <w:r w:rsidRPr="00577966">
              <w:t>a</w:t>
            </w:r>
            <w:r>
              <w:t xml:space="preserve"> </w:t>
            </w:r>
            <w:r w:rsidRPr="00577966">
              <w:t>professional) and</w:t>
            </w:r>
            <w:r>
              <w:t xml:space="preserve"> </w:t>
            </w:r>
            <w:r w:rsidRPr="00577966">
              <w:t>a</w:t>
            </w:r>
            <w:r>
              <w:t xml:space="preserve"> </w:t>
            </w:r>
            <w:r w:rsidRPr="00577966">
              <w:t>post</w:t>
            </w:r>
            <w:r>
              <w:t xml:space="preserve"> </w:t>
            </w:r>
            <w:r w:rsidRPr="00577966">
              <w:t>inspection.</w:t>
            </w:r>
            <w:r>
              <w:t xml:space="preserve"> </w:t>
            </w:r>
            <w:r w:rsidRPr="00577966">
              <w:t>We</w:t>
            </w:r>
            <w:r>
              <w:t xml:space="preserve"> </w:t>
            </w:r>
            <w:r w:rsidRPr="00577966">
              <w:t>have</w:t>
            </w:r>
            <w:r>
              <w:t xml:space="preserve"> </w:t>
            </w:r>
            <w:r w:rsidRPr="00577966">
              <w:t>assumed</w:t>
            </w:r>
            <w:r>
              <w:t xml:space="preserve"> </w:t>
            </w:r>
            <w:r w:rsidRPr="00577966">
              <w:t>that</w:t>
            </w:r>
            <w:r>
              <w:t xml:space="preserve"> </w:t>
            </w:r>
            <w:r w:rsidRPr="00577966">
              <w:t>the</w:t>
            </w:r>
            <w:r>
              <w:t xml:space="preserve"> </w:t>
            </w:r>
            <w:r w:rsidRPr="00577966">
              <w:t>time</w:t>
            </w:r>
            <w:r>
              <w:t xml:space="preserve"> </w:t>
            </w:r>
            <w:r w:rsidRPr="00577966">
              <w:t>required</w:t>
            </w:r>
            <w:r>
              <w:t xml:space="preserve"> </w:t>
            </w:r>
            <w:r w:rsidRPr="00577966">
              <w:t>for</w:t>
            </w:r>
            <w:r>
              <w:t xml:space="preserve"> </w:t>
            </w:r>
            <w:r w:rsidRPr="00577966">
              <w:t>these</w:t>
            </w:r>
            <w:r>
              <w:t xml:space="preserve"> </w:t>
            </w:r>
            <w:r w:rsidRPr="00577966">
              <w:t>activities</w:t>
            </w:r>
            <w:r>
              <w:t xml:space="preserve"> </w:t>
            </w:r>
            <w:r w:rsidRPr="00577966">
              <w:t>is</w:t>
            </w:r>
            <w:r>
              <w:t xml:space="preserve"> </w:t>
            </w:r>
            <w:r w:rsidRPr="00577966">
              <w:t>three</w:t>
            </w:r>
            <w:r>
              <w:t xml:space="preserve"> </w:t>
            </w:r>
            <w:r w:rsidRPr="00577966">
              <w:t>hours</w:t>
            </w:r>
            <w:r>
              <w:t xml:space="preserve"> </w:t>
            </w:r>
            <w:r w:rsidRPr="00577966">
              <w:t>where</w:t>
            </w:r>
            <w:r>
              <w:t xml:space="preserve"> </w:t>
            </w:r>
            <w:r w:rsidRPr="00577966">
              <w:t>the</w:t>
            </w:r>
            <w:r>
              <w:t xml:space="preserve"> </w:t>
            </w:r>
            <w:r w:rsidRPr="00577966">
              <w:t>insulation</w:t>
            </w:r>
            <w:r>
              <w:t xml:space="preserve"> </w:t>
            </w:r>
            <w:r w:rsidRPr="00577966">
              <w:t>is</w:t>
            </w:r>
            <w:r>
              <w:t xml:space="preserve"> </w:t>
            </w:r>
            <w:r w:rsidRPr="00577966">
              <w:t>being</w:t>
            </w:r>
            <w:r>
              <w:t xml:space="preserve"> </w:t>
            </w:r>
            <w:r w:rsidRPr="00577966">
              <w:t>installed</w:t>
            </w:r>
            <w:r>
              <w:t xml:space="preserve"> </w:t>
            </w:r>
            <w:r w:rsidRPr="00577966">
              <w:t>by</w:t>
            </w:r>
            <w:r>
              <w:t xml:space="preserve"> </w:t>
            </w:r>
            <w:r w:rsidRPr="00577966">
              <w:t>a</w:t>
            </w:r>
            <w:r>
              <w:t xml:space="preserve"> </w:t>
            </w:r>
            <w:r w:rsidRPr="00577966">
              <w:t>professional</w:t>
            </w:r>
            <w:r>
              <w:t xml:space="preserve"> </w:t>
            </w:r>
            <w:r w:rsidRPr="00577966">
              <w:t>and</w:t>
            </w:r>
            <w:r>
              <w:t xml:space="preserve"> </w:t>
            </w:r>
            <w:r w:rsidRPr="00577966">
              <w:t>one</w:t>
            </w:r>
            <w:r>
              <w:t xml:space="preserve"> </w:t>
            </w:r>
            <w:r w:rsidRPr="00577966">
              <w:t>and</w:t>
            </w:r>
            <w:r>
              <w:t xml:space="preserve"> </w:t>
            </w:r>
            <w:r w:rsidRPr="00577966">
              <w:t>a</w:t>
            </w:r>
            <w:r>
              <w:t xml:space="preserve"> </w:t>
            </w:r>
            <w:r w:rsidRPr="00577966">
              <w:t>half</w:t>
            </w:r>
            <w:r>
              <w:t xml:space="preserve"> </w:t>
            </w:r>
            <w:r w:rsidRPr="00577966">
              <w:t>hours</w:t>
            </w:r>
            <w:r>
              <w:t xml:space="preserve"> </w:t>
            </w:r>
            <w:r w:rsidRPr="00577966">
              <w:t>where</w:t>
            </w:r>
            <w:r>
              <w:t xml:space="preserve"> </w:t>
            </w:r>
            <w:r w:rsidRPr="00577966">
              <w:t>the</w:t>
            </w:r>
            <w:r>
              <w:t xml:space="preserve"> </w:t>
            </w:r>
            <w:r w:rsidRPr="00577966">
              <w:t>insulation</w:t>
            </w:r>
            <w:r>
              <w:t xml:space="preserve"> </w:t>
            </w:r>
            <w:r w:rsidRPr="00577966">
              <w:t>is</w:t>
            </w:r>
            <w:r>
              <w:t xml:space="preserve"> </w:t>
            </w:r>
            <w:r w:rsidRPr="00577966">
              <w:t>being</w:t>
            </w:r>
            <w:r>
              <w:t xml:space="preserve"> </w:t>
            </w:r>
            <w:r w:rsidRPr="00577966">
              <w:t>installed</w:t>
            </w:r>
            <w:r>
              <w:t xml:space="preserve"> </w:t>
            </w:r>
            <w:r w:rsidRPr="00577966">
              <w:t>by</w:t>
            </w:r>
            <w:r>
              <w:t xml:space="preserve"> </w:t>
            </w:r>
            <w:r w:rsidRPr="00577966">
              <w:t>a</w:t>
            </w:r>
            <w:r>
              <w:t xml:space="preserve"> </w:t>
            </w:r>
            <w:r w:rsidRPr="00577966">
              <w:t>DIYer</w:t>
            </w:r>
            <w:r>
              <w:t xml:space="preserve"> (reflecting time taken to source materials, rather than sourcing an installer)</w:t>
            </w:r>
            <w:r w:rsidRPr="00577966">
              <w:t>.</w:t>
            </w:r>
            <w:r>
              <w:t xml:space="preserve"> </w:t>
            </w:r>
            <w:r w:rsidRPr="00577966">
              <w:t>To</w:t>
            </w:r>
            <w:r>
              <w:t xml:space="preserve"> </w:t>
            </w:r>
            <w:r w:rsidRPr="00577966">
              <w:t>value</w:t>
            </w:r>
            <w:r>
              <w:t xml:space="preserve"> </w:t>
            </w:r>
            <w:r w:rsidRPr="00577966">
              <w:t>this</w:t>
            </w:r>
            <w:r>
              <w:t xml:space="preserve"> </w:t>
            </w:r>
            <w:r w:rsidRPr="00577966">
              <w:t>time,</w:t>
            </w:r>
            <w:r>
              <w:t xml:space="preserve"> </w:t>
            </w:r>
            <w:r w:rsidRPr="00577966">
              <w:t>we</w:t>
            </w:r>
            <w:r>
              <w:t xml:space="preserve"> </w:t>
            </w:r>
            <w:r w:rsidRPr="00577966">
              <w:t>use</w:t>
            </w:r>
            <w:r>
              <w:t xml:space="preserve"> </w:t>
            </w:r>
            <w:r w:rsidRPr="00577966">
              <w:t>the</w:t>
            </w:r>
            <w:r>
              <w:t xml:space="preserve"> </w:t>
            </w:r>
            <w:r w:rsidRPr="00577966">
              <w:t>following</w:t>
            </w:r>
            <w:r>
              <w:t xml:space="preserve"> </w:t>
            </w:r>
            <w:r w:rsidRPr="00577966">
              <w:t>data</w:t>
            </w:r>
            <w:r>
              <w:t xml:space="preserve"> </w:t>
            </w:r>
            <w:r w:rsidRPr="00577966">
              <w:t>and</w:t>
            </w:r>
            <w:r>
              <w:t xml:space="preserve"> </w:t>
            </w:r>
            <w:r w:rsidRPr="00577966">
              <w:t>assumptions:</w:t>
            </w:r>
          </w:p>
          <w:p w14:paraId="6039791E" w14:textId="77777777" w:rsidR="00676882" w:rsidRPr="00577966" w:rsidRDefault="00676882" w:rsidP="00DF45FA">
            <w:pPr>
              <w:pStyle w:val="Tablelistnumber2"/>
              <w:tabs>
                <w:tab w:val="clear" w:pos="360"/>
              </w:tabs>
              <w:ind w:left="680" w:hanging="340"/>
            </w:pPr>
            <w:r w:rsidRPr="00577966">
              <w:t>92% rental</w:t>
            </w:r>
            <w:r>
              <w:t xml:space="preserve"> </w:t>
            </w:r>
            <w:r w:rsidRPr="00577966">
              <w:t>properties</w:t>
            </w:r>
            <w:r>
              <w:t xml:space="preserve"> </w:t>
            </w:r>
            <w:r w:rsidRPr="00577966">
              <w:t>are</w:t>
            </w:r>
            <w:r>
              <w:t xml:space="preserve"> </w:t>
            </w:r>
            <w:r w:rsidRPr="00577966">
              <w:t>managed</w:t>
            </w:r>
            <w:r>
              <w:t xml:space="preserve"> </w:t>
            </w:r>
            <w:r w:rsidRPr="00577966">
              <w:t>by</w:t>
            </w:r>
            <w:r>
              <w:t xml:space="preserve"> </w:t>
            </w:r>
            <w:r w:rsidRPr="00577966">
              <w:t>real</w:t>
            </w:r>
            <w:r>
              <w:t xml:space="preserve"> </w:t>
            </w:r>
            <w:r w:rsidRPr="00577966">
              <w:t>estate</w:t>
            </w:r>
            <w:r>
              <w:t xml:space="preserve"> </w:t>
            </w:r>
            <w:r w:rsidRPr="00577966">
              <w:t>agents</w:t>
            </w:r>
            <w:r>
              <w:t xml:space="preserve"> </w:t>
            </w:r>
            <w:r w:rsidRPr="00577966">
              <w:t>and</w:t>
            </w:r>
            <w:r>
              <w:t xml:space="preserve"> </w:t>
            </w:r>
            <w:r w:rsidRPr="00577966">
              <w:t>8% are</w:t>
            </w:r>
            <w:r>
              <w:t xml:space="preserve"> </w:t>
            </w:r>
            <w:r w:rsidRPr="00577966">
              <w:t>managed</w:t>
            </w:r>
            <w:r>
              <w:t xml:space="preserve"> </w:t>
            </w:r>
            <w:r w:rsidRPr="00577966">
              <w:t>by</w:t>
            </w:r>
            <w:r>
              <w:t xml:space="preserve"> </w:t>
            </w:r>
            <w:r w:rsidRPr="00577966">
              <w:t>the</w:t>
            </w:r>
            <w:r>
              <w:t xml:space="preserve"> </w:t>
            </w:r>
            <w:r w:rsidRPr="00577966">
              <w:t>owners</w:t>
            </w:r>
            <w:r>
              <w:t xml:space="preserve"> </w:t>
            </w:r>
            <w:r w:rsidRPr="00577966">
              <w:t>of</w:t>
            </w:r>
            <w:r>
              <w:t xml:space="preserve"> </w:t>
            </w:r>
            <w:r w:rsidRPr="00577966">
              <w:t>the</w:t>
            </w:r>
            <w:r>
              <w:t xml:space="preserve"> </w:t>
            </w:r>
            <w:r w:rsidRPr="00577966">
              <w:t>property</w:t>
            </w:r>
            <w:r>
              <w:t xml:space="preserve"> </w:t>
            </w:r>
            <w:r w:rsidRPr="00577966">
              <w:t>(as</w:t>
            </w:r>
            <w:r>
              <w:t xml:space="preserve"> </w:t>
            </w:r>
            <w:r w:rsidRPr="00577966">
              <w:t>per</w:t>
            </w:r>
            <w:r>
              <w:t xml:space="preserve"> </w:t>
            </w:r>
            <w:r w:rsidRPr="00577966">
              <w:t>REIACT)</w:t>
            </w:r>
          </w:p>
          <w:p w14:paraId="17E8621F" w14:textId="77777777" w:rsidR="00676882" w:rsidRPr="00577966" w:rsidRDefault="00676882" w:rsidP="00DF45FA">
            <w:pPr>
              <w:pStyle w:val="Tablelistnumber2"/>
              <w:tabs>
                <w:tab w:val="clear" w:pos="360"/>
              </w:tabs>
              <w:ind w:left="680" w:hanging="340"/>
            </w:pPr>
            <w:r w:rsidRPr="00577966">
              <w:t>the</w:t>
            </w:r>
            <w:r>
              <w:t xml:space="preserve"> </w:t>
            </w:r>
            <w:r w:rsidRPr="00577966">
              <w:t>time</w:t>
            </w:r>
            <w:r>
              <w:t xml:space="preserve"> </w:t>
            </w:r>
            <w:r w:rsidRPr="00577966">
              <w:t>of</w:t>
            </w:r>
            <w:r>
              <w:t xml:space="preserve"> </w:t>
            </w:r>
            <w:r w:rsidRPr="00577966">
              <w:t>real</w:t>
            </w:r>
            <w:r>
              <w:t xml:space="preserve"> </w:t>
            </w:r>
            <w:r w:rsidRPr="00577966">
              <w:t>estate</w:t>
            </w:r>
            <w:r>
              <w:t xml:space="preserve"> </w:t>
            </w:r>
            <w:r w:rsidRPr="00577966">
              <w:t>agents</w:t>
            </w:r>
            <w:r>
              <w:t xml:space="preserve"> </w:t>
            </w:r>
            <w:r w:rsidRPr="00577966">
              <w:t>will</w:t>
            </w:r>
            <w:r>
              <w:t xml:space="preserve"> </w:t>
            </w:r>
            <w:r w:rsidRPr="00577966">
              <w:t>be</w:t>
            </w:r>
            <w:r>
              <w:t xml:space="preserve"> </w:t>
            </w:r>
            <w:r w:rsidRPr="00577966">
              <w:t>costed</w:t>
            </w:r>
            <w:r>
              <w:t xml:space="preserve"> </w:t>
            </w:r>
            <w:r w:rsidRPr="00577966">
              <w:t>using</w:t>
            </w:r>
            <w:r>
              <w:t xml:space="preserve"> </w:t>
            </w:r>
            <w:r w:rsidRPr="00577966">
              <w:t>the</w:t>
            </w:r>
            <w:r>
              <w:t xml:space="preserve"> </w:t>
            </w:r>
            <w:r w:rsidRPr="00577966">
              <w:t>average</w:t>
            </w:r>
            <w:r>
              <w:t xml:space="preserve"> </w:t>
            </w:r>
            <w:r w:rsidRPr="00577966">
              <w:t>annual</w:t>
            </w:r>
            <w:r>
              <w:t xml:space="preserve"> </w:t>
            </w:r>
            <w:r w:rsidRPr="00577966">
              <w:t>earnings</w:t>
            </w:r>
            <w:r>
              <w:t xml:space="preserve"> </w:t>
            </w:r>
            <w:r w:rsidRPr="00577966">
              <w:t>of</w:t>
            </w:r>
            <w:r>
              <w:t xml:space="preserve"> </w:t>
            </w:r>
            <w:r w:rsidRPr="00577966">
              <w:t>a</w:t>
            </w:r>
            <w:r>
              <w:t xml:space="preserve"> </w:t>
            </w:r>
            <w:r w:rsidRPr="00577966">
              <w:t>real</w:t>
            </w:r>
            <w:r>
              <w:t xml:space="preserve"> </w:t>
            </w:r>
            <w:r w:rsidRPr="00577966">
              <w:t>estate</w:t>
            </w:r>
            <w:r>
              <w:t xml:space="preserve"> </w:t>
            </w:r>
            <w:r w:rsidRPr="00577966">
              <w:t>agent</w:t>
            </w:r>
            <w:r>
              <w:t xml:space="preserve"> </w:t>
            </w:r>
            <w:r w:rsidRPr="00577966">
              <w:t>in</w:t>
            </w:r>
            <w:r>
              <w:t xml:space="preserve"> </w:t>
            </w:r>
            <w:r w:rsidRPr="00577966">
              <w:t>ACT</w:t>
            </w:r>
            <w:r>
              <w:t xml:space="preserve"> </w:t>
            </w:r>
            <w:r w:rsidRPr="00577966">
              <w:t>(</w:t>
            </w:r>
            <w:r>
              <w:t>$35 per hour</w:t>
            </w:r>
            <w:r w:rsidRPr="00577966">
              <w:t>)</w:t>
            </w:r>
            <w:r>
              <w:t>. As noted above, in some cases, this cost will be passed through to rental providers. However, this is a distributional aspect, rather than pertinent to the net impact of the options.</w:t>
            </w:r>
          </w:p>
          <w:p w14:paraId="4908FA28" w14:textId="77777777" w:rsidR="00676882" w:rsidRPr="00577966" w:rsidRDefault="00676882" w:rsidP="00DF45FA">
            <w:pPr>
              <w:pStyle w:val="Tablelistnumber2"/>
              <w:tabs>
                <w:tab w:val="clear" w:pos="360"/>
              </w:tabs>
              <w:ind w:left="680" w:hanging="340"/>
            </w:pPr>
            <w:r w:rsidRPr="00577966">
              <w:t>the</w:t>
            </w:r>
            <w:r>
              <w:t xml:space="preserve"> </w:t>
            </w:r>
            <w:r w:rsidRPr="00577966">
              <w:t>time</w:t>
            </w:r>
            <w:r>
              <w:t xml:space="preserve"> </w:t>
            </w:r>
            <w:r w:rsidRPr="00577966">
              <w:t>of</w:t>
            </w:r>
            <w:r>
              <w:t xml:space="preserve"> </w:t>
            </w:r>
            <w:r w:rsidRPr="00577966">
              <w:t>property</w:t>
            </w:r>
            <w:r>
              <w:t xml:space="preserve"> </w:t>
            </w:r>
            <w:r w:rsidRPr="00577966">
              <w:t>owners</w:t>
            </w:r>
            <w:r>
              <w:t xml:space="preserve"> </w:t>
            </w:r>
            <w:r w:rsidRPr="00577966">
              <w:t>will</w:t>
            </w:r>
            <w:r>
              <w:t xml:space="preserve"> </w:t>
            </w:r>
            <w:r w:rsidRPr="00577966">
              <w:t>be</w:t>
            </w:r>
            <w:r>
              <w:t xml:space="preserve"> </w:t>
            </w:r>
            <w:r w:rsidRPr="00577966">
              <w:t>monetised</w:t>
            </w:r>
            <w:r>
              <w:t xml:space="preserve"> </w:t>
            </w:r>
            <w:r w:rsidRPr="00577966">
              <w:t>using</w:t>
            </w:r>
            <w:r>
              <w:t xml:space="preserve"> </w:t>
            </w:r>
            <w:r w:rsidRPr="00577966">
              <w:t>estimates</w:t>
            </w:r>
            <w:r>
              <w:t xml:space="preserve"> </w:t>
            </w:r>
            <w:r w:rsidRPr="00577966">
              <w:t>of</w:t>
            </w:r>
            <w:r>
              <w:t xml:space="preserve"> </w:t>
            </w:r>
            <w:r w:rsidRPr="00577966">
              <w:t>average</w:t>
            </w:r>
            <w:r>
              <w:t xml:space="preserve"> </w:t>
            </w:r>
            <w:r w:rsidRPr="00577966">
              <w:t>weekly</w:t>
            </w:r>
            <w:r>
              <w:t xml:space="preserve"> </w:t>
            </w:r>
            <w:r w:rsidRPr="00577966">
              <w:t>earnings</w:t>
            </w:r>
            <w:r>
              <w:t xml:space="preserve"> ($49) from </w:t>
            </w:r>
            <w:r w:rsidRPr="00577966">
              <w:t>ABS</w:t>
            </w:r>
            <w:r>
              <w:t xml:space="preserve"> </w:t>
            </w:r>
            <w:r w:rsidRPr="00577966">
              <w:t>for</w:t>
            </w:r>
            <w:r>
              <w:t xml:space="preserve"> </w:t>
            </w:r>
            <w:r w:rsidRPr="00577966">
              <w:t>the</w:t>
            </w:r>
            <w:r>
              <w:t xml:space="preserve"> </w:t>
            </w:r>
            <w:r w:rsidRPr="00577966">
              <w:t>ACT</w:t>
            </w:r>
            <w:r>
              <w:t>.</w:t>
            </w:r>
          </w:p>
          <w:p w14:paraId="7871A187" w14:textId="77777777" w:rsidR="00676882" w:rsidRPr="00577966" w:rsidRDefault="00676882" w:rsidP="00DF45FA">
            <w:pPr>
              <w:pStyle w:val="Tablelistnumber"/>
            </w:pPr>
            <w:r w:rsidRPr="00577966">
              <w:lastRenderedPageBreak/>
              <w:t>It</w:t>
            </w:r>
            <w:r>
              <w:t xml:space="preserve"> </w:t>
            </w:r>
            <w:r w:rsidRPr="00577966">
              <w:t>is</w:t>
            </w:r>
            <w:r>
              <w:t xml:space="preserve"> </w:t>
            </w:r>
            <w:r w:rsidRPr="00577966">
              <w:t>assumed</w:t>
            </w:r>
            <w:r>
              <w:t xml:space="preserve"> </w:t>
            </w:r>
            <w:r w:rsidRPr="00577966">
              <w:t>that</w:t>
            </w:r>
            <w:r>
              <w:t xml:space="preserve"> </w:t>
            </w:r>
            <w:r w:rsidRPr="00577966">
              <w:t>the</w:t>
            </w:r>
            <w:r>
              <w:t xml:space="preserve"> </w:t>
            </w:r>
            <w:r w:rsidRPr="00577966">
              <w:t>installation</w:t>
            </w:r>
            <w:r>
              <w:t xml:space="preserve"> </w:t>
            </w:r>
            <w:r w:rsidRPr="00577966">
              <w:t>of</w:t>
            </w:r>
            <w:r>
              <w:t xml:space="preserve"> </w:t>
            </w:r>
            <w:r w:rsidRPr="00577966">
              <w:t>insulation</w:t>
            </w:r>
            <w:r>
              <w:t xml:space="preserve"> </w:t>
            </w:r>
            <w:r w:rsidRPr="00577966">
              <w:t>can</w:t>
            </w:r>
            <w:r>
              <w:t xml:space="preserve"> </w:t>
            </w:r>
            <w:r w:rsidRPr="00577966">
              <w:t>occur</w:t>
            </w:r>
            <w:r>
              <w:t xml:space="preserve"> </w:t>
            </w:r>
            <w:r w:rsidRPr="00577966">
              <w:t>while</w:t>
            </w:r>
            <w:r>
              <w:t xml:space="preserve"> </w:t>
            </w:r>
            <w:r w:rsidRPr="00577966">
              <w:t>the</w:t>
            </w:r>
            <w:r>
              <w:t xml:space="preserve"> </w:t>
            </w:r>
            <w:r w:rsidRPr="00577966">
              <w:t>property</w:t>
            </w:r>
            <w:r>
              <w:t xml:space="preserve"> </w:t>
            </w:r>
            <w:r w:rsidRPr="00577966">
              <w:t>is</w:t>
            </w:r>
            <w:r>
              <w:t xml:space="preserve"> </w:t>
            </w:r>
            <w:r w:rsidRPr="00577966">
              <w:t>rented</w:t>
            </w:r>
            <w:r>
              <w:t xml:space="preserve"> </w:t>
            </w:r>
            <w:r w:rsidRPr="00577966">
              <w:t>so</w:t>
            </w:r>
            <w:r>
              <w:t xml:space="preserve"> </w:t>
            </w:r>
            <w:r w:rsidRPr="00577966">
              <w:t>it</w:t>
            </w:r>
            <w:r>
              <w:t xml:space="preserve"> </w:t>
            </w:r>
            <w:r w:rsidRPr="00577966">
              <w:t>is</w:t>
            </w:r>
            <w:r>
              <w:t xml:space="preserve"> </w:t>
            </w:r>
            <w:r w:rsidRPr="00577966">
              <w:t>assumed</w:t>
            </w:r>
            <w:r>
              <w:t xml:space="preserve"> </w:t>
            </w:r>
            <w:r w:rsidRPr="00577966">
              <w:t>that</w:t>
            </w:r>
            <w:r>
              <w:t xml:space="preserve"> </w:t>
            </w:r>
            <w:r w:rsidRPr="00577966">
              <w:t>there</w:t>
            </w:r>
            <w:r>
              <w:t xml:space="preserve"> </w:t>
            </w:r>
            <w:r w:rsidRPr="00577966">
              <w:t>will</w:t>
            </w:r>
            <w:r>
              <w:t xml:space="preserve"> </w:t>
            </w:r>
            <w:r w:rsidRPr="00577966">
              <w:t>be</w:t>
            </w:r>
            <w:r>
              <w:t xml:space="preserve"> </w:t>
            </w:r>
            <w:r w:rsidRPr="00577966">
              <w:t>no</w:t>
            </w:r>
            <w:r>
              <w:t xml:space="preserve"> </w:t>
            </w:r>
            <w:r w:rsidRPr="00577966">
              <w:t>loss</w:t>
            </w:r>
            <w:r>
              <w:t xml:space="preserve"> </w:t>
            </w:r>
            <w:r w:rsidRPr="00577966">
              <w:t>in</w:t>
            </w:r>
            <w:r>
              <w:t xml:space="preserve"> </w:t>
            </w:r>
            <w:r w:rsidRPr="00577966">
              <w:t>rental</w:t>
            </w:r>
            <w:r>
              <w:t xml:space="preserve"> </w:t>
            </w:r>
            <w:r w:rsidRPr="00577966">
              <w:t>income</w:t>
            </w:r>
            <w:r>
              <w:t xml:space="preserve"> </w:t>
            </w:r>
            <w:r w:rsidRPr="00577966">
              <w:t>for</w:t>
            </w:r>
            <w:r>
              <w:t xml:space="preserve"> </w:t>
            </w:r>
            <w:r w:rsidRPr="00577966">
              <w:t>rental</w:t>
            </w:r>
            <w:r>
              <w:t xml:space="preserve"> </w:t>
            </w:r>
            <w:r w:rsidRPr="00577966">
              <w:t>providers.</w:t>
            </w:r>
          </w:p>
          <w:p w14:paraId="3A4E9F72" w14:textId="77777777" w:rsidR="00676882" w:rsidRPr="00577966" w:rsidRDefault="00676882" w:rsidP="00DF45FA">
            <w:pPr>
              <w:pStyle w:val="Tablelistnumber"/>
            </w:pPr>
            <w:r w:rsidRPr="00577966">
              <w:t>It</w:t>
            </w:r>
            <w:r>
              <w:t xml:space="preserve"> </w:t>
            </w:r>
            <w:r w:rsidRPr="00577966">
              <w:t>is</w:t>
            </w:r>
            <w:r>
              <w:t xml:space="preserve"> </w:t>
            </w:r>
            <w:r w:rsidRPr="00577966">
              <w:t>assumed</w:t>
            </w:r>
            <w:r>
              <w:t xml:space="preserve"> </w:t>
            </w:r>
            <w:r w:rsidRPr="00577966">
              <w:t>that</w:t>
            </w:r>
            <w:r>
              <w:t xml:space="preserve"> </w:t>
            </w:r>
            <w:r w:rsidRPr="00577966">
              <w:t>there</w:t>
            </w:r>
            <w:r>
              <w:t xml:space="preserve"> </w:t>
            </w:r>
            <w:r w:rsidRPr="00577966">
              <w:t>are</w:t>
            </w:r>
            <w:r>
              <w:t xml:space="preserve"> </w:t>
            </w:r>
            <w:r w:rsidRPr="00577966">
              <w:t>no</w:t>
            </w:r>
            <w:r>
              <w:t xml:space="preserve"> </w:t>
            </w:r>
            <w:r w:rsidRPr="00577966">
              <w:t>ongoing</w:t>
            </w:r>
            <w:r>
              <w:t xml:space="preserve"> </w:t>
            </w:r>
            <w:r w:rsidRPr="00577966">
              <w:t>costs</w:t>
            </w:r>
            <w:r>
              <w:t xml:space="preserve"> </w:t>
            </w:r>
            <w:r w:rsidRPr="00577966">
              <w:t>of</w:t>
            </w:r>
            <w:r>
              <w:t xml:space="preserve"> </w:t>
            </w:r>
            <w:r w:rsidRPr="00577966">
              <w:t>maintenance/servicing</w:t>
            </w:r>
            <w:r>
              <w:t xml:space="preserve"> </w:t>
            </w:r>
            <w:r w:rsidRPr="00577966">
              <w:t>the</w:t>
            </w:r>
            <w:r>
              <w:t xml:space="preserve"> </w:t>
            </w:r>
            <w:r w:rsidRPr="00577966">
              <w:t>installed</w:t>
            </w:r>
            <w:r>
              <w:t xml:space="preserve"> </w:t>
            </w:r>
            <w:r w:rsidRPr="00577966">
              <w:t>insulation.</w:t>
            </w:r>
            <w:r>
              <w:t xml:space="preserve"> </w:t>
            </w:r>
          </w:p>
          <w:p w14:paraId="7547A55D" w14:textId="77777777" w:rsidR="00676882" w:rsidRPr="00577966" w:rsidRDefault="00676882" w:rsidP="00DF45FA">
            <w:pPr>
              <w:pStyle w:val="Tablelistnumber"/>
            </w:pPr>
            <w:r w:rsidRPr="00577966">
              <w:t>It</w:t>
            </w:r>
            <w:r>
              <w:t xml:space="preserve"> </w:t>
            </w:r>
            <w:r w:rsidRPr="00577966">
              <w:t>is</w:t>
            </w:r>
            <w:r>
              <w:t xml:space="preserve"> </w:t>
            </w:r>
            <w:r w:rsidRPr="00577966">
              <w:t>assumed</w:t>
            </w:r>
            <w:r>
              <w:t xml:space="preserve"> </w:t>
            </w:r>
            <w:r w:rsidRPr="00577966">
              <w:t>that</w:t>
            </w:r>
            <w:r>
              <w:t xml:space="preserve"> </w:t>
            </w:r>
            <w:r w:rsidRPr="00577966">
              <w:t>the</w:t>
            </w:r>
            <w:r>
              <w:t xml:space="preserve"> </w:t>
            </w:r>
            <w:r w:rsidRPr="00577966">
              <w:t>costs</w:t>
            </w:r>
            <w:r>
              <w:t xml:space="preserve"> </w:t>
            </w:r>
            <w:r w:rsidRPr="00577966">
              <w:t>of</w:t>
            </w:r>
            <w:r>
              <w:t xml:space="preserve"> </w:t>
            </w:r>
            <w:r w:rsidRPr="00577966">
              <w:t>insulation</w:t>
            </w:r>
            <w:r>
              <w:t xml:space="preserve"> </w:t>
            </w:r>
            <w:r w:rsidRPr="00577966">
              <w:t>remain</w:t>
            </w:r>
            <w:r>
              <w:t xml:space="preserve"> </w:t>
            </w:r>
            <w:r w:rsidRPr="00577966">
              <w:t>constant</w:t>
            </w:r>
            <w:r>
              <w:t xml:space="preserve"> </w:t>
            </w:r>
            <w:r w:rsidRPr="00577966">
              <w:t>in</w:t>
            </w:r>
            <w:r>
              <w:t xml:space="preserve"> </w:t>
            </w:r>
            <w:r w:rsidRPr="00577966">
              <w:t>real</w:t>
            </w:r>
            <w:r>
              <w:t xml:space="preserve"> </w:t>
            </w:r>
            <w:r w:rsidRPr="00577966">
              <w:t>terms</w:t>
            </w:r>
            <w:r>
              <w:t xml:space="preserve"> </w:t>
            </w:r>
            <w:r w:rsidRPr="00577966">
              <w:t>over</w:t>
            </w:r>
            <w:r>
              <w:t xml:space="preserve"> </w:t>
            </w:r>
            <w:r w:rsidRPr="00577966">
              <w:t>the</w:t>
            </w:r>
            <w:r>
              <w:t xml:space="preserve"> </w:t>
            </w:r>
            <w:r w:rsidRPr="00577966">
              <w:t>analysis</w:t>
            </w:r>
            <w:r>
              <w:t xml:space="preserve"> </w:t>
            </w:r>
            <w:r w:rsidRPr="00577966">
              <w:t>period</w:t>
            </w:r>
            <w:r>
              <w:t xml:space="preserve"> </w:t>
            </w:r>
            <w:r w:rsidRPr="00577966">
              <w:t>(</w:t>
            </w:r>
            <w:proofErr w:type="gramStart"/>
            <w:r w:rsidRPr="00577966">
              <w:t>i.e.</w:t>
            </w:r>
            <w:proofErr w:type="gramEnd"/>
            <w:r>
              <w:t xml:space="preserve"> </w:t>
            </w:r>
            <w:r w:rsidRPr="00577966">
              <w:t>we</w:t>
            </w:r>
            <w:r>
              <w:t xml:space="preserve"> </w:t>
            </w:r>
            <w:r w:rsidRPr="00577966">
              <w:t>will</w:t>
            </w:r>
            <w:r>
              <w:t xml:space="preserve"> </w:t>
            </w:r>
            <w:r w:rsidRPr="00577966">
              <w:t>not</w:t>
            </w:r>
            <w:r>
              <w:t xml:space="preserve"> </w:t>
            </w:r>
            <w:r w:rsidRPr="00577966">
              <w:t>include</w:t>
            </w:r>
            <w:r>
              <w:t xml:space="preserve"> </w:t>
            </w:r>
            <w:r w:rsidRPr="00577966">
              <w:t>learning</w:t>
            </w:r>
            <w:r>
              <w:t xml:space="preserve"> </w:t>
            </w:r>
            <w:r w:rsidRPr="00577966">
              <w:t>rates</w:t>
            </w:r>
            <w:r>
              <w:t xml:space="preserve"> </w:t>
            </w:r>
            <w:r w:rsidRPr="00577966">
              <w:t>in</w:t>
            </w:r>
            <w:r>
              <w:t xml:space="preserve"> </w:t>
            </w:r>
            <w:r w:rsidRPr="00577966">
              <w:t>the</w:t>
            </w:r>
            <w:r>
              <w:t xml:space="preserve"> </w:t>
            </w:r>
            <w:r w:rsidRPr="00577966">
              <w:t>analysis).</w:t>
            </w:r>
          </w:p>
          <w:p w14:paraId="589FCF87" w14:textId="77777777" w:rsidR="00676882" w:rsidRPr="00577966" w:rsidRDefault="00676882" w:rsidP="00DF45FA">
            <w:pPr>
              <w:pStyle w:val="Tablelistnumber"/>
            </w:pPr>
            <w:r w:rsidRPr="00577966">
              <w:t>It</w:t>
            </w:r>
            <w:r>
              <w:t xml:space="preserve"> </w:t>
            </w:r>
            <w:r w:rsidRPr="00577966">
              <w:t>is</w:t>
            </w:r>
            <w:r>
              <w:t xml:space="preserve"> </w:t>
            </w:r>
            <w:r w:rsidRPr="00577966">
              <w:t>assumed</w:t>
            </w:r>
            <w:r>
              <w:t xml:space="preserve"> </w:t>
            </w:r>
            <w:r w:rsidRPr="00577966">
              <w:t>that</w:t>
            </w:r>
            <w:r>
              <w:t xml:space="preserve"> </w:t>
            </w:r>
            <w:r w:rsidRPr="00577966">
              <w:t>rental</w:t>
            </w:r>
            <w:r>
              <w:t xml:space="preserve"> </w:t>
            </w:r>
            <w:r w:rsidRPr="00577966">
              <w:t>properties</w:t>
            </w:r>
            <w:r>
              <w:t xml:space="preserve"> </w:t>
            </w:r>
            <w:r w:rsidRPr="00577966">
              <w:t>are</w:t>
            </w:r>
            <w:r>
              <w:t xml:space="preserve"> </w:t>
            </w:r>
            <w:r w:rsidRPr="00577966">
              <w:t>subject</w:t>
            </w:r>
            <w:r>
              <w:t xml:space="preserve"> </w:t>
            </w:r>
            <w:r w:rsidRPr="00577966">
              <w:t>to</w:t>
            </w:r>
            <w:r>
              <w:t xml:space="preserve"> </w:t>
            </w:r>
            <w:r w:rsidRPr="00577966">
              <w:t>the</w:t>
            </w:r>
            <w:r>
              <w:t xml:space="preserve"> </w:t>
            </w:r>
            <w:r w:rsidRPr="00577966">
              <w:t>policy</w:t>
            </w:r>
            <w:r>
              <w:t xml:space="preserve"> </w:t>
            </w:r>
            <w:r w:rsidRPr="00577966">
              <w:t>requirements</w:t>
            </w:r>
            <w:r>
              <w:t xml:space="preserve"> </w:t>
            </w:r>
            <w:r w:rsidRPr="00577966">
              <w:t>either:</w:t>
            </w:r>
          </w:p>
          <w:p w14:paraId="05E959DE" w14:textId="77777777" w:rsidR="00676882" w:rsidRPr="00577966" w:rsidRDefault="00676882" w:rsidP="00DF45FA">
            <w:pPr>
              <w:pStyle w:val="Tablelistnumber2"/>
              <w:tabs>
                <w:tab w:val="clear" w:pos="360"/>
              </w:tabs>
              <w:ind w:left="680" w:hanging="340"/>
            </w:pPr>
            <w:r w:rsidRPr="00577966">
              <w:t>For</w:t>
            </w:r>
            <w:r>
              <w:t xml:space="preserve"> </w:t>
            </w:r>
            <w:r w:rsidRPr="00577966">
              <w:t>existing</w:t>
            </w:r>
            <w:r>
              <w:t xml:space="preserve"> </w:t>
            </w:r>
            <w:r w:rsidRPr="00577966">
              <w:t>(rolling) tenancies,</w:t>
            </w:r>
            <w:r>
              <w:t xml:space="preserve"> </w:t>
            </w:r>
            <w:r w:rsidRPr="00577966">
              <w:t>drawing</w:t>
            </w:r>
            <w:r>
              <w:t xml:space="preserve"> </w:t>
            </w:r>
            <w:r w:rsidRPr="00577966">
              <w:t>on</w:t>
            </w:r>
            <w:r>
              <w:t xml:space="preserve"> </w:t>
            </w:r>
            <w:r w:rsidRPr="00577966">
              <w:t>the</w:t>
            </w:r>
            <w:r>
              <w:t xml:space="preserve"> </w:t>
            </w:r>
            <w:r w:rsidRPr="00577966">
              <w:t>Poisson-distribution</w:t>
            </w:r>
            <w:r>
              <w:t xml:space="preserve"> </w:t>
            </w:r>
            <w:r w:rsidRPr="00577966">
              <w:t>of</w:t>
            </w:r>
            <w:r>
              <w:t xml:space="preserve"> </w:t>
            </w:r>
            <w:r w:rsidRPr="00577966">
              <w:t>tenancy</w:t>
            </w:r>
            <w:r>
              <w:t xml:space="preserve"> </w:t>
            </w:r>
            <w:r w:rsidRPr="00577966">
              <w:t>lengths</w:t>
            </w:r>
            <w:r>
              <w:t xml:space="preserve"> </w:t>
            </w:r>
            <w:r w:rsidRPr="00577966">
              <w:t>for</w:t>
            </w:r>
            <w:r>
              <w:t xml:space="preserve"> </w:t>
            </w:r>
            <w:r w:rsidRPr="00577966">
              <w:t>NSW</w:t>
            </w:r>
            <w:r>
              <w:t xml:space="preserve"> </w:t>
            </w:r>
            <w:r w:rsidRPr="00577966">
              <w:t>properties,</w:t>
            </w:r>
            <w:r>
              <w:t xml:space="preserve"> </w:t>
            </w:r>
            <w:r w:rsidRPr="00577966">
              <w:t>the</w:t>
            </w:r>
            <w:r>
              <w:t xml:space="preserve"> </w:t>
            </w:r>
            <w:r w:rsidRPr="00577966">
              <w:t>cumulative</w:t>
            </w:r>
            <w:r>
              <w:t xml:space="preserve"> </w:t>
            </w:r>
            <w:r w:rsidRPr="00577966">
              <w:t>change</w:t>
            </w:r>
            <w:r>
              <w:t xml:space="preserve"> </w:t>
            </w:r>
            <w:r w:rsidRPr="00577966">
              <w:t>is</w:t>
            </w:r>
            <w:r>
              <w:t xml:space="preserve"> </w:t>
            </w:r>
            <w:r w:rsidRPr="00577966">
              <w:t>given</w:t>
            </w:r>
            <w:r>
              <w:t xml:space="preserve"> </w:t>
            </w:r>
            <w:r w:rsidRPr="00577966">
              <w:t>by</w:t>
            </w:r>
            <w:r>
              <w:t xml:space="preserve"> </w:t>
            </w:r>
            <w:r w:rsidRPr="00577966">
              <w:t>the</w:t>
            </w:r>
            <w:r>
              <w:t xml:space="preserve"> </w:t>
            </w:r>
            <w:r w:rsidRPr="00577966">
              <w:t>(truncated) exponential</w:t>
            </w:r>
            <w:r>
              <w:t xml:space="preserve"> </w:t>
            </w:r>
            <w:r w:rsidRPr="00577966">
              <w:t>distribution:</w:t>
            </w:r>
          </w:p>
          <w:p w14:paraId="64295BBC" w14:textId="77777777" w:rsidR="00676882" w:rsidRPr="00577966" w:rsidRDefault="00676882" w:rsidP="00DF45FA">
            <w:pPr>
              <w:pStyle w:val="Tablelistnumber3"/>
              <w:tabs>
                <w:tab w:val="clear" w:pos="360"/>
              </w:tabs>
              <w:ind w:left="907" w:hanging="227"/>
            </w:pPr>
            <w:r w:rsidRPr="00577966">
              <w:t>Year</w:t>
            </w:r>
            <w:r>
              <w:t xml:space="preserve"> </w:t>
            </w:r>
            <w:r w:rsidRPr="00577966">
              <w:t>1: 59%</w:t>
            </w:r>
          </w:p>
          <w:p w14:paraId="21B11D15" w14:textId="77777777" w:rsidR="00676882" w:rsidRPr="00577966" w:rsidRDefault="00676882" w:rsidP="00DF45FA">
            <w:pPr>
              <w:pStyle w:val="Tablelistnumber3"/>
              <w:tabs>
                <w:tab w:val="clear" w:pos="360"/>
              </w:tabs>
              <w:ind w:left="907" w:hanging="227"/>
            </w:pPr>
            <w:r w:rsidRPr="00577966">
              <w:t>Year</w:t>
            </w:r>
            <w:r>
              <w:t xml:space="preserve"> </w:t>
            </w:r>
            <w:r w:rsidRPr="00577966">
              <w:t xml:space="preserve">2: 83% </w:t>
            </w:r>
          </w:p>
          <w:p w14:paraId="22B563AE" w14:textId="77777777" w:rsidR="00676882" w:rsidRPr="00577966" w:rsidRDefault="00676882" w:rsidP="00DF45FA">
            <w:pPr>
              <w:pStyle w:val="Tablelistnumber3"/>
              <w:tabs>
                <w:tab w:val="clear" w:pos="360"/>
              </w:tabs>
              <w:ind w:left="907" w:hanging="227"/>
            </w:pPr>
            <w:r w:rsidRPr="00577966">
              <w:t>Year</w:t>
            </w:r>
            <w:r>
              <w:t xml:space="preserve"> </w:t>
            </w:r>
            <w:r w:rsidRPr="00577966">
              <w:t>3: 100% for</w:t>
            </w:r>
            <w:r>
              <w:t xml:space="preserve"> </w:t>
            </w:r>
            <w:r w:rsidRPr="00577966">
              <w:t>the</w:t>
            </w:r>
            <w:r>
              <w:t xml:space="preserve"> </w:t>
            </w:r>
            <w:r w:rsidRPr="00577966">
              <w:t>two</w:t>
            </w:r>
            <w:r>
              <w:t>-</w:t>
            </w:r>
            <w:r w:rsidRPr="00577966">
              <w:t>year</w:t>
            </w:r>
            <w:r>
              <w:t xml:space="preserve"> </w:t>
            </w:r>
            <w:r w:rsidRPr="00577966">
              <w:t>phase-in</w:t>
            </w:r>
            <w:r>
              <w:t xml:space="preserve"> </w:t>
            </w:r>
            <w:r w:rsidRPr="00577966">
              <w:t>or</w:t>
            </w:r>
            <w:r>
              <w:t xml:space="preserve"> </w:t>
            </w:r>
            <w:r w:rsidRPr="00577966">
              <w:t>91% for</w:t>
            </w:r>
            <w:r>
              <w:t xml:space="preserve"> </w:t>
            </w:r>
            <w:r w:rsidRPr="00577966">
              <w:t>the</w:t>
            </w:r>
            <w:r>
              <w:t xml:space="preserve"> </w:t>
            </w:r>
            <w:r w:rsidRPr="00577966">
              <w:t>four-year</w:t>
            </w:r>
            <w:r>
              <w:t xml:space="preserve"> </w:t>
            </w:r>
            <w:r w:rsidRPr="00577966">
              <w:t>phase-in</w:t>
            </w:r>
          </w:p>
          <w:p w14:paraId="23BDD4C4" w14:textId="77777777" w:rsidR="00676882" w:rsidRPr="00577966" w:rsidRDefault="00676882" w:rsidP="00DF45FA">
            <w:pPr>
              <w:pStyle w:val="Tablelistnumber3"/>
              <w:tabs>
                <w:tab w:val="clear" w:pos="360"/>
              </w:tabs>
              <w:ind w:left="907" w:hanging="227"/>
            </w:pPr>
            <w:r w:rsidRPr="00577966">
              <w:t>Year</w:t>
            </w:r>
            <w:r>
              <w:t xml:space="preserve"> </w:t>
            </w:r>
            <w:r w:rsidRPr="00577966">
              <w:t>4: 95% for</w:t>
            </w:r>
            <w:r>
              <w:t xml:space="preserve"> </w:t>
            </w:r>
            <w:r w:rsidRPr="00577966">
              <w:t>the</w:t>
            </w:r>
            <w:r>
              <w:t xml:space="preserve"> </w:t>
            </w:r>
            <w:r w:rsidRPr="00577966">
              <w:t>four-year</w:t>
            </w:r>
            <w:r>
              <w:t xml:space="preserve"> </w:t>
            </w:r>
            <w:r w:rsidRPr="00577966">
              <w:t>phase-in</w:t>
            </w:r>
          </w:p>
          <w:p w14:paraId="449832C7" w14:textId="77777777" w:rsidR="00676882" w:rsidRPr="00577966" w:rsidRDefault="00676882" w:rsidP="00DF45FA">
            <w:pPr>
              <w:pStyle w:val="Tablelistnumber3"/>
              <w:tabs>
                <w:tab w:val="clear" w:pos="360"/>
              </w:tabs>
              <w:ind w:left="907" w:hanging="227"/>
            </w:pPr>
            <w:r w:rsidRPr="00577966">
              <w:t>Year</w:t>
            </w:r>
            <w:r>
              <w:t xml:space="preserve"> </w:t>
            </w:r>
            <w:r w:rsidRPr="00577966">
              <w:t>5: 100% for</w:t>
            </w:r>
            <w:r>
              <w:t xml:space="preserve"> </w:t>
            </w:r>
            <w:r w:rsidRPr="00577966">
              <w:t>the</w:t>
            </w:r>
            <w:r>
              <w:t xml:space="preserve"> </w:t>
            </w:r>
            <w:r w:rsidRPr="00577966">
              <w:t>four-year</w:t>
            </w:r>
            <w:r>
              <w:t xml:space="preserve"> </w:t>
            </w:r>
            <w:r w:rsidRPr="00577966">
              <w:t>phase-in</w:t>
            </w:r>
          </w:p>
          <w:p w14:paraId="1DE0D263" w14:textId="77777777" w:rsidR="00676882" w:rsidRPr="00577966" w:rsidRDefault="00676882" w:rsidP="00DF45FA">
            <w:pPr>
              <w:pStyle w:val="Tablelistnumber2"/>
              <w:tabs>
                <w:tab w:val="clear" w:pos="360"/>
              </w:tabs>
              <w:ind w:left="680" w:hanging="340"/>
            </w:pPr>
            <w:r>
              <w:t>U</w:t>
            </w:r>
            <w:r w:rsidRPr="00577966">
              <w:t>pon</w:t>
            </w:r>
            <w:r>
              <w:t xml:space="preserve"> </w:t>
            </w:r>
            <w:r w:rsidRPr="00577966">
              <w:t>entering</w:t>
            </w:r>
            <w:r>
              <w:t xml:space="preserve"> </w:t>
            </w:r>
            <w:r w:rsidRPr="00577966">
              <w:t>the</w:t>
            </w:r>
            <w:r>
              <w:t xml:space="preserve"> </w:t>
            </w:r>
            <w:r w:rsidRPr="00577966">
              <w:t>rental</w:t>
            </w:r>
            <w:r>
              <w:t xml:space="preserve"> </w:t>
            </w:r>
            <w:r w:rsidRPr="00577966">
              <w:t>market</w:t>
            </w:r>
            <w:r>
              <w:t xml:space="preserve"> </w:t>
            </w:r>
            <w:r w:rsidRPr="00577966">
              <w:t>for</w:t>
            </w:r>
            <w:r>
              <w:t xml:space="preserve"> </w:t>
            </w:r>
            <w:r w:rsidRPr="00577966">
              <w:t>the</w:t>
            </w:r>
            <w:r>
              <w:t xml:space="preserve"> </w:t>
            </w:r>
            <w:r w:rsidRPr="00577966">
              <w:t>first</w:t>
            </w:r>
            <w:r>
              <w:t xml:space="preserve"> </w:t>
            </w:r>
            <w:r w:rsidRPr="00577966">
              <w:t>time</w:t>
            </w:r>
            <w:r>
              <w:t>, i</w:t>
            </w:r>
            <w:r w:rsidRPr="00577966">
              <w:t>n</w:t>
            </w:r>
            <w:r>
              <w:t xml:space="preserve"> </w:t>
            </w:r>
            <w:r w:rsidRPr="00577966">
              <w:t>the</w:t>
            </w:r>
            <w:r>
              <w:t xml:space="preserve"> </w:t>
            </w:r>
            <w:r w:rsidRPr="00577966">
              <w:t>absence</w:t>
            </w:r>
            <w:r>
              <w:t xml:space="preserve"> </w:t>
            </w:r>
            <w:r w:rsidRPr="00577966">
              <w:t>of</w:t>
            </w:r>
            <w:r>
              <w:t xml:space="preserve"> </w:t>
            </w:r>
            <w:r w:rsidRPr="00577966">
              <w:t>information</w:t>
            </w:r>
            <w:r>
              <w:t xml:space="preserve"> </w:t>
            </w:r>
            <w:r w:rsidRPr="00577966">
              <w:t>about</w:t>
            </w:r>
            <w:r>
              <w:t xml:space="preserve"> </w:t>
            </w:r>
            <w:r w:rsidRPr="00577966">
              <w:t>the</w:t>
            </w:r>
            <w:r>
              <w:t xml:space="preserve"> </w:t>
            </w:r>
            <w:r w:rsidRPr="00577966">
              <w:t>number</w:t>
            </w:r>
            <w:r>
              <w:t xml:space="preserve"> </w:t>
            </w:r>
            <w:r w:rsidRPr="00577966">
              <w:t>of</w:t>
            </w:r>
            <w:r>
              <w:t xml:space="preserve"> </w:t>
            </w:r>
            <w:r w:rsidRPr="00577966">
              <w:t>properties</w:t>
            </w:r>
            <w:r>
              <w:t xml:space="preserve"> </w:t>
            </w:r>
            <w:r w:rsidRPr="00577966">
              <w:t>that</w:t>
            </w:r>
            <w:r>
              <w:t xml:space="preserve"> </w:t>
            </w:r>
            <w:r w:rsidRPr="00577966">
              <w:t>enter</w:t>
            </w:r>
            <w:r>
              <w:t xml:space="preserve"> </w:t>
            </w:r>
            <w:r w:rsidRPr="00577966">
              <w:t>the</w:t>
            </w:r>
            <w:r>
              <w:t xml:space="preserve"> </w:t>
            </w:r>
            <w:r w:rsidRPr="00577966">
              <w:t>rental</w:t>
            </w:r>
            <w:r>
              <w:t xml:space="preserve"> </w:t>
            </w:r>
            <w:r w:rsidRPr="00577966">
              <w:t>market</w:t>
            </w:r>
            <w:r>
              <w:t xml:space="preserve"> </w:t>
            </w:r>
            <w:r w:rsidRPr="00577966">
              <w:t>for</w:t>
            </w:r>
            <w:r>
              <w:t xml:space="preserve"> </w:t>
            </w:r>
            <w:r w:rsidRPr="00577966">
              <w:t>the</w:t>
            </w:r>
            <w:r>
              <w:t xml:space="preserve"> </w:t>
            </w:r>
            <w:r w:rsidRPr="00577966">
              <w:t>first</w:t>
            </w:r>
            <w:r>
              <w:t xml:space="preserve"> </w:t>
            </w:r>
            <w:r w:rsidRPr="00577966">
              <w:t>time</w:t>
            </w:r>
            <w:r>
              <w:t xml:space="preserve"> </w:t>
            </w:r>
            <w:r w:rsidRPr="00577966">
              <w:t>every</w:t>
            </w:r>
            <w:r>
              <w:t xml:space="preserve"> </w:t>
            </w:r>
            <w:r w:rsidRPr="00577966">
              <w:t>year,</w:t>
            </w:r>
            <w:r>
              <w:t xml:space="preserve"> </w:t>
            </w:r>
            <w:r w:rsidRPr="00577966">
              <w:t>it</w:t>
            </w:r>
            <w:r>
              <w:t xml:space="preserve"> </w:t>
            </w:r>
            <w:r w:rsidRPr="00577966">
              <w:t>will</w:t>
            </w:r>
            <w:r>
              <w:t xml:space="preserve"> </w:t>
            </w:r>
            <w:r w:rsidRPr="00577966">
              <w:t>be</w:t>
            </w:r>
            <w:r>
              <w:t xml:space="preserve"> </w:t>
            </w:r>
            <w:r w:rsidRPr="00577966">
              <w:t>assumed</w:t>
            </w:r>
            <w:r>
              <w:t xml:space="preserve"> </w:t>
            </w:r>
            <w:r w:rsidRPr="00577966">
              <w:t>that</w:t>
            </w:r>
            <w:r>
              <w:t xml:space="preserve"> </w:t>
            </w:r>
            <w:r w:rsidRPr="00577966">
              <w:t>300</w:t>
            </w:r>
            <w:r>
              <w:t xml:space="preserve"> </w:t>
            </w:r>
            <w:r w:rsidRPr="00577966">
              <w:t>existing</w:t>
            </w:r>
            <w:r>
              <w:t xml:space="preserve"> </w:t>
            </w:r>
            <w:r w:rsidRPr="00577966">
              <w:t>properties</w:t>
            </w:r>
            <w:r>
              <w:t xml:space="preserve"> </w:t>
            </w:r>
            <w:r w:rsidRPr="00577966">
              <w:t>enter</w:t>
            </w:r>
            <w:r>
              <w:t xml:space="preserve"> </w:t>
            </w:r>
            <w:r w:rsidRPr="00577966">
              <w:t>the</w:t>
            </w:r>
            <w:r>
              <w:t xml:space="preserve"> </w:t>
            </w:r>
            <w:r w:rsidRPr="00577966">
              <w:t>rental</w:t>
            </w:r>
            <w:r>
              <w:t xml:space="preserve"> </w:t>
            </w:r>
            <w:r w:rsidRPr="00577966">
              <w:t>market</w:t>
            </w:r>
            <w:r>
              <w:t xml:space="preserve"> </w:t>
            </w:r>
            <w:r w:rsidRPr="00577966">
              <w:t>every</w:t>
            </w:r>
            <w:r>
              <w:t xml:space="preserve"> </w:t>
            </w:r>
            <w:r w:rsidRPr="00577966">
              <w:t>year</w:t>
            </w:r>
            <w:r>
              <w:t xml:space="preserve"> </w:t>
            </w:r>
            <w:r w:rsidRPr="00577966">
              <w:t>(churn),</w:t>
            </w:r>
            <w:r>
              <w:t xml:space="preserve"> </w:t>
            </w:r>
            <w:r w:rsidRPr="00577966">
              <w:t>which</w:t>
            </w:r>
            <w:r>
              <w:t xml:space="preserve"> </w:t>
            </w:r>
            <w:r w:rsidRPr="00577966">
              <w:t>stem</w:t>
            </w:r>
            <w:r>
              <w:t xml:space="preserve"> </w:t>
            </w:r>
            <w:r w:rsidRPr="00577966">
              <w:t>from</w:t>
            </w:r>
            <w:r>
              <w:t xml:space="preserve"> </w:t>
            </w:r>
            <w:r w:rsidRPr="00577966">
              <w:t>the</w:t>
            </w:r>
            <w:r>
              <w:t xml:space="preserve"> </w:t>
            </w:r>
            <w:r w:rsidRPr="00577966">
              <w:t>growth</w:t>
            </w:r>
            <w:r>
              <w:t xml:space="preserve"> </w:t>
            </w:r>
            <w:r w:rsidRPr="00577966">
              <w:t>of</w:t>
            </w:r>
            <w:r>
              <w:t xml:space="preserve"> </w:t>
            </w:r>
            <w:r w:rsidRPr="00577966">
              <w:t>rental</w:t>
            </w:r>
            <w:r>
              <w:t xml:space="preserve"> </w:t>
            </w:r>
            <w:r w:rsidRPr="00577966">
              <w:t>properties</w:t>
            </w:r>
            <w:r>
              <w:t xml:space="preserve"> </w:t>
            </w:r>
            <w:r w:rsidRPr="00577966">
              <w:t>from</w:t>
            </w:r>
            <w:r>
              <w:t xml:space="preserve"> </w:t>
            </w:r>
            <w:r w:rsidRPr="00577966">
              <w:t>2007-08</w:t>
            </w:r>
            <w:r>
              <w:t xml:space="preserve"> </w:t>
            </w:r>
            <w:r w:rsidRPr="00577966">
              <w:t>to</w:t>
            </w:r>
            <w:r>
              <w:t xml:space="preserve"> </w:t>
            </w:r>
            <w:r w:rsidRPr="00577966">
              <w:t>2017-18</w:t>
            </w:r>
            <w:r>
              <w:t xml:space="preserve"> </w:t>
            </w:r>
            <w:r w:rsidRPr="00577966">
              <w:t>minus</w:t>
            </w:r>
            <w:r>
              <w:t xml:space="preserve"> </w:t>
            </w:r>
            <w:r w:rsidRPr="00577966">
              <w:t>newly</w:t>
            </w:r>
            <w:r>
              <w:t xml:space="preserve"> </w:t>
            </w:r>
            <w:r w:rsidRPr="00577966">
              <w:t>built</w:t>
            </w:r>
            <w:r>
              <w:t xml:space="preserve"> </w:t>
            </w:r>
            <w:r w:rsidRPr="00577966">
              <w:t>properties.</w:t>
            </w:r>
            <w:r>
              <w:t xml:space="preserve"> </w:t>
            </w:r>
            <w:r w:rsidRPr="00577966">
              <w:t>For</w:t>
            </w:r>
            <w:r>
              <w:t xml:space="preserve"> </w:t>
            </w:r>
            <w:r w:rsidRPr="00577966">
              <w:t>completeness,</w:t>
            </w:r>
            <w:r>
              <w:t xml:space="preserve"> </w:t>
            </w:r>
            <w:r w:rsidRPr="00577966">
              <w:t>it</w:t>
            </w:r>
            <w:r>
              <w:t xml:space="preserve"> </w:t>
            </w:r>
            <w:r w:rsidRPr="00577966">
              <w:t>will</w:t>
            </w:r>
            <w:r>
              <w:t xml:space="preserve"> </w:t>
            </w:r>
            <w:r w:rsidRPr="00577966">
              <w:t>also</w:t>
            </w:r>
            <w:r>
              <w:t xml:space="preserve"> </w:t>
            </w:r>
            <w:r w:rsidRPr="00577966">
              <w:t>be</w:t>
            </w:r>
            <w:r>
              <w:t xml:space="preserve"> </w:t>
            </w:r>
            <w:r w:rsidRPr="00577966">
              <w:t>assumed</w:t>
            </w:r>
            <w:r>
              <w:t xml:space="preserve"> </w:t>
            </w:r>
            <w:r w:rsidRPr="00577966">
              <w:t>that</w:t>
            </w:r>
            <w:r>
              <w:t xml:space="preserve"> </w:t>
            </w:r>
            <w:r w:rsidRPr="00577966">
              <w:t>32% of</w:t>
            </w:r>
            <w:r>
              <w:t xml:space="preserve"> </w:t>
            </w:r>
            <w:r w:rsidRPr="00577966">
              <w:t>newly</w:t>
            </w:r>
            <w:r>
              <w:t xml:space="preserve"> </w:t>
            </w:r>
            <w:r w:rsidRPr="00577966">
              <w:t>built</w:t>
            </w:r>
            <w:r>
              <w:t xml:space="preserve"> </w:t>
            </w:r>
            <w:r w:rsidRPr="00577966">
              <w:t>properties</w:t>
            </w:r>
            <w:r>
              <w:t xml:space="preserve"> </w:t>
            </w:r>
            <w:r w:rsidRPr="00577966">
              <w:t>enter</w:t>
            </w:r>
            <w:r>
              <w:t xml:space="preserve"> </w:t>
            </w:r>
            <w:r w:rsidRPr="00577966">
              <w:t>the</w:t>
            </w:r>
            <w:r>
              <w:t xml:space="preserve"> </w:t>
            </w:r>
            <w:r w:rsidRPr="00577966">
              <w:t>rental</w:t>
            </w:r>
            <w:r>
              <w:t xml:space="preserve"> </w:t>
            </w:r>
            <w:r w:rsidRPr="00577966">
              <w:t>market</w:t>
            </w:r>
            <w:r>
              <w:t xml:space="preserve"> </w:t>
            </w:r>
            <w:r w:rsidRPr="00577966">
              <w:t>every</w:t>
            </w:r>
            <w:r>
              <w:t xml:space="preserve"> </w:t>
            </w:r>
            <w:r w:rsidRPr="00577966">
              <w:t>year</w:t>
            </w:r>
            <w:r>
              <w:t xml:space="preserve"> </w:t>
            </w:r>
            <w:r w:rsidRPr="00577966">
              <w:t>— roughly</w:t>
            </w:r>
            <w:r>
              <w:t xml:space="preserve"> </w:t>
            </w:r>
            <w:r w:rsidRPr="00577966">
              <w:t>in</w:t>
            </w:r>
            <w:r>
              <w:t xml:space="preserve"> </w:t>
            </w:r>
            <w:r w:rsidRPr="00577966">
              <w:t>line</w:t>
            </w:r>
            <w:r>
              <w:t xml:space="preserve"> </w:t>
            </w:r>
            <w:r w:rsidRPr="00577966">
              <w:t>with</w:t>
            </w:r>
            <w:r>
              <w:t xml:space="preserve"> </w:t>
            </w:r>
            <w:r w:rsidRPr="00577966">
              <w:t>the</w:t>
            </w:r>
            <w:r>
              <w:t xml:space="preserve"> </w:t>
            </w:r>
            <w:r w:rsidRPr="00577966">
              <w:t>current</w:t>
            </w:r>
            <w:r>
              <w:t xml:space="preserve"> </w:t>
            </w:r>
            <w:r w:rsidRPr="00577966">
              <w:t>proportion</w:t>
            </w:r>
            <w:r>
              <w:t xml:space="preserve"> </w:t>
            </w:r>
            <w:r w:rsidRPr="00577966">
              <w:t>of</w:t>
            </w:r>
            <w:r>
              <w:t xml:space="preserve"> </w:t>
            </w:r>
            <w:r w:rsidRPr="00577966">
              <w:t>existing</w:t>
            </w:r>
            <w:r>
              <w:t xml:space="preserve"> </w:t>
            </w:r>
            <w:r w:rsidRPr="00577966">
              <w:t>rental</w:t>
            </w:r>
            <w:r>
              <w:t xml:space="preserve"> </w:t>
            </w:r>
            <w:r w:rsidRPr="00577966">
              <w:t>stock</w:t>
            </w:r>
            <w:r>
              <w:t xml:space="preserve"> </w:t>
            </w:r>
            <w:r w:rsidRPr="00577966">
              <w:t>to</w:t>
            </w:r>
            <w:r>
              <w:t xml:space="preserve"> </w:t>
            </w:r>
            <w:r w:rsidRPr="00577966">
              <w:t>the</w:t>
            </w:r>
            <w:r>
              <w:t xml:space="preserve"> </w:t>
            </w:r>
            <w:r w:rsidRPr="00577966">
              <w:t>total</w:t>
            </w:r>
            <w:r>
              <w:t xml:space="preserve"> </w:t>
            </w:r>
            <w:r w:rsidRPr="00577966">
              <w:t>housing</w:t>
            </w:r>
            <w:r>
              <w:t xml:space="preserve"> </w:t>
            </w:r>
            <w:r w:rsidRPr="00577966">
              <w:t>stock.</w:t>
            </w:r>
            <w:r>
              <w:t xml:space="preserve"> </w:t>
            </w:r>
            <w:r w:rsidRPr="00577966">
              <w:t>These</w:t>
            </w:r>
            <w:r>
              <w:t xml:space="preserve"> </w:t>
            </w:r>
            <w:r w:rsidRPr="00577966">
              <w:t>32% of</w:t>
            </w:r>
            <w:r>
              <w:t xml:space="preserve"> </w:t>
            </w:r>
            <w:r w:rsidRPr="00577966">
              <w:t>the</w:t>
            </w:r>
            <w:r>
              <w:t xml:space="preserve"> </w:t>
            </w:r>
            <w:r w:rsidRPr="00577966">
              <w:t>new</w:t>
            </w:r>
            <w:r>
              <w:t xml:space="preserve"> </w:t>
            </w:r>
            <w:r w:rsidRPr="00577966">
              <w:t>stock</w:t>
            </w:r>
            <w:r>
              <w:t xml:space="preserve"> </w:t>
            </w:r>
            <w:r w:rsidRPr="00577966">
              <w:t>do</w:t>
            </w:r>
            <w:r>
              <w:t xml:space="preserve"> </w:t>
            </w:r>
            <w:r w:rsidRPr="00577966">
              <w:t>not</w:t>
            </w:r>
            <w:r>
              <w:t xml:space="preserve"> </w:t>
            </w:r>
            <w:r w:rsidRPr="00577966">
              <w:t>get</w:t>
            </w:r>
            <w:r>
              <w:t xml:space="preserve"> </w:t>
            </w:r>
            <w:r w:rsidRPr="00577966">
              <w:t>upgraded</w:t>
            </w:r>
            <w:r>
              <w:t xml:space="preserve"> </w:t>
            </w:r>
            <w:r w:rsidRPr="00577966">
              <w:t>as</w:t>
            </w:r>
            <w:r>
              <w:t xml:space="preserve"> </w:t>
            </w:r>
            <w:r w:rsidRPr="00577966">
              <w:t>are</w:t>
            </w:r>
            <w:r>
              <w:t xml:space="preserve"> </w:t>
            </w:r>
            <w:r w:rsidRPr="00577966">
              <w:t>assumed</w:t>
            </w:r>
            <w:r>
              <w:t xml:space="preserve"> </w:t>
            </w:r>
            <w:r w:rsidRPr="00577966">
              <w:t>to</w:t>
            </w:r>
            <w:r>
              <w:t xml:space="preserve"> </w:t>
            </w:r>
            <w:r w:rsidRPr="00577966">
              <w:t>comply</w:t>
            </w:r>
            <w:r>
              <w:t xml:space="preserve"> </w:t>
            </w:r>
            <w:r w:rsidRPr="00577966">
              <w:t>with</w:t>
            </w:r>
            <w:r>
              <w:t xml:space="preserve"> </w:t>
            </w:r>
            <w:r w:rsidRPr="00577966">
              <w:t>the</w:t>
            </w:r>
            <w:r>
              <w:t xml:space="preserve"> </w:t>
            </w:r>
            <w:r w:rsidRPr="00577966">
              <w:t>current</w:t>
            </w:r>
            <w:r>
              <w:t xml:space="preserve"> </w:t>
            </w:r>
            <w:r w:rsidRPr="00577966">
              <w:t>energy</w:t>
            </w:r>
            <w:r>
              <w:t xml:space="preserve"> </w:t>
            </w:r>
            <w:r w:rsidRPr="00577966">
              <w:t>efficiency</w:t>
            </w:r>
            <w:r>
              <w:t xml:space="preserve"> </w:t>
            </w:r>
            <w:r w:rsidRPr="00577966">
              <w:t>requirements</w:t>
            </w:r>
            <w:r>
              <w:t xml:space="preserve"> </w:t>
            </w:r>
            <w:r w:rsidRPr="00577966">
              <w:t>for</w:t>
            </w:r>
            <w:r>
              <w:t xml:space="preserve"> </w:t>
            </w:r>
            <w:r w:rsidRPr="00577966">
              <w:t>new</w:t>
            </w:r>
            <w:r>
              <w:t xml:space="preserve"> </w:t>
            </w:r>
            <w:r w:rsidRPr="00577966">
              <w:t>dwellings</w:t>
            </w:r>
            <w:r>
              <w:t xml:space="preserve"> </w:t>
            </w:r>
            <w:r w:rsidRPr="00577966">
              <w:t>set</w:t>
            </w:r>
            <w:r>
              <w:t xml:space="preserve"> </w:t>
            </w:r>
            <w:r w:rsidRPr="00577966">
              <w:t>by</w:t>
            </w:r>
            <w:r>
              <w:t xml:space="preserve"> </w:t>
            </w:r>
            <w:r w:rsidRPr="00577966">
              <w:t>the</w:t>
            </w:r>
            <w:r>
              <w:t xml:space="preserve"> </w:t>
            </w:r>
            <w:r w:rsidRPr="00577966">
              <w:t>National</w:t>
            </w:r>
            <w:r>
              <w:t xml:space="preserve"> </w:t>
            </w:r>
            <w:r w:rsidRPr="00577966">
              <w:t>Construction</w:t>
            </w:r>
            <w:r>
              <w:t xml:space="preserve"> </w:t>
            </w:r>
            <w:r w:rsidRPr="00577966">
              <w:t>Code.</w:t>
            </w:r>
            <w:r>
              <w:t xml:space="preserve"> </w:t>
            </w:r>
            <w:r w:rsidRPr="00577966">
              <w:t>Properties</w:t>
            </w:r>
            <w:r>
              <w:t xml:space="preserve"> </w:t>
            </w:r>
            <w:r w:rsidRPr="00577966">
              <w:t>that</w:t>
            </w:r>
            <w:r>
              <w:t xml:space="preserve"> </w:t>
            </w:r>
            <w:r w:rsidRPr="00577966">
              <w:t>are</w:t>
            </w:r>
            <w:r>
              <w:t xml:space="preserve"> </w:t>
            </w:r>
            <w:r w:rsidRPr="00577966">
              <w:t>upgraded</w:t>
            </w:r>
            <w:r>
              <w:t xml:space="preserve"> </w:t>
            </w:r>
            <w:r w:rsidRPr="00577966">
              <w:t>in</w:t>
            </w:r>
            <w:r>
              <w:t xml:space="preserve"> </w:t>
            </w:r>
            <w:r w:rsidRPr="00577966">
              <w:t>response</w:t>
            </w:r>
            <w:r>
              <w:t xml:space="preserve"> </w:t>
            </w:r>
            <w:r w:rsidRPr="00577966">
              <w:t>to</w:t>
            </w:r>
            <w:r>
              <w:t xml:space="preserve"> </w:t>
            </w:r>
            <w:r w:rsidRPr="00577966">
              <w:t>the</w:t>
            </w:r>
            <w:r>
              <w:t xml:space="preserve"> </w:t>
            </w:r>
            <w:r w:rsidRPr="00577966">
              <w:t>proposed</w:t>
            </w:r>
            <w:r>
              <w:t xml:space="preserve"> </w:t>
            </w:r>
            <w:r w:rsidRPr="00577966">
              <w:t>policy</w:t>
            </w:r>
            <w:r>
              <w:t xml:space="preserve"> </w:t>
            </w:r>
            <w:r w:rsidRPr="00577966">
              <w:t>but</w:t>
            </w:r>
            <w:r>
              <w:t xml:space="preserve"> </w:t>
            </w:r>
            <w:r w:rsidRPr="00577966">
              <w:t>leave</w:t>
            </w:r>
            <w:r>
              <w:t xml:space="preserve"> </w:t>
            </w:r>
            <w:r w:rsidRPr="00577966">
              <w:t>the</w:t>
            </w:r>
            <w:r>
              <w:t xml:space="preserve"> </w:t>
            </w:r>
            <w:r w:rsidRPr="00577966">
              <w:t>rental</w:t>
            </w:r>
            <w:r>
              <w:t xml:space="preserve"> </w:t>
            </w:r>
            <w:r w:rsidRPr="00577966">
              <w:t>market</w:t>
            </w:r>
            <w:r>
              <w:t xml:space="preserve"> </w:t>
            </w:r>
            <w:r w:rsidRPr="00577966">
              <w:t>and</w:t>
            </w:r>
            <w:r>
              <w:t xml:space="preserve"> </w:t>
            </w:r>
            <w:r w:rsidRPr="00577966">
              <w:t>are</w:t>
            </w:r>
            <w:r>
              <w:t xml:space="preserve"> </w:t>
            </w:r>
            <w:r w:rsidRPr="00577966">
              <w:t>re-rented</w:t>
            </w:r>
            <w:r>
              <w:t xml:space="preserve"> </w:t>
            </w:r>
            <w:r w:rsidRPr="00577966">
              <w:t>at</w:t>
            </w:r>
            <w:r>
              <w:t xml:space="preserve"> </w:t>
            </w:r>
            <w:r w:rsidRPr="00577966">
              <w:t>later</w:t>
            </w:r>
            <w:r>
              <w:t xml:space="preserve"> </w:t>
            </w:r>
            <w:r w:rsidRPr="00577966">
              <w:t>stages</w:t>
            </w:r>
            <w:r>
              <w:t xml:space="preserve"> </w:t>
            </w:r>
            <w:r w:rsidRPr="00577966">
              <w:t>will</w:t>
            </w:r>
            <w:r>
              <w:t xml:space="preserve"> </w:t>
            </w:r>
            <w:r w:rsidRPr="00577966">
              <w:t>be</w:t>
            </w:r>
            <w:r>
              <w:t xml:space="preserve"> </w:t>
            </w:r>
            <w:r w:rsidRPr="00577966">
              <w:t>excluded</w:t>
            </w:r>
            <w:r>
              <w:t xml:space="preserve"> </w:t>
            </w:r>
            <w:r w:rsidRPr="00577966">
              <w:t>from</w:t>
            </w:r>
            <w:r>
              <w:t xml:space="preserve"> </w:t>
            </w:r>
            <w:r w:rsidRPr="00577966">
              <w:t>the</w:t>
            </w:r>
            <w:r>
              <w:t xml:space="preserve"> </w:t>
            </w:r>
            <w:r w:rsidRPr="00577966">
              <w:t>analysis</w:t>
            </w:r>
            <w:r>
              <w:t xml:space="preserve"> </w:t>
            </w:r>
            <w:r w:rsidRPr="00577966">
              <w:t>as</w:t>
            </w:r>
            <w:r>
              <w:t xml:space="preserve"> </w:t>
            </w:r>
            <w:r w:rsidRPr="00577966">
              <w:t>there</w:t>
            </w:r>
            <w:r>
              <w:t xml:space="preserve"> </w:t>
            </w:r>
            <w:r w:rsidRPr="00577966">
              <w:t>is</w:t>
            </w:r>
            <w:r>
              <w:t xml:space="preserve"> </w:t>
            </w:r>
            <w:r w:rsidRPr="00577966">
              <w:t>no</w:t>
            </w:r>
            <w:r>
              <w:t xml:space="preserve"> </w:t>
            </w:r>
            <w:r w:rsidRPr="00577966">
              <w:t>data</w:t>
            </w:r>
            <w:r>
              <w:t xml:space="preserve"> </w:t>
            </w:r>
            <w:r w:rsidRPr="00577966">
              <w:t>about</w:t>
            </w:r>
            <w:r>
              <w:t xml:space="preserve"> </w:t>
            </w:r>
            <w:r w:rsidRPr="00577966">
              <w:t>these</w:t>
            </w:r>
            <w:r>
              <w:t xml:space="preserve"> </w:t>
            </w:r>
            <w:r w:rsidRPr="00577966">
              <w:t>and</w:t>
            </w:r>
            <w:r>
              <w:t xml:space="preserve"> </w:t>
            </w:r>
            <w:r w:rsidRPr="00577966">
              <w:t>are</w:t>
            </w:r>
            <w:r>
              <w:t xml:space="preserve"> </w:t>
            </w:r>
            <w:r w:rsidRPr="00577966">
              <w:t>likely</w:t>
            </w:r>
            <w:r>
              <w:t xml:space="preserve"> </w:t>
            </w:r>
            <w:r w:rsidRPr="00577966">
              <w:t>to</w:t>
            </w:r>
            <w:r>
              <w:t xml:space="preserve"> </w:t>
            </w:r>
            <w:r w:rsidRPr="00577966">
              <w:t>be</w:t>
            </w:r>
            <w:r>
              <w:t xml:space="preserve"> </w:t>
            </w:r>
            <w:r w:rsidRPr="00577966">
              <w:t>a</w:t>
            </w:r>
            <w:r>
              <w:t xml:space="preserve"> </w:t>
            </w:r>
            <w:r w:rsidRPr="00577966">
              <w:t>small</w:t>
            </w:r>
            <w:r>
              <w:t xml:space="preserve"> </w:t>
            </w:r>
            <w:r w:rsidRPr="00577966">
              <w:t>number</w:t>
            </w:r>
            <w:r>
              <w:t xml:space="preserve"> </w:t>
            </w:r>
            <w:r w:rsidRPr="00577966">
              <w:t>of</w:t>
            </w:r>
            <w:r>
              <w:t xml:space="preserve"> </w:t>
            </w:r>
            <w:r w:rsidRPr="00577966">
              <w:t>properties.</w:t>
            </w:r>
            <w:r>
              <w:t xml:space="preserve"> </w:t>
            </w:r>
          </w:p>
          <w:p w14:paraId="54F3EE7D" w14:textId="77777777" w:rsidR="00676882" w:rsidRPr="00577966" w:rsidRDefault="00676882" w:rsidP="00DF45FA">
            <w:pPr>
              <w:pStyle w:val="Tablelistnumber"/>
            </w:pPr>
            <w:r w:rsidRPr="00577966">
              <w:t>For</w:t>
            </w:r>
            <w:r>
              <w:t xml:space="preserve"> </w:t>
            </w:r>
            <w:r w:rsidRPr="00577966">
              <w:t>public</w:t>
            </w:r>
            <w:r>
              <w:t xml:space="preserve"> </w:t>
            </w:r>
            <w:r w:rsidRPr="00577966">
              <w:t>housing,</w:t>
            </w:r>
            <w:r>
              <w:t xml:space="preserve"> </w:t>
            </w:r>
            <w:r w:rsidRPr="00577966">
              <w:t>it</w:t>
            </w:r>
            <w:r>
              <w:t xml:space="preserve"> </w:t>
            </w:r>
            <w:r w:rsidRPr="00577966">
              <w:t>is</w:t>
            </w:r>
            <w:r>
              <w:t xml:space="preserve"> </w:t>
            </w:r>
            <w:r w:rsidRPr="00577966">
              <w:t>assumed</w:t>
            </w:r>
            <w:r>
              <w:t xml:space="preserve"> </w:t>
            </w:r>
            <w:r w:rsidRPr="00577966">
              <w:t>that</w:t>
            </w:r>
            <w:r>
              <w:t xml:space="preserve"> </w:t>
            </w:r>
            <w:r w:rsidRPr="00577966">
              <w:t>Housing</w:t>
            </w:r>
            <w:r>
              <w:t xml:space="preserve"> </w:t>
            </w:r>
            <w:r w:rsidRPr="00577966">
              <w:t>ACT</w:t>
            </w:r>
            <w:r>
              <w:t xml:space="preserve"> </w:t>
            </w:r>
            <w:r w:rsidRPr="00577966">
              <w:t>will</w:t>
            </w:r>
            <w:r>
              <w:t xml:space="preserve"> </w:t>
            </w:r>
            <w:r w:rsidRPr="00577966">
              <w:t>upgrade</w:t>
            </w:r>
            <w:r>
              <w:t xml:space="preserve"> </w:t>
            </w:r>
            <w:r w:rsidRPr="00577966">
              <w:t>equal</w:t>
            </w:r>
            <w:r>
              <w:t xml:space="preserve"> </w:t>
            </w:r>
            <w:r w:rsidRPr="00577966">
              <w:t>parts</w:t>
            </w:r>
            <w:r>
              <w:t xml:space="preserve"> </w:t>
            </w:r>
            <w:r w:rsidRPr="00577966">
              <w:t>of</w:t>
            </w:r>
            <w:r>
              <w:t xml:space="preserve"> </w:t>
            </w:r>
            <w:r w:rsidRPr="00577966">
              <w:t>the</w:t>
            </w:r>
            <w:r>
              <w:t xml:space="preserve"> </w:t>
            </w:r>
            <w:r w:rsidRPr="00577966">
              <w:t>housing</w:t>
            </w:r>
            <w:r>
              <w:t xml:space="preserve"> </w:t>
            </w:r>
            <w:r w:rsidRPr="00577966">
              <w:t>stock</w:t>
            </w:r>
            <w:r>
              <w:t xml:space="preserve"> </w:t>
            </w:r>
            <w:r w:rsidRPr="00577966">
              <w:t>that</w:t>
            </w:r>
            <w:r>
              <w:t xml:space="preserve"> </w:t>
            </w:r>
            <w:r w:rsidRPr="00577966">
              <w:t>needs</w:t>
            </w:r>
            <w:r>
              <w:t xml:space="preserve"> </w:t>
            </w:r>
            <w:r w:rsidRPr="00577966">
              <w:t>upgrading</w:t>
            </w:r>
            <w:r>
              <w:t xml:space="preserve"> </w:t>
            </w:r>
            <w:r w:rsidRPr="00577966">
              <w:t>in</w:t>
            </w:r>
            <w:r>
              <w:t xml:space="preserve"> </w:t>
            </w:r>
            <w:r w:rsidRPr="00577966">
              <w:t>each</w:t>
            </w:r>
            <w:r>
              <w:t xml:space="preserve"> </w:t>
            </w:r>
            <w:r w:rsidRPr="00577966">
              <w:t>year</w:t>
            </w:r>
            <w:r>
              <w:t xml:space="preserve"> </w:t>
            </w:r>
            <w:r w:rsidRPr="00577966">
              <w:t>of</w:t>
            </w:r>
            <w:r>
              <w:t xml:space="preserve"> </w:t>
            </w:r>
            <w:r w:rsidRPr="00577966">
              <w:t>the</w:t>
            </w:r>
            <w:r>
              <w:t xml:space="preserve"> </w:t>
            </w:r>
            <w:r w:rsidRPr="00577966">
              <w:t>phase</w:t>
            </w:r>
            <w:r>
              <w:t xml:space="preserve"> </w:t>
            </w:r>
            <w:r w:rsidRPr="00577966">
              <w:t>in</w:t>
            </w:r>
            <w:r>
              <w:t xml:space="preserve"> </w:t>
            </w:r>
            <w:r w:rsidRPr="00577966">
              <w:t>and</w:t>
            </w:r>
            <w:r>
              <w:t xml:space="preserve"> </w:t>
            </w:r>
            <w:r w:rsidRPr="00577966">
              <w:t>that</w:t>
            </w:r>
            <w:r>
              <w:t xml:space="preserve"> </w:t>
            </w:r>
            <w:r w:rsidRPr="00577966">
              <w:t>there</w:t>
            </w:r>
            <w:r>
              <w:t xml:space="preserve"> </w:t>
            </w:r>
            <w:r w:rsidRPr="00577966">
              <w:t>is</w:t>
            </w:r>
            <w:r>
              <w:t xml:space="preserve"> </w:t>
            </w:r>
            <w:r w:rsidRPr="00577966">
              <w:t>zero</w:t>
            </w:r>
            <w:r>
              <w:t xml:space="preserve"> </w:t>
            </w:r>
            <w:r w:rsidRPr="00577966">
              <w:t>additional</w:t>
            </w:r>
            <w:r>
              <w:t xml:space="preserve"> </w:t>
            </w:r>
            <w:r w:rsidRPr="00577966">
              <w:t>stock</w:t>
            </w:r>
            <w:r>
              <w:t xml:space="preserve"> </w:t>
            </w:r>
            <w:r w:rsidRPr="00577966">
              <w:t>that</w:t>
            </w:r>
            <w:r>
              <w:t xml:space="preserve"> </w:t>
            </w:r>
            <w:r w:rsidRPr="00577966">
              <w:t>needs</w:t>
            </w:r>
            <w:r>
              <w:t xml:space="preserve"> </w:t>
            </w:r>
            <w:r w:rsidRPr="00577966">
              <w:t>upgrading</w:t>
            </w:r>
            <w:r>
              <w:t xml:space="preserve"> </w:t>
            </w:r>
            <w:r w:rsidRPr="00577966">
              <w:t>entering</w:t>
            </w:r>
            <w:r>
              <w:t xml:space="preserve"> </w:t>
            </w:r>
            <w:r w:rsidRPr="00577966">
              <w:t>the</w:t>
            </w:r>
            <w:r>
              <w:t xml:space="preserve"> </w:t>
            </w:r>
            <w:r w:rsidRPr="00577966">
              <w:t>public</w:t>
            </w:r>
            <w:r>
              <w:t xml:space="preserve"> </w:t>
            </w:r>
            <w:r w:rsidRPr="00577966">
              <w:t>housing</w:t>
            </w:r>
            <w:r>
              <w:t xml:space="preserve"> </w:t>
            </w:r>
            <w:r w:rsidRPr="00577966">
              <w:t>stock</w:t>
            </w:r>
            <w:r>
              <w:t xml:space="preserve"> </w:t>
            </w:r>
            <w:r w:rsidRPr="00577966">
              <w:t>after</w:t>
            </w:r>
            <w:r>
              <w:t xml:space="preserve"> </w:t>
            </w:r>
            <w:r w:rsidRPr="00577966">
              <w:t>that</w:t>
            </w:r>
            <w:r>
              <w:t xml:space="preserve"> </w:t>
            </w:r>
            <w:r w:rsidRPr="00577966">
              <w:t>period</w:t>
            </w:r>
            <w:r>
              <w:t xml:space="preserve"> </w:t>
            </w:r>
            <w:r w:rsidRPr="00577966">
              <w:t>(i.e.</w:t>
            </w:r>
            <w:r>
              <w:t xml:space="preserve"> </w:t>
            </w:r>
            <w:r w:rsidRPr="00577966">
              <w:t>it</w:t>
            </w:r>
            <w:r>
              <w:t xml:space="preserve"> </w:t>
            </w:r>
            <w:r w:rsidRPr="00577966">
              <w:t>is</w:t>
            </w:r>
            <w:r>
              <w:t xml:space="preserve"> </w:t>
            </w:r>
            <w:r w:rsidRPr="00577966">
              <w:t>assumed</w:t>
            </w:r>
            <w:r>
              <w:t xml:space="preserve"> </w:t>
            </w:r>
            <w:r w:rsidRPr="00577966">
              <w:t>that</w:t>
            </w:r>
            <w:r>
              <w:t xml:space="preserve"> </w:t>
            </w:r>
            <w:r w:rsidRPr="00577966">
              <w:t>if</w:t>
            </w:r>
            <w:r>
              <w:t xml:space="preserve"> </w:t>
            </w:r>
            <w:r w:rsidRPr="00577966">
              <w:t>new</w:t>
            </w:r>
            <w:r>
              <w:t xml:space="preserve"> </w:t>
            </w:r>
            <w:r w:rsidRPr="00577966">
              <w:t>stock</w:t>
            </w:r>
            <w:r>
              <w:t xml:space="preserve"> </w:t>
            </w:r>
            <w:r w:rsidRPr="00577966">
              <w:t>is</w:t>
            </w:r>
            <w:r>
              <w:t xml:space="preserve"> </w:t>
            </w:r>
            <w:r w:rsidRPr="00577966">
              <w:t>added</w:t>
            </w:r>
            <w:r>
              <w:t xml:space="preserve"> </w:t>
            </w:r>
            <w:r w:rsidRPr="00577966">
              <w:t>to</w:t>
            </w:r>
            <w:r>
              <w:t xml:space="preserve"> </w:t>
            </w:r>
            <w:r w:rsidRPr="00577966">
              <w:t>public</w:t>
            </w:r>
            <w:r>
              <w:t xml:space="preserve"> </w:t>
            </w:r>
            <w:r w:rsidRPr="00577966">
              <w:t>housing,</w:t>
            </w:r>
            <w:r>
              <w:t xml:space="preserve"> </w:t>
            </w:r>
            <w:r w:rsidRPr="00577966">
              <w:t>this</w:t>
            </w:r>
            <w:r>
              <w:t xml:space="preserve"> </w:t>
            </w:r>
            <w:r w:rsidRPr="00577966">
              <w:t>stock</w:t>
            </w:r>
            <w:r>
              <w:t xml:space="preserve"> </w:t>
            </w:r>
            <w:r w:rsidRPr="00577966">
              <w:t>is</w:t>
            </w:r>
            <w:r>
              <w:t xml:space="preserve"> </w:t>
            </w:r>
            <w:r w:rsidRPr="00577966">
              <w:t>either</w:t>
            </w:r>
            <w:r>
              <w:t xml:space="preserve"> </w:t>
            </w:r>
            <w:r w:rsidRPr="00577966">
              <w:t>new</w:t>
            </w:r>
            <w:r>
              <w:t xml:space="preserve"> </w:t>
            </w:r>
            <w:r w:rsidRPr="00577966">
              <w:t>or</w:t>
            </w:r>
            <w:r>
              <w:t xml:space="preserve"> </w:t>
            </w:r>
            <w:r w:rsidRPr="00577966">
              <w:t>has</w:t>
            </w:r>
            <w:r>
              <w:t xml:space="preserve"> </w:t>
            </w:r>
            <w:r w:rsidRPr="00577966">
              <w:t>been</w:t>
            </w:r>
            <w:r>
              <w:t xml:space="preserve"> </w:t>
            </w:r>
            <w:r w:rsidRPr="00577966">
              <w:t>upgraded</w:t>
            </w:r>
            <w:r>
              <w:t xml:space="preserve"> </w:t>
            </w:r>
            <w:r w:rsidRPr="00577966">
              <w:t>so</w:t>
            </w:r>
            <w:r>
              <w:t xml:space="preserve"> </w:t>
            </w:r>
            <w:r w:rsidRPr="00577966">
              <w:t>that</w:t>
            </w:r>
            <w:r>
              <w:t xml:space="preserve"> </w:t>
            </w:r>
            <w:r w:rsidRPr="00577966">
              <w:t>there</w:t>
            </w:r>
            <w:r>
              <w:t xml:space="preserve"> </w:t>
            </w:r>
            <w:r w:rsidRPr="00577966">
              <w:t>is</w:t>
            </w:r>
            <w:r>
              <w:t xml:space="preserve"> </w:t>
            </w:r>
            <w:r w:rsidRPr="00577966">
              <w:t>no</w:t>
            </w:r>
            <w:r>
              <w:t xml:space="preserve"> </w:t>
            </w:r>
            <w:r w:rsidRPr="00577966">
              <w:t>need</w:t>
            </w:r>
            <w:r>
              <w:t xml:space="preserve"> </w:t>
            </w:r>
            <w:r w:rsidRPr="00577966">
              <w:t>to</w:t>
            </w:r>
            <w:r>
              <w:t xml:space="preserve"> </w:t>
            </w:r>
            <w:r w:rsidRPr="00577966">
              <w:t>upgrade</w:t>
            </w:r>
            <w:r>
              <w:t xml:space="preserve"> </w:t>
            </w:r>
            <w:r w:rsidRPr="00577966">
              <w:t>after</w:t>
            </w:r>
            <w:r>
              <w:t xml:space="preserve"> </w:t>
            </w:r>
            <w:r w:rsidRPr="00577966">
              <w:t>its</w:t>
            </w:r>
            <w:r>
              <w:t xml:space="preserve"> </w:t>
            </w:r>
            <w:r w:rsidRPr="00577966">
              <w:t>acquisition).</w:t>
            </w:r>
            <w:r>
              <w:t xml:space="preserve"> Housing ACT has plans to replace and expand upon its current housing stock. We have assumed that any new properties entering the portfolio will be sourced such that they meet the proposed standards.</w:t>
            </w:r>
          </w:p>
        </w:tc>
      </w:tr>
      <w:tr w:rsidR="00676882" w14:paraId="126009D9" w14:textId="77777777" w:rsidTr="00DF45FA">
        <w:trPr>
          <w:gridBefore w:val="1"/>
          <w:wBefore w:w="454" w:type="dxa"/>
        </w:trPr>
        <w:tc>
          <w:tcPr>
            <w:tcW w:w="1118" w:type="dxa"/>
            <w:shd w:val="clear" w:color="auto" w:fill="auto"/>
          </w:tcPr>
          <w:p w14:paraId="03FA5021" w14:textId="77777777" w:rsidR="00676882" w:rsidRDefault="00676882" w:rsidP="00DF45FA">
            <w:pPr>
              <w:pStyle w:val="Tabletext"/>
            </w:pPr>
            <w:r>
              <w:lastRenderedPageBreak/>
              <w:t>Industry</w:t>
            </w:r>
          </w:p>
        </w:tc>
        <w:tc>
          <w:tcPr>
            <w:tcW w:w="1560" w:type="dxa"/>
            <w:shd w:val="clear" w:color="auto" w:fill="auto"/>
          </w:tcPr>
          <w:p w14:paraId="34E0BE02" w14:textId="77777777" w:rsidR="00676882" w:rsidRDefault="00676882" w:rsidP="00DF45FA">
            <w:pPr>
              <w:pStyle w:val="Tabletext"/>
            </w:pPr>
            <w:r>
              <w:t>N/A</w:t>
            </w:r>
          </w:p>
        </w:tc>
        <w:tc>
          <w:tcPr>
            <w:tcW w:w="12158" w:type="dxa"/>
            <w:shd w:val="clear" w:color="auto" w:fill="auto"/>
          </w:tcPr>
          <w:p w14:paraId="2CE61929" w14:textId="77777777" w:rsidR="00676882" w:rsidRDefault="00676882" w:rsidP="00DF45FA">
            <w:pPr>
              <w:pStyle w:val="Tabletext"/>
            </w:pPr>
            <w:r>
              <w:t>Other than the costs for real estate agents of organising the quotes/work (described above), no costs will be included for industry as a result of this policy.</w:t>
            </w:r>
          </w:p>
        </w:tc>
      </w:tr>
      <w:tr w:rsidR="00676882" w14:paraId="2136A138" w14:textId="77777777" w:rsidTr="00DF45FA">
        <w:trPr>
          <w:gridBefore w:val="1"/>
          <w:wBefore w:w="454" w:type="dxa"/>
        </w:trPr>
        <w:tc>
          <w:tcPr>
            <w:tcW w:w="1118" w:type="dxa"/>
            <w:tcBorders>
              <w:bottom w:val="single" w:sz="4" w:space="0" w:color="646464"/>
            </w:tcBorders>
            <w:shd w:val="clear" w:color="auto" w:fill="auto"/>
          </w:tcPr>
          <w:p w14:paraId="0966760B" w14:textId="77777777" w:rsidR="00676882" w:rsidRDefault="00676882" w:rsidP="00DF45FA">
            <w:pPr>
              <w:pStyle w:val="Tabletext"/>
            </w:pPr>
            <w:r w:rsidRPr="009416E6">
              <w:rPr>
                <w:color w:val="auto"/>
              </w:rPr>
              <w:t>Government</w:t>
            </w:r>
          </w:p>
        </w:tc>
        <w:tc>
          <w:tcPr>
            <w:tcW w:w="1560" w:type="dxa"/>
            <w:tcBorders>
              <w:bottom w:val="single" w:sz="4" w:space="0" w:color="646464"/>
            </w:tcBorders>
            <w:shd w:val="clear" w:color="auto" w:fill="auto"/>
          </w:tcPr>
          <w:p w14:paraId="3ACB3DEB" w14:textId="77777777" w:rsidR="00676882" w:rsidRPr="009416E6" w:rsidRDefault="00676882" w:rsidP="00DF45FA">
            <w:pPr>
              <w:pStyle w:val="Tablelistbullet"/>
            </w:pPr>
            <w:r>
              <w:t>A</w:t>
            </w:r>
            <w:r w:rsidRPr="009416E6">
              <w:t>dministration</w:t>
            </w:r>
            <w:r>
              <w:t xml:space="preserve"> </w:t>
            </w:r>
            <w:r w:rsidRPr="009416E6">
              <w:t>and</w:t>
            </w:r>
            <w:r>
              <w:t xml:space="preserve"> enforcement costs</w:t>
            </w:r>
          </w:p>
          <w:p w14:paraId="22132382" w14:textId="77777777" w:rsidR="00676882" w:rsidRDefault="00676882" w:rsidP="00DF45FA">
            <w:pPr>
              <w:pStyle w:val="Tablelistbullet"/>
            </w:pPr>
            <w:r w:rsidRPr="00446387">
              <w:t>Costs</w:t>
            </w:r>
            <w:r>
              <w:t xml:space="preserve"> </w:t>
            </w:r>
            <w:r w:rsidRPr="00446387">
              <w:t>associated</w:t>
            </w:r>
            <w:r>
              <w:t xml:space="preserve"> </w:t>
            </w:r>
            <w:r w:rsidRPr="00446387">
              <w:t>with</w:t>
            </w:r>
            <w:r>
              <w:t xml:space="preserve"> </w:t>
            </w:r>
            <w:r w:rsidRPr="00446387">
              <w:t>energy</w:t>
            </w:r>
            <w:r>
              <w:t xml:space="preserve"> </w:t>
            </w:r>
            <w:r w:rsidRPr="00446387">
              <w:t>efficiency</w:t>
            </w:r>
            <w:r>
              <w:t xml:space="preserve"> </w:t>
            </w:r>
            <w:r w:rsidRPr="00446387">
              <w:t>upgrades</w:t>
            </w:r>
            <w:r>
              <w:t xml:space="preserve"> </w:t>
            </w:r>
            <w:r w:rsidRPr="00446387">
              <w:t>for</w:t>
            </w:r>
            <w:r>
              <w:t xml:space="preserve"> </w:t>
            </w:r>
            <w:r w:rsidRPr="00446387">
              <w:t>public</w:t>
            </w:r>
            <w:r>
              <w:t xml:space="preserve"> </w:t>
            </w:r>
            <w:r w:rsidRPr="00446387">
              <w:t>housing</w:t>
            </w:r>
            <w:r>
              <w:t xml:space="preserve"> </w:t>
            </w:r>
          </w:p>
        </w:tc>
        <w:tc>
          <w:tcPr>
            <w:tcW w:w="12158" w:type="dxa"/>
            <w:tcBorders>
              <w:bottom w:val="single" w:sz="4" w:space="0" w:color="646464"/>
            </w:tcBorders>
            <w:shd w:val="clear" w:color="auto" w:fill="auto"/>
          </w:tcPr>
          <w:p w14:paraId="53460279" w14:textId="77777777" w:rsidR="00676882" w:rsidRDefault="00676882" w:rsidP="00DF45FA">
            <w:pPr>
              <w:pStyle w:val="Tablelistbullet2"/>
              <w:tabs>
                <w:tab w:val="clear" w:pos="360"/>
              </w:tabs>
            </w:pPr>
            <w:r>
              <w:t xml:space="preserve">As per information from the ACT Government the government costs have been assumed to be $400,000 up front costs and $398,474 ongoing costs. The ongoing costs will be depreciated at the same rate as the active upgrades. </w:t>
            </w:r>
          </w:p>
          <w:p w14:paraId="3FD9CA67" w14:textId="77777777" w:rsidR="00676882" w:rsidRPr="00577966" w:rsidRDefault="00676882" w:rsidP="00DF45FA">
            <w:pPr>
              <w:pStyle w:val="Tablelistbullet2"/>
              <w:tabs>
                <w:tab w:val="clear" w:pos="360"/>
              </w:tabs>
            </w:pPr>
            <w:r w:rsidRPr="00577966">
              <w:t>Public</w:t>
            </w:r>
            <w:r>
              <w:t xml:space="preserve"> </w:t>
            </w:r>
            <w:r w:rsidRPr="00577966">
              <w:t>housing</w:t>
            </w:r>
            <w:r>
              <w:t xml:space="preserve"> </w:t>
            </w:r>
            <w:r w:rsidRPr="00577966">
              <w:t>costs</w:t>
            </w:r>
            <w:r>
              <w:t xml:space="preserve"> have </w:t>
            </w:r>
            <w:r w:rsidRPr="00577966">
              <w:t>be</w:t>
            </w:r>
            <w:r>
              <w:t xml:space="preserve">en </w:t>
            </w:r>
            <w:r w:rsidRPr="00577966">
              <w:t>estimated</w:t>
            </w:r>
            <w:r>
              <w:t xml:space="preserve"> in a similar manner to private upgrades, however costs are based on the time required for an AOS5 ACT public service wage and is scaled depending on the size of the upgrade program</w:t>
            </w:r>
            <w:r w:rsidRPr="00577966">
              <w:t>.</w:t>
            </w:r>
            <w:r>
              <w:t xml:space="preserve"> </w:t>
            </w:r>
            <w:r w:rsidRPr="00577966">
              <w:t>However,</w:t>
            </w:r>
            <w:r>
              <w:t xml:space="preserve"> </w:t>
            </w:r>
            <w:r w:rsidRPr="00577966">
              <w:t>it</w:t>
            </w:r>
            <w:r>
              <w:t xml:space="preserve"> is </w:t>
            </w:r>
            <w:r w:rsidRPr="00577966">
              <w:t>assumed</w:t>
            </w:r>
            <w:r>
              <w:t xml:space="preserve"> </w:t>
            </w:r>
            <w:r w:rsidRPr="00577966">
              <w:t>that</w:t>
            </w:r>
            <w:r>
              <w:t xml:space="preserve"> </w:t>
            </w:r>
            <w:r w:rsidRPr="00577966">
              <w:t>all</w:t>
            </w:r>
            <w:r>
              <w:t xml:space="preserve"> </w:t>
            </w:r>
            <w:r w:rsidRPr="00577966">
              <w:t>upgrades</w:t>
            </w:r>
            <w:r>
              <w:t xml:space="preserve"> </w:t>
            </w:r>
            <w:r w:rsidRPr="00577966">
              <w:t>are</w:t>
            </w:r>
            <w:r>
              <w:t xml:space="preserve"> </w:t>
            </w:r>
            <w:r w:rsidRPr="00577966">
              <w:t>undertaken</w:t>
            </w:r>
            <w:r>
              <w:t xml:space="preserve"> </w:t>
            </w:r>
            <w:r w:rsidRPr="00577966">
              <w:t>by</w:t>
            </w:r>
            <w:r>
              <w:t xml:space="preserve"> </w:t>
            </w:r>
            <w:r w:rsidRPr="00577966">
              <w:t>a</w:t>
            </w:r>
            <w:r>
              <w:t xml:space="preserve"> </w:t>
            </w:r>
            <w:r w:rsidRPr="00577966">
              <w:t>professional</w:t>
            </w:r>
            <w:r>
              <w:t xml:space="preserve"> (no DIY work)</w:t>
            </w:r>
            <w:r w:rsidRPr="00577966">
              <w:t>.</w:t>
            </w:r>
          </w:p>
        </w:tc>
      </w:tr>
      <w:tr w:rsidR="00676882" w14:paraId="7DECF222" w14:textId="77777777" w:rsidTr="00DF45FA">
        <w:trPr>
          <w:gridBefore w:val="1"/>
          <w:wBefore w:w="454" w:type="dxa"/>
        </w:trPr>
        <w:tc>
          <w:tcPr>
            <w:tcW w:w="1118" w:type="dxa"/>
            <w:tcBorders>
              <w:top w:val="single" w:sz="4" w:space="0" w:color="646464"/>
            </w:tcBorders>
            <w:shd w:val="clear" w:color="auto" w:fill="E5E5E5"/>
          </w:tcPr>
          <w:p w14:paraId="47D3A5FA" w14:textId="77777777" w:rsidR="00676882" w:rsidRDefault="00676882" w:rsidP="00DF45FA">
            <w:pPr>
              <w:pStyle w:val="Tabletext"/>
            </w:pPr>
            <w:r w:rsidRPr="003E752E">
              <w:rPr>
                <w:b/>
                <w:bCs/>
              </w:rPr>
              <w:lastRenderedPageBreak/>
              <w:t>Benefits</w:t>
            </w:r>
          </w:p>
        </w:tc>
        <w:tc>
          <w:tcPr>
            <w:tcW w:w="1560" w:type="dxa"/>
            <w:tcBorders>
              <w:top w:val="single" w:sz="4" w:space="0" w:color="646464"/>
            </w:tcBorders>
            <w:shd w:val="clear" w:color="auto" w:fill="E5E5E5"/>
          </w:tcPr>
          <w:p w14:paraId="1D935059" w14:textId="77777777" w:rsidR="00676882" w:rsidRDefault="00676882" w:rsidP="00DF45FA">
            <w:pPr>
              <w:pStyle w:val="Tabletext"/>
            </w:pPr>
          </w:p>
        </w:tc>
        <w:tc>
          <w:tcPr>
            <w:tcW w:w="12158" w:type="dxa"/>
            <w:tcBorders>
              <w:top w:val="single" w:sz="4" w:space="0" w:color="646464"/>
            </w:tcBorders>
            <w:shd w:val="clear" w:color="auto" w:fill="E5E5E5"/>
          </w:tcPr>
          <w:p w14:paraId="377E28B8" w14:textId="77777777" w:rsidR="00676882" w:rsidRDefault="00676882" w:rsidP="00DF45FA">
            <w:pPr>
              <w:pStyle w:val="Tabletext"/>
            </w:pPr>
          </w:p>
        </w:tc>
      </w:tr>
      <w:tr w:rsidR="00676882" w14:paraId="277A13C7" w14:textId="77777777" w:rsidTr="00DF45FA">
        <w:trPr>
          <w:gridBefore w:val="1"/>
          <w:wBefore w:w="454" w:type="dxa"/>
        </w:trPr>
        <w:tc>
          <w:tcPr>
            <w:tcW w:w="1118" w:type="dxa"/>
            <w:vMerge w:val="restart"/>
            <w:shd w:val="clear" w:color="auto" w:fill="auto"/>
          </w:tcPr>
          <w:p w14:paraId="0611F3A6" w14:textId="77777777" w:rsidR="00676882" w:rsidRDefault="00676882" w:rsidP="00DF45FA">
            <w:pPr>
              <w:pStyle w:val="Tabletext"/>
            </w:pPr>
            <w:r w:rsidRPr="009416E6">
              <w:t>Households</w:t>
            </w:r>
          </w:p>
        </w:tc>
        <w:tc>
          <w:tcPr>
            <w:tcW w:w="1560" w:type="dxa"/>
            <w:shd w:val="clear" w:color="auto" w:fill="auto"/>
          </w:tcPr>
          <w:p w14:paraId="79BCCCFE" w14:textId="77777777" w:rsidR="00676882" w:rsidRDefault="00676882" w:rsidP="00DF45FA">
            <w:pPr>
              <w:pStyle w:val="Tabletext"/>
            </w:pPr>
            <w:r>
              <w:t>Reduced utility bills accruing from reduced energy use</w:t>
            </w:r>
          </w:p>
        </w:tc>
        <w:tc>
          <w:tcPr>
            <w:tcW w:w="12158" w:type="dxa"/>
            <w:shd w:val="clear" w:color="auto" w:fill="auto"/>
          </w:tcPr>
          <w:p w14:paraId="5B11141F" w14:textId="77777777" w:rsidR="00676882" w:rsidRDefault="00676882" w:rsidP="00DF45FA">
            <w:pPr>
              <w:pStyle w:val="Tablelistbullet"/>
            </w:pPr>
            <w:r>
              <w:t>Energy savings — the following assumptions will be used in the calculation of energy savings:</w:t>
            </w:r>
          </w:p>
          <w:p w14:paraId="393DE02C" w14:textId="77777777" w:rsidR="00676882" w:rsidRDefault="00676882" w:rsidP="00DF45FA">
            <w:pPr>
              <w:pStyle w:val="Tablelistbullet2"/>
              <w:tabs>
                <w:tab w:val="clear" w:pos="360"/>
              </w:tabs>
            </w:pPr>
            <w:r>
              <w:t>Insulation has a lifespan of 25 years, after which the quality of the insulation means it is no longer to the quality of the standards and may have very little benefit in some cases.</w:t>
            </w:r>
          </w:p>
          <w:p w14:paraId="15CDDBF1" w14:textId="77777777" w:rsidR="00676882" w:rsidRDefault="00676882" w:rsidP="00DF45FA">
            <w:pPr>
              <w:pStyle w:val="Tablelistbullet2"/>
              <w:tabs>
                <w:tab w:val="clear" w:pos="360"/>
              </w:tabs>
            </w:pPr>
            <w:r>
              <w:t xml:space="preserve">5% of Class 1 rental properties that require insulation cannot physically install it (this is based on ballpark estimates mentioned during consultations with stakeholders), so only 95% of the total ‘upgradable’ properties will be </w:t>
            </w:r>
            <w:proofErr w:type="gramStart"/>
            <w:r>
              <w:t>actually upgraded</w:t>
            </w:r>
            <w:proofErr w:type="gramEnd"/>
          </w:p>
          <w:p w14:paraId="157B6BDE" w14:textId="77777777" w:rsidR="00676882" w:rsidRDefault="00676882" w:rsidP="00DF45FA">
            <w:pPr>
              <w:pStyle w:val="Tablelistbullet2"/>
              <w:tabs>
                <w:tab w:val="clear" w:pos="360"/>
              </w:tabs>
            </w:pPr>
            <w:r>
              <w:t>two thirds of Class 2 rental properties that require insulation cannot physically install it (only some top floor units can install insulation). So only one third of susceptible properties have been upgraded.</w:t>
            </w:r>
          </w:p>
          <w:p w14:paraId="3AE5E9C8" w14:textId="77777777" w:rsidR="00676882" w:rsidRDefault="00676882" w:rsidP="00DF45FA">
            <w:pPr>
              <w:pStyle w:val="Tablelistbullet2"/>
              <w:tabs>
                <w:tab w:val="clear" w:pos="360"/>
              </w:tabs>
            </w:pPr>
            <w:r>
              <w:t>Rebound effect — as noted above, e</w:t>
            </w:r>
            <w:r w:rsidRPr="003E752E">
              <w:t>nergy</w:t>
            </w:r>
            <w:r>
              <w:t xml:space="preserve"> </w:t>
            </w:r>
            <w:r w:rsidRPr="003E752E">
              <w:t>savings</w:t>
            </w:r>
            <w:r>
              <w:t xml:space="preserve"> </w:t>
            </w:r>
            <w:r w:rsidRPr="003E752E">
              <w:t>from</w:t>
            </w:r>
            <w:r>
              <w:t xml:space="preserve"> </w:t>
            </w:r>
            <w:r w:rsidRPr="003E752E">
              <w:t>implemented</w:t>
            </w:r>
            <w:r>
              <w:t xml:space="preserve"> </w:t>
            </w:r>
            <w:r w:rsidRPr="003E752E">
              <w:t>energy</w:t>
            </w:r>
            <w:r>
              <w:t xml:space="preserve"> </w:t>
            </w:r>
            <w:r w:rsidRPr="003E752E">
              <w:t>efficiency</w:t>
            </w:r>
            <w:r>
              <w:t xml:space="preserve"> </w:t>
            </w:r>
            <w:r w:rsidRPr="003E752E">
              <w:t>measures</w:t>
            </w:r>
            <w:r>
              <w:t xml:space="preserve"> </w:t>
            </w:r>
            <w:r w:rsidRPr="003E752E">
              <w:t>may</w:t>
            </w:r>
            <w:r>
              <w:t xml:space="preserve"> </w:t>
            </w:r>
            <w:r w:rsidRPr="003E752E">
              <w:t>not</w:t>
            </w:r>
            <w:r>
              <w:t xml:space="preserve"> </w:t>
            </w:r>
            <w:r w:rsidRPr="003E752E">
              <w:t>materialise</w:t>
            </w:r>
            <w:r>
              <w:t xml:space="preserve"> due to the rebound factor. </w:t>
            </w:r>
            <w:r w:rsidRPr="00D60553">
              <w:t>Empirical</w:t>
            </w:r>
            <w:r>
              <w:t xml:space="preserve"> </w:t>
            </w:r>
            <w:r w:rsidRPr="00D60553">
              <w:t>evidence</w:t>
            </w:r>
            <w:r>
              <w:t xml:space="preserve"> </w:t>
            </w:r>
            <w:r w:rsidRPr="00D60553">
              <w:t>suggests</w:t>
            </w:r>
            <w:r>
              <w:t xml:space="preserve"> </w:t>
            </w:r>
            <w:r w:rsidRPr="00D60553">
              <w:t>that</w:t>
            </w:r>
            <w:r>
              <w:t xml:space="preserve"> </w:t>
            </w:r>
            <w:r w:rsidRPr="00D60553">
              <w:t>the</w:t>
            </w:r>
            <w:r>
              <w:t xml:space="preserve"> </w:t>
            </w:r>
            <w:r w:rsidRPr="00D60553">
              <w:t>rebound</w:t>
            </w:r>
            <w:r>
              <w:t xml:space="preserve"> </w:t>
            </w:r>
            <w:r w:rsidRPr="00D60553">
              <w:t>effect</w:t>
            </w:r>
            <w:r>
              <w:t xml:space="preserve"> </w:t>
            </w:r>
            <w:r w:rsidRPr="00D60553">
              <w:t>is</w:t>
            </w:r>
            <w:r>
              <w:t xml:space="preserve"> </w:t>
            </w:r>
            <w:r w:rsidRPr="00D60553">
              <w:t>real.</w:t>
            </w:r>
            <w:r>
              <w:t xml:space="preserve"> </w:t>
            </w:r>
            <w:r w:rsidRPr="00D60553">
              <w:t>However,</w:t>
            </w:r>
            <w:r>
              <w:t xml:space="preserve"> </w:t>
            </w:r>
            <w:r w:rsidRPr="00D60553">
              <w:t>the</w:t>
            </w:r>
            <w:r>
              <w:t xml:space="preserve"> </w:t>
            </w:r>
            <w:r w:rsidRPr="00D60553">
              <w:t>evidence</w:t>
            </w:r>
            <w:r>
              <w:t xml:space="preserve"> </w:t>
            </w:r>
            <w:r w:rsidRPr="00D60553">
              <w:t>also</w:t>
            </w:r>
            <w:r>
              <w:t xml:space="preserve"> </w:t>
            </w:r>
            <w:r w:rsidRPr="00D60553">
              <w:t>suggests</w:t>
            </w:r>
            <w:r>
              <w:t xml:space="preserve"> </w:t>
            </w:r>
            <w:r w:rsidRPr="00D60553">
              <w:t>that</w:t>
            </w:r>
            <w:r>
              <w:t xml:space="preserve"> </w:t>
            </w:r>
            <w:r w:rsidRPr="00D60553">
              <w:t>the</w:t>
            </w:r>
            <w:r>
              <w:t xml:space="preserve"> </w:t>
            </w:r>
            <w:r w:rsidRPr="00D60553">
              <w:t>magnitude</w:t>
            </w:r>
            <w:r>
              <w:t xml:space="preserve"> </w:t>
            </w:r>
            <w:r w:rsidRPr="00D60553">
              <w:t>of</w:t>
            </w:r>
            <w:r>
              <w:t xml:space="preserve"> </w:t>
            </w:r>
            <w:r w:rsidRPr="00D60553">
              <w:t>the</w:t>
            </w:r>
            <w:r>
              <w:t xml:space="preserve"> </w:t>
            </w:r>
            <w:r w:rsidRPr="00D60553">
              <w:t>effect</w:t>
            </w:r>
            <w:r>
              <w:t xml:space="preserve"> </w:t>
            </w:r>
            <w:r w:rsidRPr="00D60553">
              <w:t>is</w:t>
            </w:r>
            <w:r>
              <w:t xml:space="preserve"> </w:t>
            </w:r>
            <w:r w:rsidRPr="00D60553">
              <w:t>highly</w:t>
            </w:r>
            <w:r>
              <w:t xml:space="preserve"> </w:t>
            </w:r>
            <w:r w:rsidRPr="00D60553">
              <w:t>variable</w:t>
            </w:r>
            <w:r>
              <w:t xml:space="preserve"> </w:t>
            </w:r>
            <w:r w:rsidRPr="00D60553">
              <w:t>and</w:t>
            </w:r>
            <w:r>
              <w:t xml:space="preserve"> </w:t>
            </w:r>
            <w:r w:rsidRPr="00D60553">
              <w:t>context</w:t>
            </w:r>
            <w:r>
              <w:t xml:space="preserve"> </w:t>
            </w:r>
            <w:r w:rsidRPr="00D60553">
              <w:t>specific</w:t>
            </w:r>
            <w:r>
              <w:t xml:space="preserve">. </w:t>
            </w:r>
            <w:r w:rsidRPr="00B45830">
              <w:t>Given</w:t>
            </w:r>
            <w:r>
              <w:t xml:space="preserve"> </w:t>
            </w:r>
            <w:r w:rsidRPr="00B45830">
              <w:t>the</w:t>
            </w:r>
            <w:r>
              <w:t xml:space="preserve"> </w:t>
            </w:r>
            <w:r w:rsidRPr="00B45830">
              <w:t>uncertainty</w:t>
            </w:r>
            <w:r>
              <w:t xml:space="preserve"> </w:t>
            </w:r>
            <w:r w:rsidRPr="00B45830">
              <w:t>associated</w:t>
            </w:r>
            <w:r>
              <w:t xml:space="preserve"> </w:t>
            </w:r>
            <w:r w:rsidRPr="00B45830">
              <w:t>with</w:t>
            </w:r>
            <w:r>
              <w:t xml:space="preserve"> </w:t>
            </w:r>
            <w:r w:rsidRPr="00B45830">
              <w:t>the</w:t>
            </w:r>
            <w:r>
              <w:t xml:space="preserve"> </w:t>
            </w:r>
            <w:r w:rsidRPr="00B45830">
              <w:t>rebound</w:t>
            </w:r>
            <w:r>
              <w:t xml:space="preserve"> </w:t>
            </w:r>
            <w:r w:rsidRPr="00B45830">
              <w:t>factor,</w:t>
            </w:r>
            <w:r>
              <w:t xml:space="preserve"> </w:t>
            </w:r>
            <w:r w:rsidRPr="00B45830">
              <w:t>we</w:t>
            </w:r>
            <w:r>
              <w:t xml:space="preserve"> </w:t>
            </w:r>
            <w:r w:rsidRPr="00B45830">
              <w:t>have</w:t>
            </w:r>
            <w:r>
              <w:t xml:space="preserve"> </w:t>
            </w:r>
            <w:r w:rsidRPr="00B45830">
              <w:t>assessed</w:t>
            </w:r>
            <w:r>
              <w:t xml:space="preserve"> </w:t>
            </w:r>
            <w:r w:rsidRPr="00B45830">
              <w:t>the</w:t>
            </w:r>
            <w:r>
              <w:t xml:space="preserve"> </w:t>
            </w:r>
            <w:r w:rsidRPr="00B45830">
              <w:t>energy</w:t>
            </w:r>
            <w:r>
              <w:t xml:space="preserve"> </w:t>
            </w:r>
            <w:r w:rsidRPr="00B45830">
              <w:t>savings</w:t>
            </w:r>
            <w:r>
              <w:t xml:space="preserve"> </w:t>
            </w:r>
            <w:r w:rsidRPr="00B45830">
              <w:t>based</w:t>
            </w:r>
            <w:r>
              <w:t xml:space="preserve"> </w:t>
            </w:r>
            <w:r w:rsidRPr="00B45830">
              <w:t>on</w:t>
            </w:r>
            <w:r>
              <w:t xml:space="preserve"> </w:t>
            </w:r>
            <w:r w:rsidRPr="00B45830">
              <w:t>a</w:t>
            </w:r>
            <w:r>
              <w:t xml:space="preserve"> </w:t>
            </w:r>
            <w:r w:rsidRPr="00B45830">
              <w:t>rebound</w:t>
            </w:r>
            <w:r>
              <w:t xml:space="preserve"> </w:t>
            </w:r>
            <w:r w:rsidRPr="00B45830">
              <w:t>factor</w:t>
            </w:r>
            <w:r>
              <w:t xml:space="preserve"> </w:t>
            </w:r>
            <w:r w:rsidRPr="00B45830">
              <w:t>of</w:t>
            </w:r>
            <w:r>
              <w:t xml:space="preserve"> </w:t>
            </w:r>
            <w:r w:rsidRPr="00B45830">
              <w:t>10</w:t>
            </w:r>
            <w:r>
              <w:t xml:space="preserve"> </w:t>
            </w:r>
            <w:r w:rsidRPr="00B45830">
              <w:t>per</w:t>
            </w:r>
            <w:r>
              <w:t xml:space="preserve"> </w:t>
            </w:r>
            <w:r w:rsidRPr="00B45830">
              <w:t>cent.</w:t>
            </w:r>
          </w:p>
          <w:p w14:paraId="21467819" w14:textId="77777777" w:rsidR="00676882" w:rsidRDefault="00676882" w:rsidP="00DF45FA">
            <w:pPr>
              <w:pStyle w:val="Tablelistbullet2"/>
              <w:tabs>
                <w:tab w:val="clear" w:pos="360"/>
              </w:tabs>
            </w:pPr>
            <w:r>
              <w:t>As discussed above, the energy savings will be valued using wholesale fuel prices drawing on ACIL Allen’s energy market modelling for fuel prices.</w:t>
            </w:r>
          </w:p>
        </w:tc>
      </w:tr>
      <w:tr w:rsidR="00676882" w14:paraId="25DDF0D5" w14:textId="77777777" w:rsidTr="00DF45FA">
        <w:trPr>
          <w:gridBefore w:val="1"/>
          <w:wBefore w:w="454" w:type="dxa"/>
        </w:trPr>
        <w:tc>
          <w:tcPr>
            <w:tcW w:w="1118" w:type="dxa"/>
            <w:vMerge/>
            <w:shd w:val="clear" w:color="auto" w:fill="auto"/>
          </w:tcPr>
          <w:p w14:paraId="115571B8" w14:textId="77777777" w:rsidR="00676882" w:rsidRDefault="00676882" w:rsidP="00DF45FA">
            <w:pPr>
              <w:pStyle w:val="Tabletext"/>
            </w:pPr>
          </w:p>
        </w:tc>
        <w:tc>
          <w:tcPr>
            <w:tcW w:w="1560" w:type="dxa"/>
            <w:shd w:val="clear" w:color="auto" w:fill="auto"/>
          </w:tcPr>
          <w:p w14:paraId="15F84AB5" w14:textId="77777777" w:rsidR="00676882" w:rsidRDefault="00676882" w:rsidP="00DF45FA">
            <w:pPr>
              <w:pStyle w:val="Tabletext"/>
            </w:pPr>
            <w:r>
              <w:t>Health benefits</w:t>
            </w:r>
          </w:p>
        </w:tc>
        <w:tc>
          <w:tcPr>
            <w:tcW w:w="12158" w:type="dxa"/>
            <w:shd w:val="clear" w:color="auto" w:fill="auto"/>
          </w:tcPr>
          <w:p w14:paraId="7156B155" w14:textId="77777777" w:rsidR="00676882" w:rsidRDefault="00676882" w:rsidP="00DF45FA">
            <w:pPr>
              <w:pStyle w:val="Tabletext"/>
            </w:pPr>
            <w:r>
              <w:t xml:space="preserve">Described in greater detail in appendix section </w:t>
            </w:r>
            <w:r w:rsidRPr="009E4AB1">
              <w:fldChar w:fldCharType="begin"/>
            </w:r>
            <w:r w:rsidRPr="009E4AB1">
              <w:instrText xml:space="preserve"> REF _Ref80461159 \r \h  \* MERGEFORMAT </w:instrText>
            </w:r>
            <w:r w:rsidRPr="009E4AB1">
              <w:fldChar w:fldCharType="separate"/>
            </w:r>
            <w:r>
              <w:t>B.1.1</w:t>
            </w:r>
            <w:r w:rsidRPr="009E4AB1">
              <w:fldChar w:fldCharType="end"/>
            </w:r>
            <w:r>
              <w:t>.</w:t>
            </w:r>
          </w:p>
        </w:tc>
      </w:tr>
      <w:tr w:rsidR="00676882" w14:paraId="084D393A" w14:textId="77777777" w:rsidTr="00DF45FA">
        <w:trPr>
          <w:gridBefore w:val="1"/>
          <w:wBefore w:w="454" w:type="dxa"/>
        </w:trPr>
        <w:tc>
          <w:tcPr>
            <w:tcW w:w="1118" w:type="dxa"/>
            <w:shd w:val="clear" w:color="auto" w:fill="auto"/>
          </w:tcPr>
          <w:p w14:paraId="4E6CE508" w14:textId="77777777" w:rsidR="00676882" w:rsidRDefault="00676882" w:rsidP="00DF45FA">
            <w:pPr>
              <w:pStyle w:val="Tabletext"/>
            </w:pPr>
            <w:r>
              <w:t>Society</w:t>
            </w:r>
          </w:p>
        </w:tc>
        <w:tc>
          <w:tcPr>
            <w:tcW w:w="1560" w:type="dxa"/>
            <w:shd w:val="clear" w:color="auto" w:fill="auto"/>
          </w:tcPr>
          <w:p w14:paraId="429B52F3" w14:textId="77777777" w:rsidR="00676882" w:rsidRDefault="00676882" w:rsidP="00676882">
            <w:pPr>
              <w:pStyle w:val="Tablelistbullet"/>
              <w:numPr>
                <w:ilvl w:val="0"/>
                <w:numId w:val="59"/>
              </w:numPr>
              <w:spacing w:before="60" w:after="0"/>
              <w:ind w:right="120"/>
            </w:pPr>
            <w:r>
              <w:t xml:space="preserve">Reduced greenhouse gas emissions from household gas use </w:t>
            </w:r>
          </w:p>
          <w:p w14:paraId="5BCA1575" w14:textId="77777777" w:rsidR="00676882" w:rsidRDefault="00676882" w:rsidP="00676882">
            <w:pPr>
              <w:pStyle w:val="Tablelistbullet"/>
              <w:numPr>
                <w:ilvl w:val="0"/>
                <w:numId w:val="59"/>
              </w:numPr>
              <w:spacing w:before="60" w:after="0"/>
              <w:ind w:right="120"/>
            </w:pPr>
            <w:r>
              <w:t>Reduced renewable energy offsets for the ACT</w:t>
            </w:r>
          </w:p>
          <w:p w14:paraId="72A619E5" w14:textId="77777777" w:rsidR="00676882" w:rsidRDefault="00676882" w:rsidP="00676882">
            <w:pPr>
              <w:pStyle w:val="Tablelistbullet"/>
              <w:numPr>
                <w:ilvl w:val="0"/>
                <w:numId w:val="59"/>
              </w:numPr>
              <w:spacing w:before="60" w:after="0"/>
              <w:ind w:right="120"/>
            </w:pPr>
            <w:r>
              <w:t>Avoided electricity network costs</w:t>
            </w:r>
          </w:p>
          <w:p w14:paraId="693C51B6" w14:textId="77777777" w:rsidR="00676882" w:rsidRDefault="00676882" w:rsidP="00676882">
            <w:pPr>
              <w:pStyle w:val="Tablelistbullet"/>
              <w:numPr>
                <w:ilvl w:val="0"/>
                <w:numId w:val="59"/>
              </w:numPr>
              <w:spacing w:before="60" w:after="0"/>
              <w:ind w:right="120"/>
            </w:pPr>
            <w:r>
              <w:t>I</w:t>
            </w:r>
            <w:r w:rsidRPr="00577966">
              <w:t>mproved</w:t>
            </w:r>
            <w:r>
              <w:t xml:space="preserve"> </w:t>
            </w:r>
            <w:r w:rsidRPr="00577966">
              <w:t>air</w:t>
            </w:r>
            <w:r>
              <w:t xml:space="preserve"> </w:t>
            </w:r>
            <w:r w:rsidRPr="00577966">
              <w:t>quality</w:t>
            </w:r>
            <w:r>
              <w:t xml:space="preserve"> </w:t>
            </w:r>
            <w:r w:rsidRPr="00577966">
              <w:t>benefits</w:t>
            </w:r>
          </w:p>
        </w:tc>
        <w:tc>
          <w:tcPr>
            <w:tcW w:w="12158" w:type="dxa"/>
            <w:shd w:val="clear" w:color="auto" w:fill="auto"/>
          </w:tcPr>
          <w:p w14:paraId="4A17A622" w14:textId="77777777" w:rsidR="00676882" w:rsidRDefault="00676882" w:rsidP="00DF45FA">
            <w:pPr>
              <w:pStyle w:val="Tabletext"/>
            </w:pPr>
            <w:r>
              <w:t xml:space="preserve">Described in greater detail in appendix section </w:t>
            </w:r>
            <w:r w:rsidRPr="009E4AB1">
              <w:fldChar w:fldCharType="begin"/>
            </w:r>
            <w:r w:rsidRPr="009E4AB1">
              <w:instrText xml:space="preserve"> REF _Ref80461159 \r \h  \* MERGEFORMAT </w:instrText>
            </w:r>
            <w:r w:rsidRPr="009E4AB1">
              <w:fldChar w:fldCharType="separate"/>
            </w:r>
            <w:r>
              <w:t>B.1.1</w:t>
            </w:r>
            <w:r w:rsidRPr="009E4AB1">
              <w:fldChar w:fldCharType="end"/>
            </w:r>
            <w:r>
              <w:t>.</w:t>
            </w:r>
          </w:p>
        </w:tc>
      </w:tr>
      <w:tr w:rsidR="00676882" w14:paraId="2CDAA884" w14:textId="77777777" w:rsidTr="00DF45FA">
        <w:trPr>
          <w:gridBefore w:val="1"/>
          <w:wBefore w:w="454" w:type="dxa"/>
        </w:trPr>
        <w:tc>
          <w:tcPr>
            <w:tcW w:w="14836" w:type="dxa"/>
            <w:gridSpan w:val="3"/>
            <w:tcBorders>
              <w:bottom w:val="single" w:sz="4" w:space="0" w:color="646464"/>
            </w:tcBorders>
            <w:shd w:val="clear" w:color="auto" w:fill="auto"/>
          </w:tcPr>
          <w:p w14:paraId="15991581" w14:textId="77777777" w:rsidR="00676882" w:rsidRDefault="00676882" w:rsidP="00DF45FA">
            <w:pPr>
              <w:pStyle w:val="Source"/>
            </w:pPr>
            <w:r>
              <w:t>Source: ACIL Allen</w:t>
            </w:r>
          </w:p>
        </w:tc>
      </w:tr>
      <w:tr w:rsidR="00676882" w14:paraId="4A6B3063" w14:textId="77777777" w:rsidTr="00DF45FA">
        <w:trPr>
          <w:gridBefore w:val="1"/>
          <w:wBefore w:w="454" w:type="dxa"/>
          <w:trHeight w:hRule="exact" w:val="160"/>
        </w:trPr>
        <w:tc>
          <w:tcPr>
            <w:tcW w:w="14836" w:type="dxa"/>
            <w:gridSpan w:val="3"/>
            <w:tcBorders>
              <w:top w:val="single" w:sz="4" w:space="0" w:color="646464"/>
              <w:bottom w:val="nil"/>
            </w:tcBorders>
            <w:shd w:val="clear" w:color="auto" w:fill="auto"/>
          </w:tcPr>
          <w:p w14:paraId="5B7FA1B3" w14:textId="77777777" w:rsidR="00676882" w:rsidRDefault="00676882" w:rsidP="00DF45FA">
            <w:pPr>
              <w:pStyle w:val="spacer"/>
            </w:pPr>
          </w:p>
        </w:tc>
      </w:tr>
    </w:tbl>
    <w:p w14:paraId="0D2C1013" w14:textId="77777777" w:rsidR="00676882" w:rsidRDefault="00676882" w:rsidP="00676882">
      <w:pPr>
        <w:pStyle w:val="BodyText"/>
      </w:pPr>
    </w:p>
    <w:p w14:paraId="6E714EAA" w14:textId="77777777" w:rsidR="00676882" w:rsidRDefault="00676882" w:rsidP="00676882">
      <w:pPr>
        <w:pStyle w:val="BodyText"/>
      </w:pPr>
    </w:p>
    <w:p w14:paraId="0BE3BE95" w14:textId="77777777" w:rsidR="00676882" w:rsidRDefault="00676882" w:rsidP="00676882">
      <w:pPr>
        <w:pStyle w:val="BodyText"/>
      </w:pPr>
    </w:p>
    <w:p w14:paraId="3B13001E" w14:textId="77777777" w:rsidR="00676882" w:rsidRDefault="00676882" w:rsidP="00676882">
      <w:pPr>
        <w:pStyle w:val="Caption"/>
        <w:ind w:left="-790"/>
      </w:pPr>
      <w:bookmarkStart w:id="416" w:name="_Ref76314894"/>
      <w:bookmarkStart w:id="417" w:name="_Toc80719344"/>
      <w:r w:rsidRPr="00577966">
        <w:rPr>
          <w:rStyle w:val="CaptionLabel"/>
        </w:rPr>
        <w:lastRenderedPageBreak/>
        <w:t>Table </w:t>
      </w:r>
      <w:r w:rsidRPr="00577966">
        <w:rPr>
          <w:rStyle w:val="CaptionLabel"/>
        </w:rPr>
        <w:fldChar w:fldCharType="begin"/>
      </w:r>
      <w:r w:rsidRPr="00577966">
        <w:rPr>
          <w:rStyle w:val="CaptionLabel"/>
        </w:rPr>
        <w:instrText xml:space="preserve"> STYLEREF 9 \S \* MERGEFORMAT </w:instrText>
      </w:r>
      <w:r w:rsidRPr="00577966">
        <w:rPr>
          <w:rStyle w:val="CaptionLabel"/>
        </w:rPr>
        <w:fldChar w:fldCharType="separate"/>
      </w:r>
      <w:r>
        <w:rPr>
          <w:rStyle w:val="CaptionLabel"/>
          <w:noProof/>
        </w:rPr>
        <w:t>B</w:t>
      </w:r>
      <w:r w:rsidRPr="00577966">
        <w:rPr>
          <w:rStyle w:val="CaptionLabel"/>
        </w:rPr>
        <w:fldChar w:fldCharType="end"/>
      </w:r>
      <w:r w:rsidRPr="00577966">
        <w:rPr>
          <w:rStyle w:val="CaptionLabel"/>
        </w:rPr>
        <w:t>.</w:t>
      </w:r>
      <w:r w:rsidRPr="00577966">
        <w:rPr>
          <w:rStyle w:val="CaptionLabel"/>
        </w:rPr>
        <w:fldChar w:fldCharType="begin"/>
      </w:r>
      <w:r w:rsidRPr="00577966">
        <w:rPr>
          <w:rStyle w:val="CaptionLabel"/>
        </w:rPr>
        <w:instrText xml:space="preserve"> SEQ Table_AP \* ARABIC \S 9 \* MERGEFORMAT </w:instrText>
      </w:r>
      <w:r w:rsidRPr="00577966">
        <w:rPr>
          <w:rStyle w:val="CaptionLabel"/>
        </w:rPr>
        <w:fldChar w:fldCharType="separate"/>
      </w:r>
      <w:r>
        <w:rPr>
          <w:rStyle w:val="CaptionLabel"/>
          <w:noProof/>
        </w:rPr>
        <w:t>7</w:t>
      </w:r>
      <w:r w:rsidRPr="00577966">
        <w:rPr>
          <w:rStyle w:val="CaptionLabel"/>
        </w:rPr>
        <w:fldChar w:fldCharType="end"/>
      </w:r>
      <w:r>
        <w:tab/>
      </w:r>
      <w:r w:rsidRPr="00E32F3A">
        <w:t>Costs,</w:t>
      </w:r>
      <w:r>
        <w:t xml:space="preserve"> </w:t>
      </w:r>
      <w:r w:rsidRPr="00E32F3A">
        <w:t>benefits</w:t>
      </w:r>
      <w:r>
        <w:t xml:space="preserve"> </w:t>
      </w:r>
      <w:r w:rsidRPr="00E32F3A">
        <w:t>and</w:t>
      </w:r>
      <w:r>
        <w:t xml:space="preserve"> </w:t>
      </w:r>
      <w:r w:rsidRPr="00E32F3A">
        <w:t>assumptions</w:t>
      </w:r>
      <w:r>
        <w:t xml:space="preserve"> </w:t>
      </w:r>
      <w:r w:rsidRPr="00E32F3A">
        <w:t>included</w:t>
      </w:r>
      <w:r>
        <w:t xml:space="preserve"> </w:t>
      </w:r>
      <w:r w:rsidRPr="00E32F3A">
        <w:t>in</w:t>
      </w:r>
      <w:r>
        <w:t xml:space="preserve"> </w:t>
      </w:r>
      <w:r w:rsidRPr="00E32F3A">
        <w:t>the</w:t>
      </w:r>
      <w:r>
        <w:t xml:space="preserve"> </w:t>
      </w:r>
      <w:r w:rsidRPr="00E32F3A">
        <w:t>CBA</w:t>
      </w:r>
      <w:r>
        <w:t xml:space="preserve"> </w:t>
      </w:r>
      <w:r w:rsidRPr="00E32F3A">
        <w:t>model</w:t>
      </w:r>
      <w:r>
        <w:t xml:space="preserve"> </w:t>
      </w:r>
      <w:r w:rsidRPr="00E32F3A">
        <w:t xml:space="preserve">– </w:t>
      </w:r>
      <w:r>
        <w:t>heater</w:t>
      </w:r>
      <w:bookmarkEnd w:id="416"/>
      <w:bookmarkEnd w:id="417"/>
    </w:p>
    <w:tbl>
      <w:tblPr>
        <w:tblW w:w="15290" w:type="dxa"/>
        <w:tblInd w:w="-2423"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B.7"/>
        <w:tblDescription w:val="Costs, benefits and assumptions included in the CBA model – heater"/>
      </w:tblPr>
      <w:tblGrid>
        <w:gridCol w:w="454"/>
        <w:gridCol w:w="1118"/>
        <w:gridCol w:w="1560"/>
        <w:gridCol w:w="12158"/>
      </w:tblGrid>
      <w:tr w:rsidR="00676882" w14:paraId="652458D2" w14:textId="77777777" w:rsidTr="00DF45FA">
        <w:trPr>
          <w:tblHeader/>
        </w:trPr>
        <w:tc>
          <w:tcPr>
            <w:tcW w:w="1572" w:type="dxa"/>
            <w:gridSpan w:val="2"/>
            <w:tcBorders>
              <w:top w:val="nil"/>
              <w:bottom w:val="nil"/>
            </w:tcBorders>
            <w:shd w:val="clear" w:color="auto" w:fill="140034"/>
            <w:tcMar>
              <w:left w:w="454" w:type="dxa"/>
            </w:tcMar>
          </w:tcPr>
          <w:p w14:paraId="62F85C42" w14:textId="77777777" w:rsidR="00676882" w:rsidRDefault="00676882" w:rsidP="00DF45FA">
            <w:pPr>
              <w:pStyle w:val="Tablecolumnheadings"/>
            </w:pPr>
            <w:r>
              <w:t>Heading</w:t>
            </w:r>
          </w:p>
        </w:tc>
        <w:tc>
          <w:tcPr>
            <w:tcW w:w="1560" w:type="dxa"/>
            <w:tcBorders>
              <w:top w:val="nil"/>
              <w:bottom w:val="nil"/>
            </w:tcBorders>
            <w:shd w:val="clear" w:color="auto" w:fill="140034"/>
          </w:tcPr>
          <w:p w14:paraId="6CF83640" w14:textId="77777777" w:rsidR="00676882" w:rsidRDefault="00676882" w:rsidP="00DF45FA">
            <w:pPr>
              <w:pStyle w:val="Tablecolumnheadings"/>
            </w:pPr>
            <w:r>
              <w:t>Item</w:t>
            </w:r>
          </w:p>
        </w:tc>
        <w:tc>
          <w:tcPr>
            <w:tcW w:w="12158" w:type="dxa"/>
            <w:tcBorders>
              <w:top w:val="nil"/>
              <w:bottom w:val="nil"/>
              <w:right w:val="single" w:sz="6" w:space="0" w:color="140034"/>
            </w:tcBorders>
            <w:shd w:val="clear" w:color="auto" w:fill="140034"/>
          </w:tcPr>
          <w:p w14:paraId="09463322" w14:textId="77777777" w:rsidR="00676882" w:rsidRDefault="00676882" w:rsidP="00DF45FA">
            <w:pPr>
              <w:pStyle w:val="Tablecolumnheadings"/>
            </w:pPr>
            <w:r>
              <w:t>Related assumptions/notes</w:t>
            </w:r>
          </w:p>
        </w:tc>
      </w:tr>
      <w:tr w:rsidR="00676882" w14:paraId="0712874D" w14:textId="77777777" w:rsidTr="00DF45FA">
        <w:trPr>
          <w:gridBefore w:val="1"/>
          <w:wBefore w:w="454" w:type="dxa"/>
        </w:trPr>
        <w:tc>
          <w:tcPr>
            <w:tcW w:w="1118" w:type="dxa"/>
            <w:tcBorders>
              <w:top w:val="nil"/>
            </w:tcBorders>
            <w:shd w:val="clear" w:color="auto" w:fill="E5E5E5"/>
          </w:tcPr>
          <w:p w14:paraId="3E705658" w14:textId="77777777" w:rsidR="00676882" w:rsidRPr="00577966" w:rsidRDefault="00676882" w:rsidP="00DF45FA">
            <w:pPr>
              <w:pStyle w:val="Tableunitsrow"/>
              <w:rPr>
                <w:b/>
                <w:bCs/>
              </w:rPr>
            </w:pPr>
            <w:r w:rsidRPr="00B91548">
              <w:rPr>
                <w:b/>
                <w:bCs/>
              </w:rPr>
              <w:t>Costs</w:t>
            </w:r>
          </w:p>
        </w:tc>
        <w:tc>
          <w:tcPr>
            <w:tcW w:w="1560" w:type="dxa"/>
            <w:tcBorders>
              <w:top w:val="nil"/>
            </w:tcBorders>
            <w:shd w:val="clear" w:color="auto" w:fill="E5E5E5"/>
          </w:tcPr>
          <w:p w14:paraId="76AD3094" w14:textId="77777777" w:rsidR="00676882" w:rsidRDefault="00676882" w:rsidP="00DF45FA">
            <w:pPr>
              <w:pStyle w:val="Tableunitsrow"/>
            </w:pPr>
          </w:p>
        </w:tc>
        <w:tc>
          <w:tcPr>
            <w:tcW w:w="12158" w:type="dxa"/>
            <w:tcBorders>
              <w:top w:val="nil"/>
            </w:tcBorders>
            <w:shd w:val="clear" w:color="auto" w:fill="E5E5E5"/>
          </w:tcPr>
          <w:p w14:paraId="6D2D89F6" w14:textId="77777777" w:rsidR="00676882" w:rsidRDefault="00676882" w:rsidP="00DF45FA">
            <w:pPr>
              <w:pStyle w:val="Tableunitsrow"/>
            </w:pPr>
          </w:p>
        </w:tc>
      </w:tr>
      <w:tr w:rsidR="00676882" w14:paraId="31ECCC13" w14:textId="77777777" w:rsidTr="00DF45FA">
        <w:trPr>
          <w:gridBefore w:val="1"/>
          <w:wBefore w:w="454" w:type="dxa"/>
        </w:trPr>
        <w:tc>
          <w:tcPr>
            <w:tcW w:w="1118" w:type="dxa"/>
            <w:shd w:val="clear" w:color="auto" w:fill="auto"/>
          </w:tcPr>
          <w:p w14:paraId="6CDD3BDC" w14:textId="77777777" w:rsidR="00676882" w:rsidRDefault="00676882" w:rsidP="00DF45FA">
            <w:pPr>
              <w:pStyle w:val="Tabletext"/>
            </w:pPr>
            <w:r w:rsidRPr="009416E6">
              <w:t>Households</w:t>
            </w:r>
          </w:p>
        </w:tc>
        <w:tc>
          <w:tcPr>
            <w:tcW w:w="1560" w:type="dxa"/>
            <w:shd w:val="clear" w:color="auto" w:fill="auto"/>
          </w:tcPr>
          <w:p w14:paraId="7E4E4B2C" w14:textId="77777777" w:rsidR="00676882" w:rsidRPr="00577966" w:rsidRDefault="00676882" w:rsidP="00DF45FA">
            <w:pPr>
              <w:pStyle w:val="Tabletext"/>
            </w:pPr>
            <w:r>
              <w:t xml:space="preserve">Cost of energy efficiency upgrades </w:t>
            </w:r>
          </w:p>
        </w:tc>
        <w:tc>
          <w:tcPr>
            <w:tcW w:w="12158" w:type="dxa"/>
            <w:shd w:val="clear" w:color="auto" w:fill="auto"/>
          </w:tcPr>
          <w:p w14:paraId="1CA6D8B0" w14:textId="77777777" w:rsidR="00676882" w:rsidRDefault="00676882" w:rsidP="00DF45FA">
            <w:pPr>
              <w:pStyle w:val="Tablelistbullet"/>
            </w:pPr>
            <w:r>
              <w:t>It is assumed that there will be no requirement to prove that the rental property complies with the policy (</w:t>
            </w:r>
            <w:proofErr w:type="gramStart"/>
            <w:r>
              <w:t>i.e.</w:t>
            </w:r>
            <w:proofErr w:type="gramEnd"/>
            <w:r>
              <w:t xml:space="preserve"> other than the cost of upgrading the heater -if required- there will be no other compliance costs)</w:t>
            </w:r>
          </w:p>
          <w:p w14:paraId="47D39B99" w14:textId="77777777" w:rsidR="00676882" w:rsidRDefault="00676882" w:rsidP="00DF45FA">
            <w:pPr>
              <w:pStyle w:val="Tablelistbullet"/>
            </w:pPr>
            <w:r>
              <w:t>It is assumed that the installation of heaters can occur while the property is rented so it is assumed that there will be no loss in rental income for rental providers.</w:t>
            </w:r>
          </w:p>
          <w:p w14:paraId="1C05173F" w14:textId="77777777" w:rsidR="00676882" w:rsidRDefault="00676882" w:rsidP="00DF45FA">
            <w:pPr>
              <w:pStyle w:val="Tablelistbullet"/>
            </w:pPr>
            <w:r>
              <w:t>It is assumed that the costs of heaters remain constant in real terms over the analysis period (</w:t>
            </w:r>
            <w:proofErr w:type="gramStart"/>
            <w:r>
              <w:t>i.e.</w:t>
            </w:r>
            <w:proofErr w:type="gramEnd"/>
            <w:r>
              <w:t xml:space="preserve"> we will not include learning rates in the analysis).</w:t>
            </w:r>
          </w:p>
          <w:p w14:paraId="0A599D7D" w14:textId="77777777" w:rsidR="00676882" w:rsidRPr="00E41A8A" w:rsidRDefault="00676882" w:rsidP="00DF45FA">
            <w:pPr>
              <w:pStyle w:val="Tablelistbullet"/>
            </w:pPr>
            <w:r>
              <w:t xml:space="preserve">It is assumed that there will be ongoing maintenance costs of $250 per upgraded heater every three years in 45% of properties, which is equivalent to estimates of those existing heaters which do not require regular maintenance (resistance heaters or wood-fire). </w:t>
            </w:r>
          </w:p>
          <w:p w14:paraId="2AFB7078" w14:textId="77777777" w:rsidR="00676882" w:rsidRDefault="00676882" w:rsidP="00DF45FA">
            <w:pPr>
              <w:pStyle w:val="Tablelistbullet"/>
            </w:pPr>
            <w:r>
              <w:t>It is assumed that rental properties are subject to the policy requirements either:</w:t>
            </w:r>
          </w:p>
          <w:p w14:paraId="0B167DF2" w14:textId="77777777" w:rsidR="00676882" w:rsidRDefault="00676882" w:rsidP="00DF45FA">
            <w:pPr>
              <w:pStyle w:val="Tablelistbullet2"/>
              <w:tabs>
                <w:tab w:val="clear" w:pos="360"/>
              </w:tabs>
            </w:pPr>
            <w:r>
              <w:t>For existing (rolling) tenancies, drawing on the Poisson-distribution of tenancy lengths for NSW properties, the cumulative change is given by the (truncated) exponential distribution:</w:t>
            </w:r>
          </w:p>
          <w:p w14:paraId="78EA51ED" w14:textId="77777777" w:rsidR="00676882" w:rsidRDefault="00676882" w:rsidP="00DF45FA">
            <w:pPr>
              <w:pStyle w:val="Tablelistbullet3"/>
              <w:tabs>
                <w:tab w:val="clear" w:pos="360"/>
              </w:tabs>
              <w:ind w:left="760"/>
            </w:pPr>
            <w:r>
              <w:t>Year 1: 59%</w:t>
            </w:r>
          </w:p>
          <w:p w14:paraId="5055E6F6" w14:textId="77777777" w:rsidR="00676882" w:rsidRDefault="00676882" w:rsidP="00DF45FA">
            <w:pPr>
              <w:pStyle w:val="Tablelistbullet3"/>
              <w:tabs>
                <w:tab w:val="clear" w:pos="360"/>
              </w:tabs>
              <w:ind w:left="760"/>
            </w:pPr>
            <w:r>
              <w:t xml:space="preserve">Year 2: 83% </w:t>
            </w:r>
          </w:p>
          <w:p w14:paraId="0A8A3A92" w14:textId="77777777" w:rsidR="00676882" w:rsidRDefault="00676882" w:rsidP="00DF45FA">
            <w:pPr>
              <w:pStyle w:val="Tablelistbullet3"/>
              <w:tabs>
                <w:tab w:val="clear" w:pos="360"/>
              </w:tabs>
              <w:ind w:left="760"/>
            </w:pPr>
            <w:r>
              <w:t>Year 3: 100% for the two-year phase-in or 91% for the four-year phase-in</w:t>
            </w:r>
          </w:p>
          <w:p w14:paraId="73F5A64A" w14:textId="77777777" w:rsidR="00676882" w:rsidRDefault="00676882" w:rsidP="00DF45FA">
            <w:pPr>
              <w:pStyle w:val="Tablelistbullet3"/>
              <w:tabs>
                <w:tab w:val="clear" w:pos="360"/>
              </w:tabs>
              <w:ind w:left="760"/>
            </w:pPr>
            <w:r>
              <w:t>Year 4: 95% for the four-year phase-in</w:t>
            </w:r>
          </w:p>
          <w:p w14:paraId="31F94804" w14:textId="77777777" w:rsidR="00676882" w:rsidRDefault="00676882" w:rsidP="00DF45FA">
            <w:pPr>
              <w:pStyle w:val="Tablelistbullet3"/>
              <w:tabs>
                <w:tab w:val="clear" w:pos="360"/>
              </w:tabs>
              <w:ind w:left="760"/>
            </w:pPr>
            <w:r>
              <w:t>Year 5: 100% for the four-year phase-in</w:t>
            </w:r>
          </w:p>
          <w:p w14:paraId="434C80EB" w14:textId="77777777" w:rsidR="00676882" w:rsidRDefault="00676882" w:rsidP="00DF45FA">
            <w:pPr>
              <w:pStyle w:val="Tablelistbullet2"/>
              <w:tabs>
                <w:tab w:val="clear" w:pos="360"/>
              </w:tabs>
            </w:pPr>
            <w:r>
              <w:t xml:space="preserve">Upon entering the rental market for the first time, in the absence of information about the number of properties that enter the rental market for the first time every year, it will be assumed that 300 existing properties enter the rental market every year (churn), which stem from the growth of rental properties from 2007-08 to 2017-18 minus newly built properties. For completeness, it will also be assumed that 32% of newly built properties enter the rental market every year — roughly in line with the current proportion of existing rental stock to the total housing stock. These 32% of the new stock do not get upgraded as are assumed to comply with the current energy efficiency requirements for new dwellings set by the National Construction Code. Properties that are upgraded in response to the proposed policy but leave the rental market and are re-rented at later stages will be excluded from the analysis as there is no data about these and are likely to be a small number of properties. </w:t>
            </w:r>
          </w:p>
          <w:p w14:paraId="68FA8B70" w14:textId="77777777" w:rsidR="00676882" w:rsidRDefault="00676882" w:rsidP="00DF45FA">
            <w:pPr>
              <w:pStyle w:val="Tablelistbullet"/>
            </w:pPr>
            <w:r>
              <w:t>Time to obtain and organise quotes/works — we have included the opportunity cost associated with the rental provider, property manager or some other party organising quotes – for the supply and installation of insulation where the insulation is installed by a professional and for the supply of insulation where the insulation is installed by a DIYer, and to arrange and attend a pre-inspection (where the insulation is being installed by a professional) and a post inspection. We have assumed that the time required for these activities is three hours where the insulation is being installed by a professional and one and a half hours where the insulation is being installed by a DIYer (reflecting time taken to source materials, rather than sourcing an installer). To value this time, we use the following data and assumptions:</w:t>
            </w:r>
          </w:p>
          <w:p w14:paraId="6EC4403F" w14:textId="77777777" w:rsidR="00676882" w:rsidRDefault="00676882" w:rsidP="00DF45FA">
            <w:pPr>
              <w:pStyle w:val="Tablelistbullet2"/>
            </w:pPr>
            <w:r>
              <w:t>92% rental properties are managed by real estate agents and 8% are managed by the owners of the property (as per REIACT)</w:t>
            </w:r>
          </w:p>
          <w:p w14:paraId="79E194B0" w14:textId="77777777" w:rsidR="00676882" w:rsidRDefault="00676882" w:rsidP="00DF45FA">
            <w:pPr>
              <w:pStyle w:val="Tablelistbullet2"/>
            </w:pPr>
            <w:r>
              <w:t>the time of real estate agents will be costed using the average annual earnings of a real estate agent in ACT ($35 per hour). As noted above, in some cases, this cost will be passed through to rental providers. However, this is a distributional aspect, rather than pertinent to the net impact of the options.</w:t>
            </w:r>
          </w:p>
          <w:p w14:paraId="5E12220A" w14:textId="77777777" w:rsidR="00676882" w:rsidRDefault="00676882" w:rsidP="00DF45FA">
            <w:pPr>
              <w:pStyle w:val="Tablelistbullet2"/>
            </w:pPr>
            <w:r>
              <w:t>the time of property owners will be monetised using estimates of average weekly earnings ($49) from ABS for the ACT.</w:t>
            </w:r>
          </w:p>
          <w:p w14:paraId="78B0CE71" w14:textId="77777777" w:rsidR="00676882" w:rsidRPr="00577966" w:rsidRDefault="00676882" w:rsidP="00DF45FA">
            <w:pPr>
              <w:pStyle w:val="Tablelistbullet"/>
            </w:pPr>
            <w:r w:rsidRPr="00577966">
              <w:lastRenderedPageBreak/>
              <w:t>For</w:t>
            </w:r>
            <w:r>
              <w:t xml:space="preserve"> </w:t>
            </w:r>
            <w:r w:rsidRPr="00577966">
              <w:t>public</w:t>
            </w:r>
            <w:r>
              <w:t xml:space="preserve"> </w:t>
            </w:r>
            <w:r w:rsidRPr="00577966">
              <w:t>housing,</w:t>
            </w:r>
            <w:r>
              <w:t xml:space="preserve"> </w:t>
            </w:r>
            <w:r w:rsidRPr="00577966">
              <w:t>it</w:t>
            </w:r>
            <w:r>
              <w:t xml:space="preserve"> </w:t>
            </w:r>
            <w:r w:rsidRPr="00577966">
              <w:t>is</w:t>
            </w:r>
            <w:r>
              <w:t xml:space="preserve"> </w:t>
            </w:r>
            <w:r w:rsidRPr="00577966">
              <w:t>assumed</w:t>
            </w:r>
            <w:r>
              <w:t xml:space="preserve"> </w:t>
            </w:r>
            <w:r w:rsidRPr="00577966">
              <w:t>that</w:t>
            </w:r>
            <w:r>
              <w:t xml:space="preserve"> </w:t>
            </w:r>
            <w:r w:rsidRPr="00577966">
              <w:t>Housing</w:t>
            </w:r>
            <w:r>
              <w:t xml:space="preserve"> </w:t>
            </w:r>
            <w:r w:rsidRPr="00577966">
              <w:t>ACT</w:t>
            </w:r>
            <w:r>
              <w:t xml:space="preserve"> </w:t>
            </w:r>
            <w:r w:rsidRPr="00577966">
              <w:t>will</w:t>
            </w:r>
            <w:r>
              <w:t xml:space="preserve"> </w:t>
            </w:r>
            <w:r w:rsidRPr="00577966">
              <w:t>upgrade</w:t>
            </w:r>
            <w:r>
              <w:t xml:space="preserve"> </w:t>
            </w:r>
            <w:r w:rsidRPr="00577966">
              <w:t>equal</w:t>
            </w:r>
            <w:r>
              <w:t xml:space="preserve"> </w:t>
            </w:r>
            <w:r w:rsidRPr="00577966">
              <w:t>parts</w:t>
            </w:r>
            <w:r>
              <w:t xml:space="preserve"> </w:t>
            </w:r>
            <w:r w:rsidRPr="00577966">
              <w:t>of</w:t>
            </w:r>
            <w:r>
              <w:t xml:space="preserve"> </w:t>
            </w:r>
            <w:r w:rsidRPr="00577966">
              <w:t>the</w:t>
            </w:r>
            <w:r>
              <w:t xml:space="preserve"> </w:t>
            </w:r>
            <w:r w:rsidRPr="00577966">
              <w:t>housing</w:t>
            </w:r>
            <w:r>
              <w:t xml:space="preserve"> </w:t>
            </w:r>
            <w:r w:rsidRPr="00577966">
              <w:t>stock</w:t>
            </w:r>
            <w:r>
              <w:t xml:space="preserve"> </w:t>
            </w:r>
            <w:r w:rsidRPr="00577966">
              <w:t>that</w:t>
            </w:r>
            <w:r>
              <w:t xml:space="preserve"> </w:t>
            </w:r>
            <w:r w:rsidRPr="00577966">
              <w:t>needs</w:t>
            </w:r>
            <w:r>
              <w:t xml:space="preserve"> </w:t>
            </w:r>
            <w:r w:rsidRPr="00577966">
              <w:t>upgrading</w:t>
            </w:r>
            <w:r>
              <w:t xml:space="preserve"> </w:t>
            </w:r>
            <w:r w:rsidRPr="00577966">
              <w:t>in</w:t>
            </w:r>
            <w:r>
              <w:t xml:space="preserve"> </w:t>
            </w:r>
            <w:r w:rsidRPr="00577966">
              <w:t>each</w:t>
            </w:r>
            <w:r>
              <w:t xml:space="preserve"> </w:t>
            </w:r>
            <w:r w:rsidRPr="00577966">
              <w:t>year</w:t>
            </w:r>
            <w:r>
              <w:t xml:space="preserve"> </w:t>
            </w:r>
            <w:r w:rsidRPr="00577966">
              <w:t>of</w:t>
            </w:r>
            <w:r>
              <w:t xml:space="preserve"> </w:t>
            </w:r>
            <w:r w:rsidRPr="00577966">
              <w:t>the</w:t>
            </w:r>
            <w:r>
              <w:t xml:space="preserve"> </w:t>
            </w:r>
            <w:r w:rsidRPr="00577966">
              <w:t>phase</w:t>
            </w:r>
            <w:r>
              <w:t xml:space="preserve"> </w:t>
            </w:r>
            <w:r w:rsidRPr="00577966">
              <w:t>in</w:t>
            </w:r>
            <w:r>
              <w:t xml:space="preserve"> </w:t>
            </w:r>
            <w:r w:rsidRPr="00577966">
              <w:t>and</w:t>
            </w:r>
            <w:r>
              <w:t xml:space="preserve"> </w:t>
            </w:r>
            <w:r w:rsidRPr="00577966">
              <w:t>that</w:t>
            </w:r>
            <w:r>
              <w:t xml:space="preserve"> </w:t>
            </w:r>
            <w:r w:rsidRPr="00577966">
              <w:t>there</w:t>
            </w:r>
            <w:r>
              <w:t xml:space="preserve"> </w:t>
            </w:r>
            <w:r w:rsidRPr="00577966">
              <w:t>is</w:t>
            </w:r>
            <w:r>
              <w:t xml:space="preserve"> </w:t>
            </w:r>
            <w:r w:rsidRPr="00577966">
              <w:t>zero</w:t>
            </w:r>
            <w:r>
              <w:t xml:space="preserve"> </w:t>
            </w:r>
            <w:r w:rsidRPr="00577966">
              <w:t>additional</w:t>
            </w:r>
            <w:r>
              <w:t xml:space="preserve"> </w:t>
            </w:r>
            <w:r w:rsidRPr="00577966">
              <w:t>stock</w:t>
            </w:r>
            <w:r>
              <w:t xml:space="preserve"> </w:t>
            </w:r>
            <w:r w:rsidRPr="00577966">
              <w:t>that</w:t>
            </w:r>
            <w:r>
              <w:t xml:space="preserve"> </w:t>
            </w:r>
            <w:r w:rsidRPr="00577966">
              <w:t>needs</w:t>
            </w:r>
            <w:r>
              <w:t xml:space="preserve"> </w:t>
            </w:r>
            <w:r w:rsidRPr="00577966">
              <w:t>upgrading</w:t>
            </w:r>
            <w:r>
              <w:t xml:space="preserve"> </w:t>
            </w:r>
            <w:r w:rsidRPr="00577966">
              <w:t>entering</w:t>
            </w:r>
            <w:r>
              <w:t xml:space="preserve"> </w:t>
            </w:r>
            <w:r w:rsidRPr="00577966">
              <w:t>the</w:t>
            </w:r>
            <w:r>
              <w:t xml:space="preserve"> </w:t>
            </w:r>
            <w:r w:rsidRPr="00577966">
              <w:t>public</w:t>
            </w:r>
            <w:r>
              <w:t xml:space="preserve"> </w:t>
            </w:r>
            <w:r w:rsidRPr="00577966">
              <w:t>housing</w:t>
            </w:r>
            <w:r>
              <w:t xml:space="preserve"> </w:t>
            </w:r>
            <w:r w:rsidRPr="00577966">
              <w:t>stock</w:t>
            </w:r>
            <w:r>
              <w:t xml:space="preserve"> </w:t>
            </w:r>
            <w:r w:rsidRPr="00577966">
              <w:t>after</w:t>
            </w:r>
            <w:r>
              <w:t xml:space="preserve"> </w:t>
            </w:r>
            <w:r w:rsidRPr="00577966">
              <w:t>that</w:t>
            </w:r>
            <w:r>
              <w:t xml:space="preserve"> </w:t>
            </w:r>
            <w:r w:rsidRPr="00577966">
              <w:t>period</w:t>
            </w:r>
            <w:r>
              <w:t xml:space="preserve"> </w:t>
            </w:r>
            <w:r w:rsidRPr="00577966">
              <w:t>(i.e.</w:t>
            </w:r>
            <w:r>
              <w:t xml:space="preserve"> </w:t>
            </w:r>
            <w:r w:rsidRPr="00577966">
              <w:t>it</w:t>
            </w:r>
            <w:r>
              <w:t xml:space="preserve"> </w:t>
            </w:r>
            <w:r w:rsidRPr="00577966">
              <w:t>is</w:t>
            </w:r>
            <w:r>
              <w:t xml:space="preserve"> </w:t>
            </w:r>
            <w:r w:rsidRPr="00577966">
              <w:t>assumed</w:t>
            </w:r>
            <w:r>
              <w:t xml:space="preserve"> </w:t>
            </w:r>
            <w:r w:rsidRPr="00577966">
              <w:t>that</w:t>
            </w:r>
            <w:r>
              <w:t xml:space="preserve"> </w:t>
            </w:r>
            <w:r w:rsidRPr="00577966">
              <w:t>if</w:t>
            </w:r>
            <w:r>
              <w:t xml:space="preserve"> </w:t>
            </w:r>
            <w:r w:rsidRPr="00577966">
              <w:t>new</w:t>
            </w:r>
            <w:r>
              <w:t xml:space="preserve"> </w:t>
            </w:r>
            <w:r w:rsidRPr="00577966">
              <w:t>stock</w:t>
            </w:r>
            <w:r>
              <w:t xml:space="preserve"> </w:t>
            </w:r>
            <w:r w:rsidRPr="00577966">
              <w:t>is</w:t>
            </w:r>
            <w:r>
              <w:t xml:space="preserve"> </w:t>
            </w:r>
            <w:r w:rsidRPr="00577966">
              <w:t>added</w:t>
            </w:r>
            <w:r>
              <w:t xml:space="preserve"> </w:t>
            </w:r>
            <w:r w:rsidRPr="00577966">
              <w:t>to</w:t>
            </w:r>
            <w:r>
              <w:t xml:space="preserve"> </w:t>
            </w:r>
            <w:r w:rsidRPr="00577966">
              <w:t>public</w:t>
            </w:r>
            <w:r>
              <w:t xml:space="preserve"> </w:t>
            </w:r>
            <w:r w:rsidRPr="00577966">
              <w:t>housing,</w:t>
            </w:r>
            <w:r>
              <w:t xml:space="preserve"> </w:t>
            </w:r>
            <w:r w:rsidRPr="00577966">
              <w:t>this</w:t>
            </w:r>
            <w:r>
              <w:t xml:space="preserve"> </w:t>
            </w:r>
            <w:r w:rsidRPr="00577966">
              <w:t>stock</w:t>
            </w:r>
            <w:r>
              <w:t xml:space="preserve"> </w:t>
            </w:r>
            <w:r w:rsidRPr="00577966">
              <w:t>is</w:t>
            </w:r>
            <w:r>
              <w:t xml:space="preserve"> </w:t>
            </w:r>
            <w:r w:rsidRPr="00577966">
              <w:t>either</w:t>
            </w:r>
            <w:r>
              <w:t xml:space="preserve"> </w:t>
            </w:r>
            <w:r w:rsidRPr="00577966">
              <w:t>new</w:t>
            </w:r>
            <w:r>
              <w:t xml:space="preserve"> </w:t>
            </w:r>
            <w:r w:rsidRPr="00577966">
              <w:t>or</w:t>
            </w:r>
            <w:r>
              <w:t xml:space="preserve"> </w:t>
            </w:r>
            <w:r w:rsidRPr="00577966">
              <w:t>has</w:t>
            </w:r>
            <w:r>
              <w:t xml:space="preserve"> </w:t>
            </w:r>
            <w:r w:rsidRPr="00577966">
              <w:t>been</w:t>
            </w:r>
            <w:r>
              <w:t xml:space="preserve"> </w:t>
            </w:r>
            <w:r w:rsidRPr="00577966">
              <w:t>upgraded</w:t>
            </w:r>
            <w:r>
              <w:t xml:space="preserve"> </w:t>
            </w:r>
            <w:r w:rsidRPr="00577966">
              <w:t>so</w:t>
            </w:r>
            <w:r>
              <w:t xml:space="preserve"> </w:t>
            </w:r>
            <w:r w:rsidRPr="00577966">
              <w:t>that</w:t>
            </w:r>
            <w:r>
              <w:t xml:space="preserve"> </w:t>
            </w:r>
            <w:r w:rsidRPr="00577966">
              <w:t>there</w:t>
            </w:r>
            <w:r>
              <w:t xml:space="preserve"> </w:t>
            </w:r>
            <w:r w:rsidRPr="00577966">
              <w:t>is</w:t>
            </w:r>
            <w:r>
              <w:t xml:space="preserve"> </w:t>
            </w:r>
            <w:r w:rsidRPr="00577966">
              <w:t>no</w:t>
            </w:r>
            <w:r>
              <w:t xml:space="preserve"> </w:t>
            </w:r>
            <w:r w:rsidRPr="00577966">
              <w:t>need</w:t>
            </w:r>
            <w:r>
              <w:t xml:space="preserve"> </w:t>
            </w:r>
            <w:r w:rsidRPr="00577966">
              <w:t>to</w:t>
            </w:r>
            <w:r>
              <w:t xml:space="preserve"> </w:t>
            </w:r>
            <w:r w:rsidRPr="00577966">
              <w:t>upgrade</w:t>
            </w:r>
            <w:r>
              <w:t xml:space="preserve"> </w:t>
            </w:r>
            <w:r w:rsidRPr="00577966">
              <w:t>after</w:t>
            </w:r>
            <w:r>
              <w:t xml:space="preserve"> </w:t>
            </w:r>
            <w:r w:rsidRPr="00577966">
              <w:t>its</w:t>
            </w:r>
            <w:r>
              <w:t xml:space="preserve"> </w:t>
            </w:r>
            <w:r w:rsidRPr="00577966">
              <w:t>acquisition).</w:t>
            </w:r>
            <w:r>
              <w:t xml:space="preserve"> Housing ACT has plans to replace and expand upon its current housing stock. We have assumed that any new properties entering the portfolio will be sourced such that they meet the proposed standards.</w:t>
            </w:r>
          </w:p>
        </w:tc>
      </w:tr>
      <w:tr w:rsidR="00676882" w14:paraId="6863AED2" w14:textId="77777777" w:rsidTr="00DF45FA">
        <w:trPr>
          <w:gridBefore w:val="1"/>
          <w:wBefore w:w="454" w:type="dxa"/>
        </w:trPr>
        <w:tc>
          <w:tcPr>
            <w:tcW w:w="1118" w:type="dxa"/>
            <w:shd w:val="clear" w:color="auto" w:fill="auto"/>
          </w:tcPr>
          <w:p w14:paraId="645DB4AA" w14:textId="77777777" w:rsidR="00676882" w:rsidRDefault="00676882" w:rsidP="00DF45FA">
            <w:pPr>
              <w:pStyle w:val="Tabletext"/>
            </w:pPr>
            <w:r>
              <w:lastRenderedPageBreak/>
              <w:t>Industry</w:t>
            </w:r>
          </w:p>
        </w:tc>
        <w:tc>
          <w:tcPr>
            <w:tcW w:w="1560" w:type="dxa"/>
            <w:shd w:val="clear" w:color="auto" w:fill="auto"/>
          </w:tcPr>
          <w:p w14:paraId="79E8CDB3" w14:textId="77777777" w:rsidR="00676882" w:rsidRDefault="00676882" w:rsidP="00DF45FA">
            <w:pPr>
              <w:pStyle w:val="Tabletext"/>
            </w:pPr>
            <w:r>
              <w:t>Time to obtain and organise quotes/works</w:t>
            </w:r>
          </w:p>
        </w:tc>
        <w:tc>
          <w:tcPr>
            <w:tcW w:w="12158" w:type="dxa"/>
            <w:shd w:val="clear" w:color="auto" w:fill="auto"/>
          </w:tcPr>
          <w:p w14:paraId="7328341A" w14:textId="77777777" w:rsidR="00676882" w:rsidRDefault="00676882" w:rsidP="00DF45FA">
            <w:pPr>
              <w:pStyle w:val="Tabletext"/>
            </w:pPr>
            <w:r>
              <w:t>Other than the costs for real estate agents of organising the quotes/work (described above), no costs will be included for industry as a result of this policy.</w:t>
            </w:r>
          </w:p>
        </w:tc>
      </w:tr>
      <w:tr w:rsidR="00676882" w14:paraId="144E8EF6" w14:textId="77777777" w:rsidTr="00DF45FA">
        <w:trPr>
          <w:gridBefore w:val="1"/>
          <w:wBefore w:w="454" w:type="dxa"/>
        </w:trPr>
        <w:tc>
          <w:tcPr>
            <w:tcW w:w="1118" w:type="dxa"/>
            <w:tcBorders>
              <w:bottom w:val="single" w:sz="4" w:space="0" w:color="646464"/>
            </w:tcBorders>
            <w:shd w:val="clear" w:color="auto" w:fill="auto"/>
          </w:tcPr>
          <w:p w14:paraId="5336A559" w14:textId="77777777" w:rsidR="00676882" w:rsidRDefault="00676882" w:rsidP="00DF45FA">
            <w:pPr>
              <w:pStyle w:val="Tabletext"/>
            </w:pPr>
            <w:r w:rsidRPr="009416E6">
              <w:rPr>
                <w:color w:val="auto"/>
              </w:rPr>
              <w:t>Government</w:t>
            </w:r>
          </w:p>
        </w:tc>
        <w:tc>
          <w:tcPr>
            <w:tcW w:w="1560" w:type="dxa"/>
            <w:tcBorders>
              <w:bottom w:val="single" w:sz="4" w:space="0" w:color="646464"/>
            </w:tcBorders>
            <w:shd w:val="clear" w:color="auto" w:fill="auto"/>
          </w:tcPr>
          <w:p w14:paraId="72723938" w14:textId="77777777" w:rsidR="00676882" w:rsidRPr="009416E6" w:rsidRDefault="00676882" w:rsidP="00DF45FA">
            <w:pPr>
              <w:pStyle w:val="Tablelistbullet"/>
            </w:pPr>
            <w:r>
              <w:t>A</w:t>
            </w:r>
            <w:r w:rsidRPr="009416E6">
              <w:t>dministration</w:t>
            </w:r>
            <w:r>
              <w:t xml:space="preserve"> </w:t>
            </w:r>
            <w:r w:rsidRPr="009416E6">
              <w:t>and</w:t>
            </w:r>
            <w:r>
              <w:t xml:space="preserve"> enforcement costs</w:t>
            </w:r>
          </w:p>
          <w:p w14:paraId="230A1D25" w14:textId="77777777" w:rsidR="00676882" w:rsidRDefault="00676882" w:rsidP="00DF45FA">
            <w:pPr>
              <w:pStyle w:val="Tablelistbullet"/>
            </w:pPr>
            <w:r w:rsidRPr="00446387">
              <w:t>Costs</w:t>
            </w:r>
            <w:r>
              <w:t xml:space="preserve"> </w:t>
            </w:r>
            <w:r w:rsidRPr="00446387">
              <w:t>associated</w:t>
            </w:r>
            <w:r>
              <w:t xml:space="preserve"> </w:t>
            </w:r>
            <w:r w:rsidRPr="00446387">
              <w:t>with</w:t>
            </w:r>
            <w:r>
              <w:t xml:space="preserve"> </w:t>
            </w:r>
            <w:r w:rsidRPr="00446387">
              <w:t>energy</w:t>
            </w:r>
            <w:r>
              <w:t xml:space="preserve"> </w:t>
            </w:r>
            <w:r w:rsidRPr="00446387">
              <w:t>efficiency</w:t>
            </w:r>
            <w:r>
              <w:t xml:space="preserve"> </w:t>
            </w:r>
            <w:r w:rsidRPr="00446387">
              <w:t>upgrades</w:t>
            </w:r>
            <w:r>
              <w:t xml:space="preserve"> </w:t>
            </w:r>
            <w:r w:rsidRPr="00446387">
              <w:t>for</w:t>
            </w:r>
            <w:r>
              <w:t xml:space="preserve"> </w:t>
            </w:r>
            <w:r w:rsidRPr="00446387">
              <w:t>public</w:t>
            </w:r>
            <w:r>
              <w:t xml:space="preserve"> </w:t>
            </w:r>
            <w:r w:rsidRPr="00446387">
              <w:t>housing</w:t>
            </w:r>
            <w:r>
              <w:t xml:space="preserve"> </w:t>
            </w:r>
          </w:p>
        </w:tc>
        <w:tc>
          <w:tcPr>
            <w:tcW w:w="12158" w:type="dxa"/>
            <w:tcBorders>
              <w:bottom w:val="single" w:sz="4" w:space="0" w:color="646464"/>
            </w:tcBorders>
            <w:shd w:val="clear" w:color="auto" w:fill="auto"/>
          </w:tcPr>
          <w:p w14:paraId="560CDB66" w14:textId="77777777" w:rsidR="00676882" w:rsidRDefault="00676882" w:rsidP="00DF45FA">
            <w:pPr>
              <w:pStyle w:val="Tablelistbullet"/>
            </w:pPr>
            <w:r>
              <w:t xml:space="preserve">As per information from the ACT Government the government costs have been assumed to be $400,000 up front costs and $398,474 ongoing costs. The ongoing costs will be depreciated at the same rate as the active upgrades. </w:t>
            </w:r>
          </w:p>
          <w:p w14:paraId="4649B26B" w14:textId="77777777" w:rsidR="00676882" w:rsidRPr="00577966" w:rsidRDefault="00676882" w:rsidP="00DF45FA">
            <w:pPr>
              <w:pStyle w:val="Tablelistbullet"/>
            </w:pPr>
            <w:r w:rsidRPr="00577966">
              <w:t>Public</w:t>
            </w:r>
            <w:r>
              <w:t xml:space="preserve"> </w:t>
            </w:r>
            <w:r w:rsidRPr="00577966">
              <w:t>housing</w:t>
            </w:r>
            <w:r>
              <w:t xml:space="preserve"> </w:t>
            </w:r>
            <w:r w:rsidRPr="00577966">
              <w:t>costs</w:t>
            </w:r>
            <w:r>
              <w:t xml:space="preserve"> have </w:t>
            </w:r>
            <w:r w:rsidRPr="00577966">
              <w:t>be</w:t>
            </w:r>
            <w:r>
              <w:t xml:space="preserve">en </w:t>
            </w:r>
            <w:r w:rsidRPr="00577966">
              <w:t>estimated</w:t>
            </w:r>
            <w:r>
              <w:t xml:space="preserve"> in a similar manner to private upgrades, however costs are based on the time required for an AOS5 ACT public service wage and is scaled depending on the size of the upgrade program</w:t>
            </w:r>
            <w:r w:rsidRPr="00577966">
              <w:t>.</w:t>
            </w:r>
            <w:r>
              <w:t xml:space="preserve"> </w:t>
            </w:r>
            <w:r w:rsidRPr="00577966">
              <w:t>However,</w:t>
            </w:r>
            <w:r>
              <w:t xml:space="preserve"> </w:t>
            </w:r>
            <w:r w:rsidRPr="00577966">
              <w:t>it</w:t>
            </w:r>
            <w:r>
              <w:t xml:space="preserve"> is </w:t>
            </w:r>
            <w:r w:rsidRPr="00577966">
              <w:t>assumed</w:t>
            </w:r>
            <w:r>
              <w:t xml:space="preserve"> </w:t>
            </w:r>
            <w:r w:rsidRPr="00577966">
              <w:t>that</w:t>
            </w:r>
            <w:r>
              <w:t xml:space="preserve"> </w:t>
            </w:r>
            <w:r w:rsidRPr="00577966">
              <w:t>all</w:t>
            </w:r>
            <w:r>
              <w:t xml:space="preserve"> </w:t>
            </w:r>
            <w:r w:rsidRPr="00577966">
              <w:t>upgrades</w:t>
            </w:r>
            <w:r>
              <w:t xml:space="preserve"> </w:t>
            </w:r>
            <w:r w:rsidRPr="00577966">
              <w:t>are</w:t>
            </w:r>
            <w:r>
              <w:t xml:space="preserve"> </w:t>
            </w:r>
            <w:r w:rsidRPr="00577966">
              <w:t>undertaken</w:t>
            </w:r>
            <w:r>
              <w:t xml:space="preserve"> </w:t>
            </w:r>
            <w:r w:rsidRPr="00577966">
              <w:t>by</w:t>
            </w:r>
            <w:r>
              <w:t xml:space="preserve"> </w:t>
            </w:r>
            <w:r w:rsidRPr="00577966">
              <w:t>a</w:t>
            </w:r>
            <w:r>
              <w:t xml:space="preserve"> </w:t>
            </w:r>
            <w:r w:rsidRPr="00577966">
              <w:t>professional</w:t>
            </w:r>
            <w:r>
              <w:t xml:space="preserve"> (no DIY work)</w:t>
            </w:r>
            <w:r w:rsidRPr="00577966">
              <w:t>.</w:t>
            </w:r>
          </w:p>
        </w:tc>
      </w:tr>
      <w:tr w:rsidR="00676882" w14:paraId="17ABA65B" w14:textId="77777777" w:rsidTr="00DF45FA">
        <w:trPr>
          <w:gridBefore w:val="1"/>
          <w:wBefore w:w="454" w:type="dxa"/>
        </w:trPr>
        <w:tc>
          <w:tcPr>
            <w:tcW w:w="1118" w:type="dxa"/>
            <w:tcBorders>
              <w:top w:val="single" w:sz="4" w:space="0" w:color="646464"/>
            </w:tcBorders>
            <w:shd w:val="clear" w:color="auto" w:fill="E5E5E5"/>
          </w:tcPr>
          <w:p w14:paraId="24CF2FE9" w14:textId="77777777" w:rsidR="00676882" w:rsidRDefault="00676882" w:rsidP="00DF45FA">
            <w:pPr>
              <w:pStyle w:val="Tabletext"/>
            </w:pPr>
            <w:r w:rsidRPr="003E752E">
              <w:rPr>
                <w:b/>
                <w:bCs/>
              </w:rPr>
              <w:t>Benefits</w:t>
            </w:r>
          </w:p>
        </w:tc>
        <w:tc>
          <w:tcPr>
            <w:tcW w:w="1560" w:type="dxa"/>
            <w:tcBorders>
              <w:top w:val="single" w:sz="4" w:space="0" w:color="646464"/>
            </w:tcBorders>
            <w:shd w:val="clear" w:color="auto" w:fill="E5E5E5"/>
          </w:tcPr>
          <w:p w14:paraId="3B6DCE7E" w14:textId="77777777" w:rsidR="00676882" w:rsidRDefault="00676882" w:rsidP="00DF45FA">
            <w:pPr>
              <w:pStyle w:val="Tabletext"/>
            </w:pPr>
          </w:p>
        </w:tc>
        <w:tc>
          <w:tcPr>
            <w:tcW w:w="12158" w:type="dxa"/>
            <w:tcBorders>
              <w:top w:val="single" w:sz="4" w:space="0" w:color="646464"/>
            </w:tcBorders>
            <w:shd w:val="clear" w:color="auto" w:fill="E5E5E5"/>
          </w:tcPr>
          <w:p w14:paraId="7E97913C" w14:textId="77777777" w:rsidR="00676882" w:rsidRDefault="00676882" w:rsidP="00DF45FA">
            <w:pPr>
              <w:pStyle w:val="Tabletext"/>
            </w:pPr>
          </w:p>
        </w:tc>
      </w:tr>
      <w:tr w:rsidR="00676882" w14:paraId="39DBE2BD" w14:textId="77777777" w:rsidTr="00DF45FA">
        <w:trPr>
          <w:gridBefore w:val="1"/>
          <w:wBefore w:w="454" w:type="dxa"/>
        </w:trPr>
        <w:tc>
          <w:tcPr>
            <w:tcW w:w="1118" w:type="dxa"/>
            <w:vMerge w:val="restart"/>
            <w:shd w:val="clear" w:color="auto" w:fill="auto"/>
          </w:tcPr>
          <w:p w14:paraId="2F19B8C4" w14:textId="77777777" w:rsidR="00676882" w:rsidRDefault="00676882" w:rsidP="00DF45FA">
            <w:pPr>
              <w:pStyle w:val="Tabletext"/>
            </w:pPr>
            <w:r w:rsidRPr="009416E6">
              <w:t>Households</w:t>
            </w:r>
          </w:p>
        </w:tc>
        <w:tc>
          <w:tcPr>
            <w:tcW w:w="1560" w:type="dxa"/>
            <w:shd w:val="clear" w:color="auto" w:fill="auto"/>
          </w:tcPr>
          <w:p w14:paraId="08D20A87" w14:textId="77777777" w:rsidR="00676882" w:rsidRDefault="00676882" w:rsidP="00DF45FA">
            <w:pPr>
              <w:pStyle w:val="Tabletext"/>
            </w:pPr>
            <w:r>
              <w:t>Reduced utility bills accruing from reduced energy use</w:t>
            </w:r>
          </w:p>
        </w:tc>
        <w:tc>
          <w:tcPr>
            <w:tcW w:w="12158" w:type="dxa"/>
            <w:shd w:val="clear" w:color="auto" w:fill="auto"/>
          </w:tcPr>
          <w:p w14:paraId="7CEA8FEA" w14:textId="77777777" w:rsidR="00676882" w:rsidRDefault="00676882" w:rsidP="00DF45FA">
            <w:pPr>
              <w:pStyle w:val="Tablelistbullet"/>
            </w:pPr>
            <w:r>
              <w:t>Energy savings — the following assumptions have been used in the calculation of energy savings:</w:t>
            </w:r>
          </w:p>
          <w:p w14:paraId="4DA01106" w14:textId="77777777" w:rsidR="00676882" w:rsidRDefault="00676882" w:rsidP="00DF45FA">
            <w:pPr>
              <w:pStyle w:val="Tablelistbullet2"/>
              <w:tabs>
                <w:tab w:val="clear" w:pos="360"/>
              </w:tabs>
            </w:pPr>
            <w:r>
              <w:t>Space heaters have a lifespan of 12 years.</w:t>
            </w:r>
          </w:p>
          <w:p w14:paraId="10B9E754" w14:textId="77777777" w:rsidR="00676882" w:rsidRDefault="00676882" w:rsidP="00DF45FA">
            <w:pPr>
              <w:pStyle w:val="Tablelistbullet2"/>
              <w:tabs>
                <w:tab w:val="clear" w:pos="360"/>
              </w:tabs>
            </w:pPr>
            <w:r>
              <w:t>All Class 1 rental properties that require a heating upgrade can physically install it</w:t>
            </w:r>
          </w:p>
          <w:p w14:paraId="46EC3451" w14:textId="77777777" w:rsidR="00676882" w:rsidRDefault="00676882" w:rsidP="00DF45FA">
            <w:pPr>
              <w:pStyle w:val="Tablelistbullet2"/>
              <w:tabs>
                <w:tab w:val="clear" w:pos="360"/>
              </w:tabs>
            </w:pPr>
            <w:r>
              <w:t xml:space="preserve">10% of Class 2 rental properties that need to upgrade </w:t>
            </w:r>
            <w:proofErr w:type="gramStart"/>
            <w:r>
              <w:t>heating</w:t>
            </w:r>
            <w:proofErr w:type="gramEnd"/>
            <w:r>
              <w:t xml:space="preserve"> to comply with the policy cannot physically install it. This reflects those apartments which do not have access to an outside space for a heat pump unit.</w:t>
            </w:r>
          </w:p>
          <w:p w14:paraId="6E9FE71B" w14:textId="77777777" w:rsidR="00676882" w:rsidRDefault="00676882" w:rsidP="00DF45FA">
            <w:pPr>
              <w:pStyle w:val="Tablelistbullet2"/>
              <w:tabs>
                <w:tab w:val="clear" w:pos="360"/>
              </w:tabs>
            </w:pPr>
            <w:r>
              <w:t>Rebound effect — as noted above, e</w:t>
            </w:r>
            <w:r w:rsidRPr="003E752E">
              <w:t>nergy</w:t>
            </w:r>
            <w:r>
              <w:t xml:space="preserve"> </w:t>
            </w:r>
            <w:r w:rsidRPr="003E752E">
              <w:t>savings</w:t>
            </w:r>
            <w:r>
              <w:t xml:space="preserve"> </w:t>
            </w:r>
            <w:r w:rsidRPr="003E752E">
              <w:t>from</w:t>
            </w:r>
            <w:r>
              <w:t xml:space="preserve"> </w:t>
            </w:r>
            <w:r w:rsidRPr="003E752E">
              <w:t>implemented</w:t>
            </w:r>
            <w:r>
              <w:t xml:space="preserve"> </w:t>
            </w:r>
            <w:r w:rsidRPr="003E752E">
              <w:t>energy</w:t>
            </w:r>
            <w:r>
              <w:t xml:space="preserve"> </w:t>
            </w:r>
            <w:r w:rsidRPr="003E752E">
              <w:t>efficiency</w:t>
            </w:r>
            <w:r>
              <w:t xml:space="preserve"> </w:t>
            </w:r>
            <w:r w:rsidRPr="003E752E">
              <w:t>measures</w:t>
            </w:r>
            <w:r>
              <w:t xml:space="preserve"> </w:t>
            </w:r>
            <w:r w:rsidRPr="003E752E">
              <w:t>may</w:t>
            </w:r>
            <w:r>
              <w:t xml:space="preserve"> </w:t>
            </w:r>
            <w:r w:rsidRPr="003E752E">
              <w:t>not</w:t>
            </w:r>
            <w:r>
              <w:t xml:space="preserve"> </w:t>
            </w:r>
            <w:r w:rsidRPr="003E752E">
              <w:t>materialise</w:t>
            </w:r>
            <w:r>
              <w:t xml:space="preserve"> due to the rebound factor. </w:t>
            </w:r>
            <w:r w:rsidRPr="00D60553">
              <w:t>Empirical</w:t>
            </w:r>
            <w:r>
              <w:t xml:space="preserve"> </w:t>
            </w:r>
            <w:r w:rsidRPr="00D60553">
              <w:t>evidence</w:t>
            </w:r>
            <w:r>
              <w:t xml:space="preserve"> </w:t>
            </w:r>
            <w:r w:rsidRPr="00D60553">
              <w:t>suggests</w:t>
            </w:r>
            <w:r>
              <w:t xml:space="preserve"> </w:t>
            </w:r>
            <w:r w:rsidRPr="00D60553">
              <w:t>that</w:t>
            </w:r>
            <w:r>
              <w:t xml:space="preserve"> </w:t>
            </w:r>
            <w:r w:rsidRPr="00D60553">
              <w:t>the</w:t>
            </w:r>
            <w:r>
              <w:t xml:space="preserve"> </w:t>
            </w:r>
            <w:r w:rsidRPr="00D60553">
              <w:t>rebound</w:t>
            </w:r>
            <w:r>
              <w:t xml:space="preserve"> </w:t>
            </w:r>
            <w:r w:rsidRPr="00D60553">
              <w:t>effect</w:t>
            </w:r>
            <w:r>
              <w:t xml:space="preserve"> </w:t>
            </w:r>
            <w:r w:rsidRPr="00D60553">
              <w:t>is</w:t>
            </w:r>
            <w:r>
              <w:t xml:space="preserve"> </w:t>
            </w:r>
            <w:r w:rsidRPr="00D60553">
              <w:t>real.</w:t>
            </w:r>
            <w:r>
              <w:t xml:space="preserve"> </w:t>
            </w:r>
            <w:r w:rsidRPr="00D60553">
              <w:t>However,</w:t>
            </w:r>
            <w:r>
              <w:t xml:space="preserve"> </w:t>
            </w:r>
            <w:r w:rsidRPr="00D60553">
              <w:t>the</w:t>
            </w:r>
            <w:r>
              <w:t xml:space="preserve"> </w:t>
            </w:r>
            <w:r w:rsidRPr="00D60553">
              <w:t>evidence</w:t>
            </w:r>
            <w:r>
              <w:t xml:space="preserve"> </w:t>
            </w:r>
            <w:r w:rsidRPr="00D60553">
              <w:t>also</w:t>
            </w:r>
            <w:r>
              <w:t xml:space="preserve"> </w:t>
            </w:r>
            <w:r w:rsidRPr="00D60553">
              <w:t>suggests</w:t>
            </w:r>
            <w:r>
              <w:t xml:space="preserve"> </w:t>
            </w:r>
            <w:r w:rsidRPr="00D60553">
              <w:t>that</w:t>
            </w:r>
            <w:r>
              <w:t xml:space="preserve"> </w:t>
            </w:r>
            <w:r w:rsidRPr="00D60553">
              <w:t>the</w:t>
            </w:r>
            <w:r>
              <w:t xml:space="preserve"> </w:t>
            </w:r>
            <w:r w:rsidRPr="00D60553">
              <w:t>magnitude</w:t>
            </w:r>
            <w:r>
              <w:t xml:space="preserve"> </w:t>
            </w:r>
            <w:r w:rsidRPr="00D60553">
              <w:t>of</w:t>
            </w:r>
            <w:r>
              <w:t xml:space="preserve"> </w:t>
            </w:r>
            <w:r w:rsidRPr="00D60553">
              <w:t>the</w:t>
            </w:r>
            <w:r>
              <w:t xml:space="preserve"> </w:t>
            </w:r>
            <w:r w:rsidRPr="00D60553">
              <w:t>effect</w:t>
            </w:r>
            <w:r>
              <w:t xml:space="preserve"> </w:t>
            </w:r>
            <w:r w:rsidRPr="00D60553">
              <w:t>is</w:t>
            </w:r>
            <w:r>
              <w:t xml:space="preserve"> </w:t>
            </w:r>
            <w:r w:rsidRPr="00D60553">
              <w:t>highly</w:t>
            </w:r>
            <w:r>
              <w:t xml:space="preserve"> </w:t>
            </w:r>
            <w:r w:rsidRPr="00D60553">
              <w:t>variable</w:t>
            </w:r>
            <w:r>
              <w:t xml:space="preserve"> </w:t>
            </w:r>
            <w:r w:rsidRPr="00D60553">
              <w:t>and</w:t>
            </w:r>
            <w:r>
              <w:t xml:space="preserve"> </w:t>
            </w:r>
            <w:r w:rsidRPr="00D60553">
              <w:t>context</w:t>
            </w:r>
            <w:r>
              <w:t xml:space="preserve"> </w:t>
            </w:r>
            <w:r w:rsidRPr="00D60553">
              <w:t>specific</w:t>
            </w:r>
            <w:r>
              <w:t xml:space="preserve">. </w:t>
            </w:r>
            <w:r w:rsidRPr="00B45830">
              <w:t>Given</w:t>
            </w:r>
            <w:r>
              <w:t xml:space="preserve"> </w:t>
            </w:r>
            <w:r w:rsidRPr="00B45830">
              <w:t>the</w:t>
            </w:r>
            <w:r>
              <w:t xml:space="preserve"> </w:t>
            </w:r>
            <w:r w:rsidRPr="00B45830">
              <w:t>uncertainty</w:t>
            </w:r>
            <w:r>
              <w:t xml:space="preserve"> </w:t>
            </w:r>
            <w:r w:rsidRPr="00B45830">
              <w:t>associated</w:t>
            </w:r>
            <w:r>
              <w:t xml:space="preserve"> </w:t>
            </w:r>
            <w:r w:rsidRPr="00B45830">
              <w:t>with</w:t>
            </w:r>
            <w:r>
              <w:t xml:space="preserve"> </w:t>
            </w:r>
            <w:r w:rsidRPr="00B45830">
              <w:t>the</w:t>
            </w:r>
            <w:r>
              <w:t xml:space="preserve"> </w:t>
            </w:r>
            <w:r w:rsidRPr="00B45830">
              <w:t>rebound</w:t>
            </w:r>
            <w:r>
              <w:t xml:space="preserve"> </w:t>
            </w:r>
            <w:r w:rsidRPr="00B45830">
              <w:t>factor,</w:t>
            </w:r>
            <w:r>
              <w:t xml:space="preserve"> </w:t>
            </w:r>
            <w:r w:rsidRPr="00B45830">
              <w:t>we</w:t>
            </w:r>
            <w:r>
              <w:t xml:space="preserve"> </w:t>
            </w:r>
            <w:r w:rsidRPr="00B45830">
              <w:t>have</w:t>
            </w:r>
            <w:r>
              <w:t xml:space="preserve"> </w:t>
            </w:r>
            <w:r w:rsidRPr="00B45830">
              <w:t>assessed</w:t>
            </w:r>
            <w:r>
              <w:t xml:space="preserve"> </w:t>
            </w:r>
            <w:r w:rsidRPr="00B45830">
              <w:t>the</w:t>
            </w:r>
            <w:r>
              <w:t xml:space="preserve"> </w:t>
            </w:r>
            <w:r w:rsidRPr="00B45830">
              <w:t>energy</w:t>
            </w:r>
            <w:r>
              <w:t xml:space="preserve"> </w:t>
            </w:r>
            <w:r w:rsidRPr="00B45830">
              <w:t>savings</w:t>
            </w:r>
            <w:r>
              <w:t xml:space="preserve"> </w:t>
            </w:r>
            <w:r w:rsidRPr="00B45830">
              <w:t>based</w:t>
            </w:r>
            <w:r>
              <w:t xml:space="preserve"> </w:t>
            </w:r>
            <w:r w:rsidRPr="00B45830">
              <w:t>on</w:t>
            </w:r>
            <w:r>
              <w:t xml:space="preserve"> </w:t>
            </w:r>
            <w:r w:rsidRPr="00B45830">
              <w:t>a</w:t>
            </w:r>
            <w:r>
              <w:t xml:space="preserve"> </w:t>
            </w:r>
            <w:r w:rsidRPr="00B45830">
              <w:t>rebound</w:t>
            </w:r>
            <w:r>
              <w:t xml:space="preserve"> </w:t>
            </w:r>
            <w:r w:rsidRPr="00B45830">
              <w:t>factor</w:t>
            </w:r>
            <w:r>
              <w:t xml:space="preserve"> </w:t>
            </w:r>
            <w:r w:rsidRPr="00B45830">
              <w:t>of</w:t>
            </w:r>
            <w:r>
              <w:t xml:space="preserve"> </w:t>
            </w:r>
            <w:r w:rsidRPr="00B45830">
              <w:t>10</w:t>
            </w:r>
            <w:r>
              <w:t xml:space="preserve"> </w:t>
            </w:r>
            <w:r w:rsidRPr="00B45830">
              <w:t>per</w:t>
            </w:r>
            <w:r>
              <w:t xml:space="preserve"> </w:t>
            </w:r>
            <w:r w:rsidRPr="00B45830">
              <w:t>cent.</w:t>
            </w:r>
          </w:p>
          <w:p w14:paraId="0771F54B" w14:textId="77777777" w:rsidR="00676882" w:rsidRDefault="00676882" w:rsidP="00DF45FA">
            <w:pPr>
              <w:pStyle w:val="Tablelistbullet2"/>
              <w:tabs>
                <w:tab w:val="clear" w:pos="360"/>
              </w:tabs>
            </w:pPr>
            <w:r>
              <w:t>As discussed above, the energy savings are valued using wholesale fuel prices drawing on ACIL Allen’s energy market modelling for fuel prices.</w:t>
            </w:r>
          </w:p>
        </w:tc>
      </w:tr>
      <w:tr w:rsidR="00676882" w14:paraId="191DD3F0" w14:textId="77777777" w:rsidTr="00DF45FA">
        <w:trPr>
          <w:gridBefore w:val="1"/>
          <w:wBefore w:w="454" w:type="dxa"/>
        </w:trPr>
        <w:tc>
          <w:tcPr>
            <w:tcW w:w="1118" w:type="dxa"/>
            <w:vMerge/>
            <w:shd w:val="clear" w:color="auto" w:fill="auto"/>
          </w:tcPr>
          <w:p w14:paraId="439631BF" w14:textId="77777777" w:rsidR="00676882" w:rsidRDefault="00676882" w:rsidP="00DF45FA">
            <w:pPr>
              <w:pStyle w:val="Tabletext"/>
            </w:pPr>
          </w:p>
        </w:tc>
        <w:tc>
          <w:tcPr>
            <w:tcW w:w="1560" w:type="dxa"/>
            <w:shd w:val="clear" w:color="auto" w:fill="auto"/>
          </w:tcPr>
          <w:p w14:paraId="73FF31FE" w14:textId="77777777" w:rsidR="00676882" w:rsidRDefault="00676882" w:rsidP="00DF45FA">
            <w:pPr>
              <w:pStyle w:val="Tabletext"/>
            </w:pPr>
            <w:r>
              <w:t>Health benefits</w:t>
            </w:r>
          </w:p>
        </w:tc>
        <w:tc>
          <w:tcPr>
            <w:tcW w:w="12158" w:type="dxa"/>
            <w:shd w:val="clear" w:color="auto" w:fill="auto"/>
          </w:tcPr>
          <w:p w14:paraId="202DD3AA" w14:textId="77777777" w:rsidR="00676882" w:rsidRDefault="00676882" w:rsidP="00DF45FA">
            <w:pPr>
              <w:pStyle w:val="Tabletext"/>
            </w:pPr>
            <w:r>
              <w:t xml:space="preserve">Described in greater detail in appendix section </w:t>
            </w:r>
            <w:r w:rsidRPr="009E4AB1">
              <w:fldChar w:fldCharType="begin"/>
            </w:r>
            <w:r w:rsidRPr="009E4AB1">
              <w:instrText xml:space="preserve"> REF _Ref80461159 \r \h  \* MERGEFORMAT </w:instrText>
            </w:r>
            <w:r w:rsidRPr="009E4AB1">
              <w:fldChar w:fldCharType="separate"/>
            </w:r>
            <w:r>
              <w:t>B.1.1</w:t>
            </w:r>
            <w:r w:rsidRPr="009E4AB1">
              <w:fldChar w:fldCharType="end"/>
            </w:r>
            <w:r>
              <w:t>.</w:t>
            </w:r>
          </w:p>
        </w:tc>
      </w:tr>
      <w:tr w:rsidR="00676882" w14:paraId="2BA266A3" w14:textId="77777777" w:rsidTr="00DF45FA">
        <w:trPr>
          <w:gridBefore w:val="1"/>
          <w:wBefore w:w="454" w:type="dxa"/>
        </w:trPr>
        <w:tc>
          <w:tcPr>
            <w:tcW w:w="1118" w:type="dxa"/>
            <w:shd w:val="clear" w:color="auto" w:fill="auto"/>
          </w:tcPr>
          <w:p w14:paraId="285853FD" w14:textId="77777777" w:rsidR="00676882" w:rsidRDefault="00676882" w:rsidP="00DF45FA">
            <w:pPr>
              <w:pStyle w:val="Tabletext"/>
            </w:pPr>
            <w:r>
              <w:t>Society</w:t>
            </w:r>
          </w:p>
        </w:tc>
        <w:tc>
          <w:tcPr>
            <w:tcW w:w="1560" w:type="dxa"/>
            <w:shd w:val="clear" w:color="auto" w:fill="auto"/>
          </w:tcPr>
          <w:p w14:paraId="5F9AD46B" w14:textId="77777777" w:rsidR="00676882" w:rsidRDefault="00676882" w:rsidP="00676882">
            <w:pPr>
              <w:pStyle w:val="Tablelistbullet"/>
              <w:numPr>
                <w:ilvl w:val="0"/>
                <w:numId w:val="59"/>
              </w:numPr>
              <w:spacing w:before="60" w:after="0"/>
              <w:ind w:right="120"/>
            </w:pPr>
            <w:r>
              <w:t xml:space="preserve">Reduced greenhouse gas emissions from household gas use </w:t>
            </w:r>
          </w:p>
          <w:p w14:paraId="51D3FFF6" w14:textId="77777777" w:rsidR="00676882" w:rsidRDefault="00676882" w:rsidP="00676882">
            <w:pPr>
              <w:pStyle w:val="Tablelistbullet"/>
              <w:numPr>
                <w:ilvl w:val="0"/>
                <w:numId w:val="59"/>
              </w:numPr>
              <w:spacing w:before="60" w:after="0"/>
              <w:ind w:right="120"/>
            </w:pPr>
            <w:r>
              <w:lastRenderedPageBreak/>
              <w:t>Reduced renewable energy offsets for the ACT</w:t>
            </w:r>
          </w:p>
          <w:p w14:paraId="4D0F5A35" w14:textId="77777777" w:rsidR="00676882" w:rsidRDefault="00676882" w:rsidP="00676882">
            <w:pPr>
              <w:pStyle w:val="Tablelistbullet"/>
              <w:numPr>
                <w:ilvl w:val="0"/>
                <w:numId w:val="59"/>
              </w:numPr>
              <w:spacing w:before="60" w:after="0"/>
              <w:ind w:right="120"/>
            </w:pPr>
            <w:r>
              <w:t>Avoided electricity network costs</w:t>
            </w:r>
          </w:p>
          <w:p w14:paraId="610474ED" w14:textId="77777777" w:rsidR="00676882" w:rsidRDefault="00676882" w:rsidP="00676882">
            <w:pPr>
              <w:pStyle w:val="Tablelistbullet"/>
              <w:numPr>
                <w:ilvl w:val="0"/>
                <w:numId w:val="59"/>
              </w:numPr>
              <w:spacing w:before="60" w:after="0"/>
              <w:ind w:right="120"/>
            </w:pPr>
            <w:r>
              <w:t>I</w:t>
            </w:r>
            <w:r w:rsidRPr="00577966">
              <w:t>mproved</w:t>
            </w:r>
            <w:r>
              <w:t xml:space="preserve"> </w:t>
            </w:r>
            <w:r w:rsidRPr="00577966">
              <w:t>air</w:t>
            </w:r>
            <w:r>
              <w:t xml:space="preserve"> </w:t>
            </w:r>
            <w:r w:rsidRPr="00577966">
              <w:t>quality</w:t>
            </w:r>
            <w:r>
              <w:t xml:space="preserve"> </w:t>
            </w:r>
            <w:r w:rsidRPr="00577966">
              <w:t>benefits</w:t>
            </w:r>
          </w:p>
        </w:tc>
        <w:tc>
          <w:tcPr>
            <w:tcW w:w="12158" w:type="dxa"/>
            <w:shd w:val="clear" w:color="auto" w:fill="auto"/>
          </w:tcPr>
          <w:p w14:paraId="0306817E" w14:textId="77777777" w:rsidR="00676882" w:rsidRDefault="00676882" w:rsidP="00DF45FA">
            <w:pPr>
              <w:pStyle w:val="Tabletext"/>
            </w:pPr>
            <w:r>
              <w:lastRenderedPageBreak/>
              <w:t xml:space="preserve">Described in greater detail in appendix section </w:t>
            </w:r>
            <w:r w:rsidRPr="009E4AB1">
              <w:fldChar w:fldCharType="begin"/>
            </w:r>
            <w:r w:rsidRPr="009E4AB1">
              <w:instrText xml:space="preserve"> REF _Ref80461159 \r \h  \* MERGEFORMAT </w:instrText>
            </w:r>
            <w:r w:rsidRPr="009E4AB1">
              <w:fldChar w:fldCharType="separate"/>
            </w:r>
            <w:r>
              <w:t>B.1.1</w:t>
            </w:r>
            <w:r w:rsidRPr="009E4AB1">
              <w:fldChar w:fldCharType="end"/>
            </w:r>
            <w:r>
              <w:t>.</w:t>
            </w:r>
          </w:p>
        </w:tc>
      </w:tr>
      <w:tr w:rsidR="00676882" w14:paraId="3FD77B13" w14:textId="77777777" w:rsidTr="00DF45FA">
        <w:trPr>
          <w:gridBefore w:val="1"/>
          <w:wBefore w:w="454" w:type="dxa"/>
        </w:trPr>
        <w:tc>
          <w:tcPr>
            <w:tcW w:w="14836" w:type="dxa"/>
            <w:gridSpan w:val="3"/>
            <w:tcBorders>
              <w:bottom w:val="single" w:sz="4" w:space="0" w:color="646464"/>
            </w:tcBorders>
            <w:shd w:val="clear" w:color="auto" w:fill="auto"/>
          </w:tcPr>
          <w:p w14:paraId="104846F9" w14:textId="77777777" w:rsidR="00676882" w:rsidRDefault="00676882" w:rsidP="00DF45FA">
            <w:pPr>
              <w:pStyle w:val="Source"/>
            </w:pPr>
            <w:r>
              <w:t>Source: ACIL Allen</w:t>
            </w:r>
          </w:p>
        </w:tc>
      </w:tr>
      <w:tr w:rsidR="00676882" w14:paraId="3EF9EB30" w14:textId="77777777" w:rsidTr="00DF45FA">
        <w:trPr>
          <w:gridBefore w:val="1"/>
          <w:wBefore w:w="454" w:type="dxa"/>
          <w:trHeight w:hRule="exact" w:val="160"/>
        </w:trPr>
        <w:tc>
          <w:tcPr>
            <w:tcW w:w="14836" w:type="dxa"/>
            <w:gridSpan w:val="3"/>
            <w:tcBorders>
              <w:top w:val="single" w:sz="4" w:space="0" w:color="646464"/>
              <w:bottom w:val="nil"/>
            </w:tcBorders>
            <w:shd w:val="clear" w:color="auto" w:fill="auto"/>
          </w:tcPr>
          <w:p w14:paraId="48995FB8" w14:textId="77777777" w:rsidR="00676882" w:rsidRDefault="00676882" w:rsidP="00DF45FA">
            <w:pPr>
              <w:pStyle w:val="spacer"/>
            </w:pPr>
          </w:p>
        </w:tc>
      </w:tr>
    </w:tbl>
    <w:p w14:paraId="14C06602" w14:textId="77777777" w:rsidR="00676882" w:rsidRDefault="00676882" w:rsidP="00676882">
      <w:pPr>
        <w:pStyle w:val="Caption"/>
        <w:rPr>
          <w:rStyle w:val="CaptionLabel"/>
        </w:rPr>
      </w:pPr>
    </w:p>
    <w:p w14:paraId="34161ED6" w14:textId="77777777" w:rsidR="00676882" w:rsidRDefault="00676882" w:rsidP="00676882">
      <w:pPr>
        <w:pStyle w:val="Caption"/>
      </w:pPr>
      <w:r>
        <w:rPr>
          <w:rStyle w:val="CaptionLabel"/>
        </w:rPr>
        <w:br w:type="column"/>
      </w:r>
    </w:p>
    <w:p w14:paraId="4FA9D5DA" w14:textId="77777777" w:rsidR="00676882" w:rsidRDefault="00676882" w:rsidP="00676882">
      <w:pPr>
        <w:pStyle w:val="Caption"/>
        <w:ind w:left="-790"/>
      </w:pPr>
      <w:bookmarkStart w:id="418" w:name="_Ref76314895"/>
      <w:bookmarkStart w:id="419" w:name="_Toc80719345"/>
      <w:r w:rsidRPr="00577966">
        <w:rPr>
          <w:rStyle w:val="CaptionLabel"/>
        </w:rPr>
        <w:t>Table </w:t>
      </w:r>
      <w:r w:rsidRPr="00577966">
        <w:rPr>
          <w:rStyle w:val="CaptionLabel"/>
        </w:rPr>
        <w:fldChar w:fldCharType="begin"/>
      </w:r>
      <w:r w:rsidRPr="00577966">
        <w:rPr>
          <w:rStyle w:val="CaptionLabel"/>
        </w:rPr>
        <w:instrText xml:space="preserve"> STYLEREF 9 \S \* MERGEFORMAT </w:instrText>
      </w:r>
      <w:r w:rsidRPr="00577966">
        <w:rPr>
          <w:rStyle w:val="CaptionLabel"/>
        </w:rPr>
        <w:fldChar w:fldCharType="separate"/>
      </w:r>
      <w:r>
        <w:rPr>
          <w:rStyle w:val="CaptionLabel"/>
          <w:noProof/>
        </w:rPr>
        <w:t>B</w:t>
      </w:r>
      <w:r w:rsidRPr="00577966">
        <w:rPr>
          <w:rStyle w:val="CaptionLabel"/>
        </w:rPr>
        <w:fldChar w:fldCharType="end"/>
      </w:r>
      <w:r w:rsidRPr="00577966">
        <w:rPr>
          <w:rStyle w:val="CaptionLabel"/>
        </w:rPr>
        <w:t>.</w:t>
      </w:r>
      <w:r w:rsidRPr="00577966">
        <w:rPr>
          <w:rStyle w:val="CaptionLabel"/>
        </w:rPr>
        <w:fldChar w:fldCharType="begin"/>
      </w:r>
      <w:r w:rsidRPr="00577966">
        <w:rPr>
          <w:rStyle w:val="CaptionLabel"/>
        </w:rPr>
        <w:instrText xml:space="preserve"> SEQ Table_AP \* ARABIC \S 9 \* MERGEFORMAT </w:instrText>
      </w:r>
      <w:r w:rsidRPr="00577966">
        <w:rPr>
          <w:rStyle w:val="CaptionLabel"/>
        </w:rPr>
        <w:fldChar w:fldCharType="separate"/>
      </w:r>
      <w:r>
        <w:rPr>
          <w:rStyle w:val="CaptionLabel"/>
          <w:noProof/>
        </w:rPr>
        <w:t>8</w:t>
      </w:r>
      <w:r w:rsidRPr="00577966">
        <w:rPr>
          <w:rStyle w:val="CaptionLabel"/>
        </w:rPr>
        <w:fldChar w:fldCharType="end"/>
      </w:r>
      <w:r>
        <w:tab/>
      </w:r>
      <w:r w:rsidRPr="00E32F3A">
        <w:t>Costs,</w:t>
      </w:r>
      <w:r>
        <w:t xml:space="preserve"> </w:t>
      </w:r>
      <w:r w:rsidRPr="00E32F3A">
        <w:t>benefits</w:t>
      </w:r>
      <w:r>
        <w:t xml:space="preserve"> </w:t>
      </w:r>
      <w:r w:rsidRPr="00E32F3A">
        <w:t>and</w:t>
      </w:r>
      <w:r>
        <w:t xml:space="preserve"> </w:t>
      </w:r>
      <w:r w:rsidRPr="00E32F3A">
        <w:t>assumptions</w:t>
      </w:r>
      <w:r>
        <w:t xml:space="preserve"> </w:t>
      </w:r>
      <w:r w:rsidRPr="00E32F3A">
        <w:t>included</w:t>
      </w:r>
      <w:r>
        <w:t xml:space="preserve"> </w:t>
      </w:r>
      <w:r w:rsidRPr="00E32F3A">
        <w:t>in</w:t>
      </w:r>
      <w:r>
        <w:t xml:space="preserve"> </w:t>
      </w:r>
      <w:r w:rsidRPr="00E32F3A">
        <w:t>the</w:t>
      </w:r>
      <w:r>
        <w:t xml:space="preserve"> </w:t>
      </w:r>
      <w:r w:rsidRPr="00E32F3A">
        <w:t>CBA</w:t>
      </w:r>
      <w:r>
        <w:t xml:space="preserve"> </w:t>
      </w:r>
      <w:r w:rsidRPr="00E32F3A">
        <w:t>model</w:t>
      </w:r>
      <w:r>
        <w:t xml:space="preserve"> </w:t>
      </w:r>
      <w:r w:rsidRPr="00E32F3A">
        <w:t xml:space="preserve">– </w:t>
      </w:r>
      <w:r>
        <w:t>performance</w:t>
      </w:r>
      <w:bookmarkEnd w:id="418"/>
      <w:bookmarkEnd w:id="419"/>
    </w:p>
    <w:tbl>
      <w:tblPr>
        <w:tblW w:w="15290" w:type="dxa"/>
        <w:tblInd w:w="-2423"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B.8"/>
        <w:tblDescription w:val="Costs, benefits and assumptions included in the CBA model – performance"/>
      </w:tblPr>
      <w:tblGrid>
        <w:gridCol w:w="454"/>
        <w:gridCol w:w="1118"/>
        <w:gridCol w:w="1560"/>
        <w:gridCol w:w="12158"/>
      </w:tblGrid>
      <w:tr w:rsidR="00676882" w14:paraId="6C3B505F" w14:textId="77777777" w:rsidTr="00DF45FA">
        <w:trPr>
          <w:tblHeader/>
        </w:trPr>
        <w:tc>
          <w:tcPr>
            <w:tcW w:w="1572" w:type="dxa"/>
            <w:gridSpan w:val="2"/>
            <w:tcBorders>
              <w:top w:val="nil"/>
              <w:bottom w:val="nil"/>
            </w:tcBorders>
            <w:shd w:val="clear" w:color="auto" w:fill="140034"/>
            <w:tcMar>
              <w:left w:w="454" w:type="dxa"/>
            </w:tcMar>
          </w:tcPr>
          <w:p w14:paraId="417DEB6E" w14:textId="77777777" w:rsidR="00676882" w:rsidRDefault="00676882" w:rsidP="00DF45FA">
            <w:pPr>
              <w:pStyle w:val="Tablecolumnheadings"/>
            </w:pPr>
            <w:r>
              <w:t>Heading</w:t>
            </w:r>
          </w:p>
        </w:tc>
        <w:tc>
          <w:tcPr>
            <w:tcW w:w="1560" w:type="dxa"/>
            <w:tcBorders>
              <w:top w:val="nil"/>
              <w:bottom w:val="nil"/>
            </w:tcBorders>
            <w:shd w:val="clear" w:color="auto" w:fill="140034"/>
          </w:tcPr>
          <w:p w14:paraId="16BDAFA2" w14:textId="77777777" w:rsidR="00676882" w:rsidRDefault="00676882" w:rsidP="00DF45FA">
            <w:pPr>
              <w:pStyle w:val="Tablecolumnheadings"/>
            </w:pPr>
            <w:r>
              <w:t>Item</w:t>
            </w:r>
          </w:p>
        </w:tc>
        <w:tc>
          <w:tcPr>
            <w:tcW w:w="12158" w:type="dxa"/>
            <w:tcBorders>
              <w:top w:val="nil"/>
              <w:bottom w:val="nil"/>
              <w:right w:val="single" w:sz="6" w:space="0" w:color="140034"/>
            </w:tcBorders>
            <w:shd w:val="clear" w:color="auto" w:fill="140034"/>
          </w:tcPr>
          <w:p w14:paraId="06079712" w14:textId="77777777" w:rsidR="00676882" w:rsidRDefault="00676882" w:rsidP="00DF45FA">
            <w:pPr>
              <w:pStyle w:val="Tablecolumnheadings"/>
            </w:pPr>
            <w:r>
              <w:t>Related assumptions/notes</w:t>
            </w:r>
          </w:p>
        </w:tc>
      </w:tr>
      <w:tr w:rsidR="00676882" w14:paraId="136FDFA7" w14:textId="77777777" w:rsidTr="00DF45FA">
        <w:trPr>
          <w:gridBefore w:val="1"/>
          <w:wBefore w:w="454" w:type="dxa"/>
        </w:trPr>
        <w:tc>
          <w:tcPr>
            <w:tcW w:w="1118" w:type="dxa"/>
            <w:tcBorders>
              <w:top w:val="nil"/>
            </w:tcBorders>
            <w:shd w:val="clear" w:color="auto" w:fill="E5E5E5"/>
          </w:tcPr>
          <w:p w14:paraId="3A874D9D" w14:textId="77777777" w:rsidR="00676882" w:rsidRPr="00577966" w:rsidRDefault="00676882" w:rsidP="00DF45FA">
            <w:pPr>
              <w:pStyle w:val="Tableunitsrow"/>
              <w:rPr>
                <w:b/>
                <w:bCs/>
              </w:rPr>
            </w:pPr>
            <w:r w:rsidRPr="00B91548">
              <w:rPr>
                <w:b/>
                <w:bCs/>
              </w:rPr>
              <w:t>Costs</w:t>
            </w:r>
          </w:p>
        </w:tc>
        <w:tc>
          <w:tcPr>
            <w:tcW w:w="1560" w:type="dxa"/>
            <w:tcBorders>
              <w:top w:val="nil"/>
            </w:tcBorders>
            <w:shd w:val="clear" w:color="auto" w:fill="E5E5E5"/>
          </w:tcPr>
          <w:p w14:paraId="73B958AC" w14:textId="77777777" w:rsidR="00676882" w:rsidRDefault="00676882" w:rsidP="00DF45FA">
            <w:pPr>
              <w:pStyle w:val="Tableunitsrow"/>
            </w:pPr>
          </w:p>
        </w:tc>
        <w:tc>
          <w:tcPr>
            <w:tcW w:w="12158" w:type="dxa"/>
            <w:tcBorders>
              <w:top w:val="nil"/>
            </w:tcBorders>
            <w:shd w:val="clear" w:color="auto" w:fill="E5E5E5"/>
          </w:tcPr>
          <w:p w14:paraId="288BBA1E" w14:textId="77777777" w:rsidR="00676882" w:rsidRDefault="00676882" w:rsidP="00DF45FA">
            <w:pPr>
              <w:pStyle w:val="Tableunitsrow"/>
            </w:pPr>
          </w:p>
        </w:tc>
      </w:tr>
      <w:tr w:rsidR="00676882" w14:paraId="53734E66" w14:textId="77777777" w:rsidTr="00DF45FA">
        <w:trPr>
          <w:gridBefore w:val="1"/>
          <w:wBefore w:w="454" w:type="dxa"/>
        </w:trPr>
        <w:tc>
          <w:tcPr>
            <w:tcW w:w="1118" w:type="dxa"/>
            <w:shd w:val="clear" w:color="auto" w:fill="auto"/>
          </w:tcPr>
          <w:p w14:paraId="45E3B979" w14:textId="77777777" w:rsidR="00676882" w:rsidRDefault="00676882" w:rsidP="00DF45FA">
            <w:pPr>
              <w:pStyle w:val="Tabletext"/>
            </w:pPr>
            <w:r w:rsidRPr="009416E6">
              <w:t>Households</w:t>
            </w:r>
          </w:p>
        </w:tc>
        <w:tc>
          <w:tcPr>
            <w:tcW w:w="1560" w:type="dxa"/>
            <w:shd w:val="clear" w:color="auto" w:fill="auto"/>
          </w:tcPr>
          <w:p w14:paraId="4C4F2C73" w14:textId="77777777" w:rsidR="00676882" w:rsidRPr="00577966" w:rsidRDefault="00676882" w:rsidP="00DF45FA">
            <w:pPr>
              <w:pStyle w:val="Tabletext"/>
            </w:pPr>
            <w:r>
              <w:t xml:space="preserve">Cost of energy efficiency upgrades </w:t>
            </w:r>
          </w:p>
        </w:tc>
        <w:tc>
          <w:tcPr>
            <w:tcW w:w="12158" w:type="dxa"/>
            <w:shd w:val="clear" w:color="auto" w:fill="auto"/>
          </w:tcPr>
          <w:p w14:paraId="14691B49" w14:textId="77777777" w:rsidR="00676882" w:rsidRDefault="00676882" w:rsidP="00DF45FA">
            <w:pPr>
              <w:pStyle w:val="Tablelistbullet"/>
            </w:pPr>
            <w:r>
              <w:t>It is assumed that rental properties are subject to the policy requirements either:</w:t>
            </w:r>
          </w:p>
          <w:p w14:paraId="1F487B64" w14:textId="77777777" w:rsidR="00676882" w:rsidRDefault="00676882" w:rsidP="00DF45FA">
            <w:pPr>
              <w:pStyle w:val="Tablelistbullet2"/>
              <w:tabs>
                <w:tab w:val="clear" w:pos="360"/>
              </w:tabs>
            </w:pPr>
            <w:r>
              <w:t>For existing (rolling) tenancies, drawing on the Poisson-distribution of tenancy lengths for NSW properties, the cumulative change is given by the (truncated) exponential distribution:</w:t>
            </w:r>
          </w:p>
          <w:p w14:paraId="3AB263D3" w14:textId="77777777" w:rsidR="00676882" w:rsidRDefault="00676882" w:rsidP="00DF45FA">
            <w:pPr>
              <w:pStyle w:val="Tablelistbullet3"/>
              <w:tabs>
                <w:tab w:val="clear" w:pos="360"/>
              </w:tabs>
              <w:ind w:left="760"/>
            </w:pPr>
            <w:r>
              <w:t>Year 1: 59%</w:t>
            </w:r>
          </w:p>
          <w:p w14:paraId="68AC6DD7" w14:textId="77777777" w:rsidR="00676882" w:rsidRDefault="00676882" w:rsidP="00DF45FA">
            <w:pPr>
              <w:pStyle w:val="Tablelistbullet3"/>
              <w:tabs>
                <w:tab w:val="clear" w:pos="360"/>
              </w:tabs>
              <w:ind w:left="760"/>
            </w:pPr>
            <w:r>
              <w:t xml:space="preserve">Year 2: 83% </w:t>
            </w:r>
          </w:p>
          <w:p w14:paraId="39FEC94B" w14:textId="77777777" w:rsidR="00676882" w:rsidRDefault="00676882" w:rsidP="00DF45FA">
            <w:pPr>
              <w:pStyle w:val="Tablelistbullet3"/>
              <w:tabs>
                <w:tab w:val="clear" w:pos="360"/>
              </w:tabs>
              <w:ind w:left="760"/>
            </w:pPr>
            <w:r>
              <w:t>Year 3: 100% for the two-year phase-in or 91% for the four-year phase-in</w:t>
            </w:r>
          </w:p>
          <w:p w14:paraId="7E7D0335" w14:textId="77777777" w:rsidR="00676882" w:rsidRDefault="00676882" w:rsidP="00DF45FA">
            <w:pPr>
              <w:pStyle w:val="Tablelistbullet3"/>
              <w:tabs>
                <w:tab w:val="clear" w:pos="360"/>
              </w:tabs>
              <w:ind w:left="760"/>
            </w:pPr>
            <w:r>
              <w:t>Year 4: 95% for the four-year phase-in</w:t>
            </w:r>
          </w:p>
          <w:p w14:paraId="1CF0F49A" w14:textId="77777777" w:rsidR="00676882" w:rsidRDefault="00676882" w:rsidP="00DF45FA">
            <w:pPr>
              <w:pStyle w:val="Tablelistbullet3"/>
              <w:tabs>
                <w:tab w:val="clear" w:pos="360"/>
              </w:tabs>
              <w:ind w:left="760"/>
            </w:pPr>
            <w:r>
              <w:t>Year 5: 100% for the four-year phase-in</w:t>
            </w:r>
          </w:p>
          <w:p w14:paraId="62E48498" w14:textId="77777777" w:rsidR="00676882" w:rsidRDefault="00676882" w:rsidP="00DF45FA">
            <w:pPr>
              <w:pStyle w:val="Tablelistbullet2"/>
              <w:tabs>
                <w:tab w:val="clear" w:pos="360"/>
              </w:tabs>
            </w:pPr>
            <w:r>
              <w:t xml:space="preserve">Upon entering the rental market for the first time, in the absence of information about the number of properties that enter the rental market for the first time every year, it will be assumed that 300 existing properties enter the rental market every year (churn), which stem from the growth of rental properties from 2007-08 to 2017-18 minus newly built properties. For completeness, it will also be assumed that 32% of newly built properties enter the rental market every year — roughly in line with the current proportion of existing rental stock to the total housing stock. These 32% of the new stock do not get upgraded as are assumed to comply with the current energy efficiency requirements for new dwellings set by the National Construction Code. Properties that are upgraded in response to the proposed policy but leave the rental market and are re-rented at later stages will be excluded from the analysis as there is no data about these and are likely to be a small number of properties. </w:t>
            </w:r>
          </w:p>
          <w:p w14:paraId="73BFB473" w14:textId="77777777" w:rsidR="00676882" w:rsidRDefault="00676882" w:rsidP="00DF45FA">
            <w:pPr>
              <w:pStyle w:val="Tablelistbullet"/>
            </w:pPr>
            <w:r w:rsidRPr="00406B4F">
              <w:t>For</w:t>
            </w:r>
            <w:r>
              <w:t xml:space="preserve"> </w:t>
            </w:r>
            <w:r w:rsidRPr="00406B4F">
              <w:t>public</w:t>
            </w:r>
            <w:r>
              <w:t xml:space="preserve"> </w:t>
            </w:r>
            <w:r w:rsidRPr="00406B4F">
              <w:t>housing,</w:t>
            </w:r>
            <w:r>
              <w:t xml:space="preserve"> </w:t>
            </w:r>
            <w:r w:rsidRPr="00406B4F">
              <w:t>it</w:t>
            </w:r>
            <w:r>
              <w:t xml:space="preserve"> </w:t>
            </w:r>
            <w:r w:rsidRPr="00406B4F">
              <w:t>is</w:t>
            </w:r>
            <w:r>
              <w:t xml:space="preserve"> </w:t>
            </w:r>
            <w:r w:rsidRPr="00406B4F">
              <w:t>assumed</w:t>
            </w:r>
            <w:r>
              <w:t xml:space="preserve"> </w:t>
            </w:r>
            <w:r w:rsidRPr="00406B4F">
              <w:t>that</w:t>
            </w:r>
            <w:r>
              <w:t xml:space="preserve"> </w:t>
            </w:r>
            <w:r w:rsidRPr="00406B4F">
              <w:t>Housing</w:t>
            </w:r>
            <w:r>
              <w:t xml:space="preserve"> </w:t>
            </w:r>
            <w:r w:rsidRPr="00406B4F">
              <w:t>ACT</w:t>
            </w:r>
            <w:r>
              <w:t xml:space="preserve"> </w:t>
            </w:r>
            <w:r w:rsidRPr="00406B4F">
              <w:t>will</w:t>
            </w:r>
            <w:r>
              <w:t xml:space="preserve"> </w:t>
            </w:r>
            <w:r w:rsidRPr="00406B4F">
              <w:t>upgrade</w:t>
            </w:r>
            <w:r>
              <w:t xml:space="preserve"> </w:t>
            </w:r>
            <w:r w:rsidRPr="00406B4F">
              <w:t>equal</w:t>
            </w:r>
            <w:r>
              <w:t xml:space="preserve"> </w:t>
            </w:r>
            <w:r w:rsidRPr="00406B4F">
              <w:t>parts</w:t>
            </w:r>
            <w:r>
              <w:t xml:space="preserve"> </w:t>
            </w:r>
            <w:r w:rsidRPr="00406B4F">
              <w:t>of</w:t>
            </w:r>
            <w:r>
              <w:t xml:space="preserve"> </w:t>
            </w:r>
            <w:r w:rsidRPr="00406B4F">
              <w:t>the</w:t>
            </w:r>
            <w:r>
              <w:t xml:space="preserve"> </w:t>
            </w:r>
            <w:r w:rsidRPr="00406B4F">
              <w:t>housing</w:t>
            </w:r>
            <w:r>
              <w:t xml:space="preserve"> </w:t>
            </w:r>
            <w:r w:rsidRPr="00406B4F">
              <w:t>stock</w:t>
            </w:r>
            <w:r>
              <w:t xml:space="preserve"> </w:t>
            </w:r>
            <w:r w:rsidRPr="00406B4F">
              <w:t>that</w:t>
            </w:r>
            <w:r>
              <w:t xml:space="preserve"> </w:t>
            </w:r>
            <w:r w:rsidRPr="00406B4F">
              <w:t>needs</w:t>
            </w:r>
            <w:r>
              <w:t xml:space="preserve"> </w:t>
            </w:r>
            <w:r w:rsidRPr="00406B4F">
              <w:t>upgrading</w:t>
            </w:r>
            <w:r>
              <w:t xml:space="preserve"> </w:t>
            </w:r>
            <w:r w:rsidRPr="00406B4F">
              <w:t>in</w:t>
            </w:r>
            <w:r>
              <w:t xml:space="preserve"> </w:t>
            </w:r>
            <w:r w:rsidRPr="00406B4F">
              <w:t>each</w:t>
            </w:r>
            <w:r>
              <w:t xml:space="preserve"> </w:t>
            </w:r>
            <w:r w:rsidRPr="00406B4F">
              <w:t>year</w:t>
            </w:r>
            <w:r>
              <w:t xml:space="preserve"> </w:t>
            </w:r>
            <w:r w:rsidRPr="00406B4F">
              <w:t>of</w:t>
            </w:r>
            <w:r>
              <w:t xml:space="preserve"> </w:t>
            </w:r>
            <w:r w:rsidRPr="00406B4F">
              <w:t>the</w:t>
            </w:r>
            <w:r>
              <w:t xml:space="preserve"> </w:t>
            </w:r>
            <w:r w:rsidRPr="00406B4F">
              <w:t>phase</w:t>
            </w:r>
            <w:r>
              <w:t xml:space="preserve"> </w:t>
            </w:r>
            <w:r w:rsidRPr="00406B4F">
              <w:t>in</w:t>
            </w:r>
            <w:r>
              <w:t xml:space="preserve"> </w:t>
            </w:r>
            <w:r w:rsidRPr="00406B4F">
              <w:t>and</w:t>
            </w:r>
            <w:r>
              <w:t xml:space="preserve"> </w:t>
            </w:r>
            <w:r w:rsidRPr="00406B4F">
              <w:t>that</w:t>
            </w:r>
            <w:r>
              <w:t xml:space="preserve"> </w:t>
            </w:r>
            <w:r w:rsidRPr="00406B4F">
              <w:t>there</w:t>
            </w:r>
            <w:r>
              <w:t xml:space="preserve"> </w:t>
            </w:r>
            <w:r w:rsidRPr="00406B4F">
              <w:t>is</w:t>
            </w:r>
            <w:r>
              <w:t xml:space="preserve"> </w:t>
            </w:r>
            <w:r w:rsidRPr="00406B4F">
              <w:t>zero</w:t>
            </w:r>
            <w:r>
              <w:t xml:space="preserve"> </w:t>
            </w:r>
            <w:r w:rsidRPr="00406B4F">
              <w:t>additional</w:t>
            </w:r>
            <w:r>
              <w:t xml:space="preserve"> </w:t>
            </w:r>
            <w:r w:rsidRPr="00406B4F">
              <w:t>stock</w:t>
            </w:r>
            <w:r>
              <w:t xml:space="preserve"> </w:t>
            </w:r>
            <w:r w:rsidRPr="00406B4F">
              <w:t>that</w:t>
            </w:r>
            <w:r>
              <w:t xml:space="preserve"> </w:t>
            </w:r>
            <w:r w:rsidRPr="00406B4F">
              <w:t>needs</w:t>
            </w:r>
            <w:r>
              <w:t xml:space="preserve"> </w:t>
            </w:r>
            <w:r w:rsidRPr="00406B4F">
              <w:t>upgrading</w:t>
            </w:r>
            <w:r>
              <w:t xml:space="preserve"> </w:t>
            </w:r>
            <w:r w:rsidRPr="00406B4F">
              <w:t>entering</w:t>
            </w:r>
            <w:r>
              <w:t xml:space="preserve"> </w:t>
            </w:r>
            <w:r w:rsidRPr="00406B4F">
              <w:t>the</w:t>
            </w:r>
            <w:r>
              <w:t xml:space="preserve"> </w:t>
            </w:r>
            <w:r w:rsidRPr="00406B4F">
              <w:t>public</w:t>
            </w:r>
            <w:r>
              <w:t xml:space="preserve"> </w:t>
            </w:r>
            <w:r w:rsidRPr="00406B4F">
              <w:t>housing</w:t>
            </w:r>
            <w:r>
              <w:t xml:space="preserve"> </w:t>
            </w:r>
            <w:r w:rsidRPr="00406B4F">
              <w:t>stock</w:t>
            </w:r>
            <w:r>
              <w:t xml:space="preserve"> </w:t>
            </w:r>
            <w:r w:rsidRPr="00406B4F">
              <w:t>after</w:t>
            </w:r>
            <w:r>
              <w:t xml:space="preserve"> </w:t>
            </w:r>
            <w:r w:rsidRPr="00406B4F">
              <w:t>that</w:t>
            </w:r>
            <w:r>
              <w:t xml:space="preserve"> </w:t>
            </w:r>
            <w:r w:rsidRPr="00406B4F">
              <w:t>period</w:t>
            </w:r>
            <w:r>
              <w:t xml:space="preserve"> </w:t>
            </w:r>
            <w:r w:rsidRPr="00406B4F">
              <w:t>(i.e.</w:t>
            </w:r>
            <w:r>
              <w:t xml:space="preserve"> </w:t>
            </w:r>
            <w:r w:rsidRPr="00406B4F">
              <w:t>it</w:t>
            </w:r>
            <w:r>
              <w:t xml:space="preserve"> </w:t>
            </w:r>
            <w:r w:rsidRPr="00406B4F">
              <w:t>is</w:t>
            </w:r>
            <w:r>
              <w:t xml:space="preserve"> </w:t>
            </w:r>
            <w:r w:rsidRPr="00406B4F">
              <w:t>assumed</w:t>
            </w:r>
            <w:r>
              <w:t xml:space="preserve"> </w:t>
            </w:r>
            <w:r w:rsidRPr="00406B4F">
              <w:t>that</w:t>
            </w:r>
            <w:r>
              <w:t xml:space="preserve"> </w:t>
            </w:r>
            <w:r w:rsidRPr="00406B4F">
              <w:t>if</w:t>
            </w:r>
            <w:r>
              <w:t xml:space="preserve"> </w:t>
            </w:r>
            <w:r w:rsidRPr="00406B4F">
              <w:t>new</w:t>
            </w:r>
            <w:r>
              <w:t xml:space="preserve"> </w:t>
            </w:r>
            <w:r w:rsidRPr="00406B4F">
              <w:t>stock</w:t>
            </w:r>
            <w:r>
              <w:t xml:space="preserve"> </w:t>
            </w:r>
            <w:r w:rsidRPr="00406B4F">
              <w:t>is</w:t>
            </w:r>
            <w:r>
              <w:t xml:space="preserve"> </w:t>
            </w:r>
            <w:r w:rsidRPr="00406B4F">
              <w:t>added</w:t>
            </w:r>
            <w:r>
              <w:t xml:space="preserve"> </w:t>
            </w:r>
            <w:r w:rsidRPr="00406B4F">
              <w:t>to</w:t>
            </w:r>
            <w:r>
              <w:t xml:space="preserve"> </w:t>
            </w:r>
            <w:r w:rsidRPr="00406B4F">
              <w:t>public</w:t>
            </w:r>
            <w:r>
              <w:t xml:space="preserve"> </w:t>
            </w:r>
            <w:r w:rsidRPr="00406B4F">
              <w:t>housing,</w:t>
            </w:r>
            <w:r>
              <w:t xml:space="preserve"> </w:t>
            </w:r>
            <w:r w:rsidRPr="00406B4F">
              <w:t>this</w:t>
            </w:r>
            <w:r>
              <w:t xml:space="preserve"> </w:t>
            </w:r>
            <w:r w:rsidRPr="00406B4F">
              <w:t>stock</w:t>
            </w:r>
            <w:r>
              <w:t xml:space="preserve"> </w:t>
            </w:r>
            <w:r w:rsidRPr="00406B4F">
              <w:t>is</w:t>
            </w:r>
            <w:r>
              <w:t xml:space="preserve"> </w:t>
            </w:r>
            <w:r w:rsidRPr="00406B4F">
              <w:t>either</w:t>
            </w:r>
            <w:r>
              <w:t xml:space="preserve"> </w:t>
            </w:r>
            <w:r w:rsidRPr="00406B4F">
              <w:t>new</w:t>
            </w:r>
            <w:r>
              <w:t xml:space="preserve"> </w:t>
            </w:r>
            <w:r w:rsidRPr="00406B4F">
              <w:t>or</w:t>
            </w:r>
            <w:r>
              <w:t xml:space="preserve"> </w:t>
            </w:r>
            <w:r w:rsidRPr="00406B4F">
              <w:t>has</w:t>
            </w:r>
            <w:r>
              <w:t xml:space="preserve"> </w:t>
            </w:r>
            <w:r w:rsidRPr="00406B4F">
              <w:t>been</w:t>
            </w:r>
            <w:r>
              <w:t xml:space="preserve"> </w:t>
            </w:r>
            <w:r w:rsidRPr="00406B4F">
              <w:t>upgraded</w:t>
            </w:r>
            <w:r>
              <w:t xml:space="preserve"> </w:t>
            </w:r>
            <w:r w:rsidRPr="00406B4F">
              <w:t>so</w:t>
            </w:r>
            <w:r>
              <w:t xml:space="preserve"> </w:t>
            </w:r>
            <w:r w:rsidRPr="00406B4F">
              <w:t>that</w:t>
            </w:r>
            <w:r>
              <w:t xml:space="preserve"> </w:t>
            </w:r>
            <w:r w:rsidRPr="00406B4F">
              <w:t>there</w:t>
            </w:r>
            <w:r>
              <w:t xml:space="preserve"> </w:t>
            </w:r>
            <w:r w:rsidRPr="00406B4F">
              <w:t>is</w:t>
            </w:r>
            <w:r>
              <w:t xml:space="preserve"> </w:t>
            </w:r>
            <w:r w:rsidRPr="00406B4F">
              <w:t>no</w:t>
            </w:r>
            <w:r>
              <w:t xml:space="preserve"> </w:t>
            </w:r>
            <w:r w:rsidRPr="00406B4F">
              <w:t>need</w:t>
            </w:r>
            <w:r>
              <w:t xml:space="preserve"> </w:t>
            </w:r>
            <w:r w:rsidRPr="00406B4F">
              <w:t>to</w:t>
            </w:r>
            <w:r>
              <w:t xml:space="preserve"> </w:t>
            </w:r>
            <w:r w:rsidRPr="00406B4F">
              <w:t>upgrade</w:t>
            </w:r>
            <w:r>
              <w:t xml:space="preserve"> </w:t>
            </w:r>
            <w:r w:rsidRPr="00406B4F">
              <w:t>after</w:t>
            </w:r>
            <w:r>
              <w:t xml:space="preserve"> </w:t>
            </w:r>
            <w:r w:rsidRPr="00406B4F">
              <w:t>its</w:t>
            </w:r>
            <w:r>
              <w:t xml:space="preserve"> </w:t>
            </w:r>
            <w:r w:rsidRPr="00406B4F">
              <w:t>acquisition).</w:t>
            </w:r>
            <w:r>
              <w:t xml:space="preserve"> </w:t>
            </w:r>
            <w:r w:rsidRPr="00406B4F">
              <w:t>Housing</w:t>
            </w:r>
            <w:r>
              <w:t xml:space="preserve"> </w:t>
            </w:r>
            <w:r w:rsidRPr="00406B4F">
              <w:t>ACT</w:t>
            </w:r>
            <w:r>
              <w:t xml:space="preserve"> </w:t>
            </w:r>
            <w:r w:rsidRPr="00406B4F">
              <w:t>has</w:t>
            </w:r>
            <w:r>
              <w:t xml:space="preserve"> </w:t>
            </w:r>
            <w:r w:rsidRPr="00406B4F">
              <w:t>plans</w:t>
            </w:r>
            <w:r>
              <w:t xml:space="preserve"> </w:t>
            </w:r>
            <w:r w:rsidRPr="00406B4F">
              <w:t>to</w:t>
            </w:r>
            <w:r>
              <w:t xml:space="preserve"> </w:t>
            </w:r>
            <w:r w:rsidRPr="00406B4F">
              <w:t>replace</w:t>
            </w:r>
            <w:r>
              <w:t xml:space="preserve"> </w:t>
            </w:r>
            <w:r w:rsidRPr="00406B4F">
              <w:t>and</w:t>
            </w:r>
            <w:r>
              <w:t xml:space="preserve"> </w:t>
            </w:r>
            <w:r w:rsidRPr="00406B4F">
              <w:t>expand</w:t>
            </w:r>
            <w:r>
              <w:t xml:space="preserve"> </w:t>
            </w:r>
            <w:r w:rsidRPr="00406B4F">
              <w:t>upon</w:t>
            </w:r>
            <w:r>
              <w:t xml:space="preserve"> </w:t>
            </w:r>
            <w:r w:rsidRPr="00406B4F">
              <w:t>its</w:t>
            </w:r>
            <w:r>
              <w:t xml:space="preserve"> </w:t>
            </w:r>
            <w:r w:rsidRPr="00406B4F">
              <w:t>current</w:t>
            </w:r>
            <w:r>
              <w:t xml:space="preserve"> </w:t>
            </w:r>
            <w:r w:rsidRPr="00406B4F">
              <w:t>housing</w:t>
            </w:r>
            <w:r>
              <w:t xml:space="preserve"> </w:t>
            </w:r>
            <w:r w:rsidRPr="00406B4F">
              <w:t>stock.</w:t>
            </w:r>
            <w:r>
              <w:t xml:space="preserve"> </w:t>
            </w:r>
            <w:r w:rsidRPr="00406B4F">
              <w:t>We</w:t>
            </w:r>
            <w:r>
              <w:t xml:space="preserve"> </w:t>
            </w:r>
            <w:r w:rsidRPr="00406B4F">
              <w:t>have</w:t>
            </w:r>
            <w:r>
              <w:t xml:space="preserve"> </w:t>
            </w:r>
            <w:r w:rsidRPr="00406B4F">
              <w:t>assumed</w:t>
            </w:r>
            <w:r>
              <w:t xml:space="preserve"> </w:t>
            </w:r>
            <w:r w:rsidRPr="00406B4F">
              <w:t>that</w:t>
            </w:r>
            <w:r>
              <w:t xml:space="preserve"> </w:t>
            </w:r>
            <w:r w:rsidRPr="00406B4F">
              <w:t>any</w:t>
            </w:r>
            <w:r>
              <w:t xml:space="preserve"> </w:t>
            </w:r>
            <w:r w:rsidRPr="00406B4F">
              <w:t>new</w:t>
            </w:r>
            <w:r>
              <w:t xml:space="preserve"> </w:t>
            </w:r>
            <w:r w:rsidRPr="00406B4F">
              <w:t>properties</w:t>
            </w:r>
            <w:r>
              <w:t xml:space="preserve"> </w:t>
            </w:r>
            <w:r w:rsidRPr="00406B4F">
              <w:t>entering</w:t>
            </w:r>
            <w:r>
              <w:t xml:space="preserve"> </w:t>
            </w:r>
            <w:r w:rsidRPr="00406B4F">
              <w:t>the</w:t>
            </w:r>
            <w:r>
              <w:t xml:space="preserve"> </w:t>
            </w:r>
            <w:r w:rsidRPr="00406B4F">
              <w:t>portfolio</w:t>
            </w:r>
            <w:r>
              <w:t xml:space="preserve"> </w:t>
            </w:r>
            <w:r w:rsidRPr="00406B4F">
              <w:t>will</w:t>
            </w:r>
            <w:r>
              <w:t xml:space="preserve"> </w:t>
            </w:r>
            <w:r w:rsidRPr="00406B4F">
              <w:t>be</w:t>
            </w:r>
            <w:r>
              <w:t xml:space="preserve"> </w:t>
            </w:r>
            <w:r w:rsidRPr="00406B4F">
              <w:t>sourced</w:t>
            </w:r>
            <w:r>
              <w:t xml:space="preserve"> </w:t>
            </w:r>
            <w:r w:rsidRPr="00406B4F">
              <w:t>such</w:t>
            </w:r>
            <w:r>
              <w:t xml:space="preserve"> </w:t>
            </w:r>
            <w:r w:rsidRPr="00406B4F">
              <w:t>that</w:t>
            </w:r>
            <w:r>
              <w:t xml:space="preserve"> </w:t>
            </w:r>
            <w:r w:rsidRPr="00406B4F">
              <w:t>they</w:t>
            </w:r>
            <w:r>
              <w:t xml:space="preserve"> </w:t>
            </w:r>
            <w:r w:rsidRPr="00406B4F">
              <w:t>meet</w:t>
            </w:r>
            <w:r>
              <w:t xml:space="preserve"> </w:t>
            </w:r>
            <w:r w:rsidRPr="00406B4F">
              <w:t>the</w:t>
            </w:r>
            <w:r>
              <w:t xml:space="preserve"> </w:t>
            </w:r>
            <w:r w:rsidRPr="00406B4F">
              <w:t>proposed</w:t>
            </w:r>
            <w:r>
              <w:t xml:space="preserve"> </w:t>
            </w:r>
            <w:r w:rsidRPr="00406B4F">
              <w:t>standards.</w:t>
            </w:r>
          </w:p>
          <w:p w14:paraId="1C7A9BF0" w14:textId="77777777" w:rsidR="00676882" w:rsidRPr="00406B4F" w:rsidRDefault="00676882" w:rsidP="00DF45FA">
            <w:pPr>
              <w:pStyle w:val="Tablelistbullet"/>
              <w:numPr>
                <w:ilvl w:val="0"/>
                <w:numId w:val="0"/>
              </w:numPr>
              <w:rPr>
                <w:b/>
                <w:bCs/>
              </w:rPr>
            </w:pPr>
            <w:r w:rsidRPr="00406B4F">
              <w:rPr>
                <w:b/>
                <w:bCs/>
              </w:rPr>
              <w:t>Costs</w:t>
            </w:r>
            <w:r>
              <w:rPr>
                <w:b/>
                <w:bCs/>
              </w:rPr>
              <w:t xml:space="preserve"> </w:t>
            </w:r>
            <w:r w:rsidRPr="00406B4F">
              <w:rPr>
                <w:b/>
                <w:bCs/>
              </w:rPr>
              <w:t>incurred</w:t>
            </w:r>
            <w:r>
              <w:rPr>
                <w:b/>
                <w:bCs/>
              </w:rPr>
              <w:t xml:space="preserve"> </w:t>
            </w:r>
            <w:r w:rsidRPr="00406B4F">
              <w:rPr>
                <w:b/>
                <w:bCs/>
              </w:rPr>
              <w:t>by</w:t>
            </w:r>
            <w:r>
              <w:rPr>
                <w:b/>
                <w:bCs/>
              </w:rPr>
              <w:t xml:space="preserve"> </w:t>
            </w:r>
            <w:r w:rsidRPr="00406B4F">
              <w:rPr>
                <w:b/>
                <w:bCs/>
              </w:rPr>
              <w:t>all</w:t>
            </w:r>
            <w:r>
              <w:rPr>
                <w:b/>
                <w:bCs/>
              </w:rPr>
              <w:t xml:space="preserve"> </w:t>
            </w:r>
            <w:r w:rsidRPr="00406B4F">
              <w:rPr>
                <w:b/>
                <w:bCs/>
              </w:rPr>
              <w:t>rental</w:t>
            </w:r>
            <w:r>
              <w:rPr>
                <w:b/>
                <w:bCs/>
              </w:rPr>
              <w:t xml:space="preserve"> </w:t>
            </w:r>
            <w:r w:rsidRPr="00406B4F">
              <w:rPr>
                <w:b/>
                <w:bCs/>
              </w:rPr>
              <w:t>properties</w:t>
            </w:r>
            <w:r>
              <w:rPr>
                <w:b/>
                <w:bCs/>
              </w:rPr>
              <w:t xml:space="preserve"> </w:t>
            </w:r>
            <w:r w:rsidRPr="00406B4F">
              <w:rPr>
                <w:b/>
                <w:bCs/>
              </w:rPr>
              <w:t>subject</w:t>
            </w:r>
            <w:r>
              <w:rPr>
                <w:b/>
                <w:bCs/>
              </w:rPr>
              <w:t xml:space="preserve"> </w:t>
            </w:r>
            <w:r w:rsidRPr="00406B4F">
              <w:rPr>
                <w:b/>
                <w:bCs/>
              </w:rPr>
              <w:t>to</w:t>
            </w:r>
            <w:r>
              <w:rPr>
                <w:b/>
                <w:bCs/>
              </w:rPr>
              <w:t xml:space="preserve"> </w:t>
            </w:r>
            <w:r w:rsidRPr="00406B4F">
              <w:rPr>
                <w:b/>
                <w:bCs/>
              </w:rPr>
              <w:t>the</w:t>
            </w:r>
            <w:r>
              <w:rPr>
                <w:b/>
                <w:bCs/>
              </w:rPr>
              <w:t xml:space="preserve"> </w:t>
            </w:r>
            <w:r w:rsidRPr="00406B4F">
              <w:rPr>
                <w:b/>
                <w:bCs/>
              </w:rPr>
              <w:t>new</w:t>
            </w:r>
            <w:r>
              <w:rPr>
                <w:b/>
                <w:bCs/>
              </w:rPr>
              <w:t xml:space="preserve"> </w:t>
            </w:r>
            <w:r w:rsidRPr="00406B4F">
              <w:rPr>
                <w:b/>
                <w:bCs/>
              </w:rPr>
              <w:t>standards</w:t>
            </w:r>
          </w:p>
          <w:p w14:paraId="26BCF8EA" w14:textId="77777777" w:rsidR="00676882" w:rsidRDefault="00676882" w:rsidP="00676882">
            <w:pPr>
              <w:pStyle w:val="Tablelistnumber"/>
              <w:numPr>
                <w:ilvl w:val="0"/>
                <w:numId w:val="60"/>
              </w:numPr>
            </w:pPr>
            <w:r>
              <w:t>Cost of the energy efficiency assessment — the cost per assessment is based on the following information and assumptions used on our analysis for the Commonwealth of the extension of NatHERS ratings to existing homes:</w:t>
            </w:r>
          </w:p>
          <w:p w14:paraId="3AA601B9" w14:textId="77777777" w:rsidR="00676882" w:rsidRDefault="00676882" w:rsidP="00DF45FA">
            <w:pPr>
              <w:pStyle w:val="Tablelistbullet2"/>
              <w:tabs>
                <w:tab w:val="clear" w:pos="360"/>
              </w:tabs>
            </w:pPr>
            <w:r>
              <w:t>based on the Victorian Residential Energy Scorecard (RES) experience, the cost of assessment for houses in Victoria is the average of $300 and $500 (</w:t>
            </w:r>
            <w:proofErr w:type="gramStart"/>
            <w:r>
              <w:t>i.e.</w:t>
            </w:r>
            <w:proofErr w:type="gramEnd"/>
            <w:r>
              <w:t xml:space="preserve"> $400)</w:t>
            </w:r>
          </w:p>
          <w:p w14:paraId="0D9CF272" w14:textId="77777777" w:rsidR="00676882" w:rsidRPr="00E31B24" w:rsidRDefault="00676882" w:rsidP="00DF45FA">
            <w:pPr>
              <w:pStyle w:val="Tablelistbullet2"/>
              <w:tabs>
                <w:tab w:val="clear" w:pos="360"/>
              </w:tabs>
            </w:pPr>
            <w:r w:rsidRPr="00E31B24">
              <w:t>it</w:t>
            </w:r>
            <w:r>
              <w:t xml:space="preserve"> is </w:t>
            </w:r>
            <w:r w:rsidRPr="00E31B24">
              <w:t>be</w:t>
            </w:r>
            <w:r>
              <w:t xml:space="preserve"> </w:t>
            </w:r>
            <w:r w:rsidRPr="00E31B24">
              <w:t>assumed</w:t>
            </w:r>
            <w:r>
              <w:t xml:space="preserve"> </w:t>
            </w:r>
            <w:r w:rsidRPr="00E31B24">
              <w:t>that:</w:t>
            </w:r>
          </w:p>
          <w:p w14:paraId="590DC9E4" w14:textId="77777777" w:rsidR="00676882" w:rsidRPr="00E31B24" w:rsidRDefault="00676882" w:rsidP="00DF45FA">
            <w:pPr>
              <w:pStyle w:val="Tablelistbullet3"/>
              <w:tabs>
                <w:tab w:val="clear" w:pos="360"/>
              </w:tabs>
              <w:ind w:left="760"/>
            </w:pPr>
            <w:r w:rsidRPr="00E31B24">
              <w:t>the</w:t>
            </w:r>
            <w:r>
              <w:t xml:space="preserve"> </w:t>
            </w:r>
            <w:r w:rsidRPr="00E31B24">
              <w:t>assessment</w:t>
            </w:r>
            <w:r>
              <w:t xml:space="preserve"> </w:t>
            </w:r>
            <w:r w:rsidRPr="00E31B24">
              <w:t>cost</w:t>
            </w:r>
            <w:r>
              <w:t xml:space="preserve"> </w:t>
            </w:r>
            <w:r w:rsidRPr="00E31B24">
              <w:t>for</w:t>
            </w:r>
            <w:r>
              <w:t xml:space="preserve"> </w:t>
            </w:r>
            <w:r w:rsidRPr="00E31B24">
              <w:t>Class</w:t>
            </w:r>
            <w:r>
              <w:t xml:space="preserve"> </w:t>
            </w:r>
            <w:r w:rsidRPr="00E31B24">
              <w:t>2</w:t>
            </w:r>
            <w:r>
              <w:t xml:space="preserve"> </w:t>
            </w:r>
            <w:r w:rsidRPr="00E31B24">
              <w:t>is</w:t>
            </w:r>
            <w:r>
              <w:t xml:space="preserve"> </w:t>
            </w:r>
            <w:r w:rsidRPr="00E31B24">
              <w:t>80</w:t>
            </w:r>
            <w:r>
              <w:t xml:space="preserve"> </w:t>
            </w:r>
            <w:r w:rsidRPr="00E31B24">
              <w:t>per</w:t>
            </w:r>
            <w:r>
              <w:t xml:space="preserve"> </w:t>
            </w:r>
            <w:r w:rsidRPr="00E31B24">
              <w:t>cent</w:t>
            </w:r>
            <w:r>
              <w:t xml:space="preserve"> </w:t>
            </w:r>
            <w:r w:rsidRPr="00E31B24">
              <w:t>of</w:t>
            </w:r>
            <w:r>
              <w:t xml:space="preserve"> </w:t>
            </w:r>
            <w:r w:rsidRPr="00E31B24">
              <w:t>the</w:t>
            </w:r>
            <w:r>
              <w:t xml:space="preserve"> </w:t>
            </w:r>
            <w:r w:rsidRPr="00E31B24">
              <w:t>cost</w:t>
            </w:r>
            <w:r>
              <w:t xml:space="preserve"> </w:t>
            </w:r>
            <w:r w:rsidRPr="00E31B24">
              <w:t>for</w:t>
            </w:r>
            <w:r>
              <w:t xml:space="preserve"> </w:t>
            </w:r>
            <w:r w:rsidRPr="00E31B24">
              <w:t>Class</w:t>
            </w:r>
            <w:r>
              <w:t xml:space="preserve"> </w:t>
            </w:r>
            <w:r w:rsidRPr="00E31B24">
              <w:t>1</w:t>
            </w:r>
          </w:p>
          <w:p w14:paraId="01071ECD" w14:textId="77777777" w:rsidR="00676882" w:rsidRPr="00E31B24" w:rsidRDefault="00676882" w:rsidP="00DF45FA">
            <w:pPr>
              <w:pStyle w:val="Tablelistbullet3"/>
              <w:tabs>
                <w:tab w:val="clear" w:pos="360"/>
              </w:tabs>
              <w:ind w:left="760"/>
            </w:pPr>
            <w:r w:rsidRPr="00E31B24">
              <w:t>the</w:t>
            </w:r>
            <w:r>
              <w:t xml:space="preserve"> </w:t>
            </w:r>
            <w:r w:rsidRPr="00E31B24">
              <w:t>real</w:t>
            </w:r>
            <w:r>
              <w:t xml:space="preserve"> </w:t>
            </w:r>
            <w:r w:rsidRPr="00E31B24">
              <w:t>cost</w:t>
            </w:r>
            <w:r>
              <w:t xml:space="preserve"> </w:t>
            </w:r>
            <w:r w:rsidRPr="00E31B24">
              <w:t>of</w:t>
            </w:r>
            <w:r>
              <w:t xml:space="preserve"> </w:t>
            </w:r>
            <w:r w:rsidRPr="00E31B24">
              <w:t>the</w:t>
            </w:r>
            <w:r>
              <w:t xml:space="preserve"> </w:t>
            </w:r>
            <w:r w:rsidRPr="00E31B24">
              <w:t>assessments</w:t>
            </w:r>
            <w:r>
              <w:t xml:space="preserve"> </w:t>
            </w:r>
            <w:r w:rsidRPr="00E31B24">
              <w:t>would</w:t>
            </w:r>
            <w:r>
              <w:t xml:space="preserve"> </w:t>
            </w:r>
            <w:r w:rsidRPr="00E31B24">
              <w:t>decline</w:t>
            </w:r>
            <w:r>
              <w:t xml:space="preserve"> </w:t>
            </w:r>
            <w:r w:rsidRPr="00E31B24">
              <w:t>by</w:t>
            </w:r>
            <w:r>
              <w:t xml:space="preserve"> </w:t>
            </w:r>
            <w:r w:rsidRPr="00E31B24">
              <w:t>a</w:t>
            </w:r>
            <w:r>
              <w:t xml:space="preserve"> </w:t>
            </w:r>
            <w:r w:rsidRPr="00E31B24">
              <w:t>total</w:t>
            </w:r>
            <w:r>
              <w:t xml:space="preserve"> </w:t>
            </w:r>
            <w:r w:rsidRPr="00E31B24">
              <w:t>of</w:t>
            </w:r>
            <w:r>
              <w:t xml:space="preserve"> </w:t>
            </w:r>
            <w:r w:rsidRPr="00E31B24">
              <w:t>10</w:t>
            </w:r>
            <w:r>
              <w:t xml:space="preserve"> </w:t>
            </w:r>
            <w:r w:rsidRPr="00E31B24">
              <w:t>per</w:t>
            </w:r>
            <w:r>
              <w:t xml:space="preserve"> </w:t>
            </w:r>
            <w:r w:rsidRPr="00E31B24">
              <w:t>cent</w:t>
            </w:r>
            <w:r>
              <w:t xml:space="preserve"> </w:t>
            </w:r>
            <w:r w:rsidRPr="00E31B24">
              <w:t>over</w:t>
            </w:r>
            <w:r>
              <w:t xml:space="preserve"> </w:t>
            </w:r>
            <w:r w:rsidRPr="00E31B24">
              <w:t>ten</w:t>
            </w:r>
            <w:r>
              <w:t xml:space="preserve"> </w:t>
            </w:r>
            <w:r w:rsidRPr="00E31B24">
              <w:t>years</w:t>
            </w:r>
            <w:r>
              <w:t xml:space="preserve"> </w:t>
            </w:r>
            <w:r w:rsidRPr="00E31B24">
              <w:t>(this</w:t>
            </w:r>
            <w:r>
              <w:t xml:space="preserve"> </w:t>
            </w:r>
            <w:proofErr w:type="gramStart"/>
            <w:r w:rsidRPr="00E31B24">
              <w:t>was</w:t>
            </w:r>
            <w:r>
              <w:t xml:space="preserve"> </w:t>
            </w:r>
            <w:r w:rsidRPr="00E31B24">
              <w:t>based</w:t>
            </w:r>
            <w:r>
              <w:t xml:space="preserve"> </w:t>
            </w:r>
            <w:r w:rsidRPr="00E31B24">
              <w:t>on</w:t>
            </w:r>
            <w:r>
              <w:t xml:space="preserve"> </w:t>
            </w:r>
            <w:r w:rsidRPr="00E31B24">
              <w:t>the</w:t>
            </w:r>
            <w:r>
              <w:t xml:space="preserve"> </w:t>
            </w:r>
            <w:r w:rsidRPr="00E31B24">
              <w:t>assumption</w:t>
            </w:r>
            <w:proofErr w:type="gramEnd"/>
            <w:r>
              <w:t xml:space="preserve"> </w:t>
            </w:r>
            <w:r w:rsidRPr="00E31B24">
              <w:t>that</w:t>
            </w:r>
            <w:r>
              <w:t xml:space="preserve"> </w:t>
            </w:r>
            <w:r w:rsidRPr="00E31B24">
              <w:t>assessors</w:t>
            </w:r>
            <w:r>
              <w:t xml:space="preserve"> </w:t>
            </w:r>
            <w:r w:rsidRPr="00E31B24">
              <w:t>would</w:t>
            </w:r>
            <w:r>
              <w:t xml:space="preserve"> </w:t>
            </w:r>
            <w:r w:rsidRPr="00E31B24">
              <w:t>become</w:t>
            </w:r>
            <w:r>
              <w:t xml:space="preserve"> </w:t>
            </w:r>
            <w:r w:rsidRPr="00E31B24">
              <w:t>more</w:t>
            </w:r>
            <w:r>
              <w:t xml:space="preserve"> </w:t>
            </w:r>
            <w:r w:rsidRPr="00E31B24">
              <w:t>efficient</w:t>
            </w:r>
            <w:r>
              <w:t xml:space="preserve"> </w:t>
            </w:r>
            <w:r w:rsidRPr="00E31B24">
              <w:t>at</w:t>
            </w:r>
            <w:r>
              <w:t xml:space="preserve"> </w:t>
            </w:r>
            <w:r w:rsidRPr="00E31B24">
              <w:t>undertaking</w:t>
            </w:r>
            <w:r>
              <w:t xml:space="preserve"> </w:t>
            </w:r>
            <w:r w:rsidRPr="00E31B24">
              <w:t>the</w:t>
            </w:r>
            <w:r>
              <w:t xml:space="preserve"> </w:t>
            </w:r>
            <w:r w:rsidRPr="00E31B24">
              <w:t>assessments</w:t>
            </w:r>
            <w:r>
              <w:t xml:space="preserve"> </w:t>
            </w:r>
            <w:r w:rsidRPr="00E31B24">
              <w:t>due</w:t>
            </w:r>
            <w:r>
              <w:t xml:space="preserve"> </w:t>
            </w:r>
            <w:r w:rsidRPr="00E31B24">
              <w:t>to</w:t>
            </w:r>
            <w:r>
              <w:t xml:space="preserve"> </w:t>
            </w:r>
            <w:r w:rsidRPr="00E31B24">
              <w:t>natural</w:t>
            </w:r>
            <w:r>
              <w:t xml:space="preserve"> </w:t>
            </w:r>
            <w:r w:rsidRPr="00E31B24">
              <w:t>learning</w:t>
            </w:r>
            <w:r>
              <w:t xml:space="preserve"> </w:t>
            </w:r>
            <w:r w:rsidRPr="00E31B24">
              <w:t>over</w:t>
            </w:r>
            <w:r>
              <w:t xml:space="preserve"> </w:t>
            </w:r>
            <w:r w:rsidRPr="00E31B24">
              <w:t>time)</w:t>
            </w:r>
          </w:p>
          <w:p w14:paraId="09355254" w14:textId="77777777" w:rsidR="00676882" w:rsidRPr="00E31B24" w:rsidRDefault="00676882" w:rsidP="00DF45FA">
            <w:pPr>
              <w:pStyle w:val="Tablelistbullet3"/>
              <w:tabs>
                <w:tab w:val="clear" w:pos="360"/>
              </w:tabs>
              <w:ind w:left="760"/>
            </w:pPr>
            <w:r w:rsidRPr="00E31B24">
              <w:t>the</w:t>
            </w:r>
            <w:r>
              <w:t xml:space="preserve"> </w:t>
            </w:r>
            <w:r w:rsidRPr="00E31B24">
              <w:t>cost</w:t>
            </w:r>
            <w:r>
              <w:t xml:space="preserve"> </w:t>
            </w:r>
            <w:r w:rsidRPr="00E31B24">
              <w:t>of</w:t>
            </w:r>
            <w:r>
              <w:t xml:space="preserve"> </w:t>
            </w:r>
            <w:r w:rsidRPr="00E31B24">
              <w:t>rating</w:t>
            </w:r>
            <w:r>
              <w:t xml:space="preserve"> </w:t>
            </w:r>
            <w:r w:rsidRPr="00E31B24">
              <w:t>public</w:t>
            </w:r>
            <w:r>
              <w:t xml:space="preserve"> </w:t>
            </w:r>
            <w:r w:rsidRPr="00E31B24">
              <w:t>housing</w:t>
            </w:r>
            <w:r>
              <w:t xml:space="preserve"> </w:t>
            </w:r>
            <w:r w:rsidRPr="00E31B24">
              <w:t>dwellings</w:t>
            </w:r>
            <w:r>
              <w:t xml:space="preserve"> </w:t>
            </w:r>
            <w:r w:rsidRPr="00E31B24">
              <w:t>is</w:t>
            </w:r>
            <w:r>
              <w:t xml:space="preserve"> </w:t>
            </w:r>
            <w:r w:rsidRPr="00E31B24">
              <w:t>the</w:t>
            </w:r>
            <w:r>
              <w:t xml:space="preserve"> </w:t>
            </w:r>
            <w:r w:rsidRPr="00E31B24">
              <w:t>same</w:t>
            </w:r>
            <w:r>
              <w:t xml:space="preserve"> </w:t>
            </w:r>
            <w:r w:rsidRPr="00E31B24">
              <w:t>as</w:t>
            </w:r>
            <w:r>
              <w:t xml:space="preserve"> </w:t>
            </w:r>
            <w:r w:rsidRPr="00E31B24">
              <w:t>the</w:t>
            </w:r>
            <w:r>
              <w:t xml:space="preserve"> </w:t>
            </w:r>
            <w:r w:rsidRPr="00E31B24">
              <w:t>cost</w:t>
            </w:r>
            <w:r>
              <w:t xml:space="preserve"> </w:t>
            </w:r>
            <w:r w:rsidRPr="00E31B24">
              <w:t>of</w:t>
            </w:r>
            <w:r>
              <w:t xml:space="preserve"> </w:t>
            </w:r>
            <w:r w:rsidRPr="00E31B24">
              <w:t>rating</w:t>
            </w:r>
            <w:r>
              <w:t xml:space="preserve"> </w:t>
            </w:r>
            <w:r w:rsidRPr="00E31B24">
              <w:t>a</w:t>
            </w:r>
            <w:r>
              <w:t xml:space="preserve"> </w:t>
            </w:r>
            <w:r w:rsidRPr="00E31B24">
              <w:t>private</w:t>
            </w:r>
            <w:r>
              <w:t xml:space="preserve"> </w:t>
            </w:r>
            <w:r w:rsidRPr="00E31B24">
              <w:t>dwelling.</w:t>
            </w:r>
            <w:r>
              <w:t xml:space="preserve"> </w:t>
            </w:r>
            <w:r w:rsidRPr="00E31B24">
              <w:t>Practically,</w:t>
            </w:r>
            <w:r>
              <w:t xml:space="preserve"> </w:t>
            </w:r>
            <w:r w:rsidRPr="00E31B24">
              <w:t>it</w:t>
            </w:r>
            <w:r>
              <w:t xml:space="preserve"> </w:t>
            </w:r>
            <w:r w:rsidRPr="00E31B24">
              <w:t>may</w:t>
            </w:r>
            <w:r>
              <w:t xml:space="preserve"> </w:t>
            </w:r>
            <w:r w:rsidRPr="00E31B24">
              <w:t>be</w:t>
            </w:r>
            <w:r>
              <w:t xml:space="preserve"> </w:t>
            </w:r>
            <w:r w:rsidRPr="00E31B24">
              <w:t>possible</w:t>
            </w:r>
            <w:r>
              <w:t xml:space="preserve"> </w:t>
            </w:r>
            <w:r w:rsidRPr="00E31B24">
              <w:t>for</w:t>
            </w:r>
            <w:r>
              <w:t xml:space="preserve"> </w:t>
            </w:r>
            <w:r w:rsidRPr="00E31B24">
              <w:t>Housing</w:t>
            </w:r>
            <w:r>
              <w:t xml:space="preserve"> </w:t>
            </w:r>
            <w:r w:rsidRPr="00E31B24">
              <w:t>Act</w:t>
            </w:r>
            <w:r>
              <w:t xml:space="preserve"> </w:t>
            </w:r>
            <w:r w:rsidRPr="00E31B24">
              <w:t>to</w:t>
            </w:r>
            <w:r>
              <w:t xml:space="preserve"> </w:t>
            </w:r>
            <w:r w:rsidRPr="00E31B24">
              <w:t>work</w:t>
            </w:r>
            <w:r>
              <w:t xml:space="preserve"> </w:t>
            </w:r>
            <w:r w:rsidRPr="00E31B24">
              <w:t>with</w:t>
            </w:r>
            <w:r>
              <w:t xml:space="preserve"> </w:t>
            </w:r>
            <w:r w:rsidRPr="00E31B24">
              <w:t>its</w:t>
            </w:r>
            <w:r>
              <w:t xml:space="preserve"> </w:t>
            </w:r>
            <w:r w:rsidRPr="00E31B24">
              <w:t>existing</w:t>
            </w:r>
            <w:r>
              <w:t xml:space="preserve"> </w:t>
            </w:r>
            <w:r w:rsidRPr="00E31B24">
              <w:t>facilities</w:t>
            </w:r>
            <w:r>
              <w:t xml:space="preserve"> </w:t>
            </w:r>
            <w:r w:rsidRPr="00E31B24">
              <w:t>management</w:t>
            </w:r>
            <w:r>
              <w:t xml:space="preserve"> </w:t>
            </w:r>
            <w:r w:rsidRPr="00E31B24">
              <w:t>contracts</w:t>
            </w:r>
            <w:r>
              <w:t xml:space="preserve"> </w:t>
            </w:r>
            <w:r w:rsidRPr="00E31B24">
              <w:t>to</w:t>
            </w:r>
            <w:r>
              <w:t xml:space="preserve"> </w:t>
            </w:r>
            <w:r w:rsidRPr="00E31B24">
              <w:t>undertake</w:t>
            </w:r>
            <w:r>
              <w:t xml:space="preserve"> </w:t>
            </w:r>
            <w:r w:rsidRPr="00E31B24">
              <w:t>assessments</w:t>
            </w:r>
            <w:r>
              <w:t xml:space="preserve"> and management, though for impact modelling purposes, this is assumed to be the same cost. </w:t>
            </w:r>
          </w:p>
          <w:p w14:paraId="5DA4084D" w14:textId="77777777" w:rsidR="00676882" w:rsidRPr="00520A10" w:rsidRDefault="00676882" w:rsidP="00676882">
            <w:pPr>
              <w:pStyle w:val="Tablelistnumber"/>
              <w:numPr>
                <w:ilvl w:val="0"/>
                <w:numId w:val="60"/>
              </w:numPr>
            </w:pPr>
            <w:r w:rsidRPr="00520A10">
              <w:lastRenderedPageBreak/>
              <w:t>Rating</w:t>
            </w:r>
            <w:r>
              <w:t xml:space="preserve"> </w:t>
            </w:r>
            <w:r w:rsidRPr="00520A10">
              <w:t>certificate</w:t>
            </w:r>
            <w:r>
              <w:t xml:space="preserve"> </w:t>
            </w:r>
            <w:r w:rsidRPr="00520A10">
              <w:t>validity</w:t>
            </w:r>
            <w:r>
              <w:t xml:space="preserve"> </w:t>
            </w:r>
            <w:r w:rsidRPr="00520A10">
              <w:t>period</w:t>
            </w:r>
            <w:r>
              <w:t xml:space="preserve"> – a single assessment will be required for the ten-year period. Rental providers will not be required to make multiple assessments if they have one completed.</w:t>
            </w:r>
          </w:p>
          <w:p w14:paraId="78DF689E" w14:textId="77777777" w:rsidR="00676882" w:rsidRDefault="00676882" w:rsidP="00DF45FA">
            <w:pPr>
              <w:pStyle w:val="Tablesideheading1"/>
            </w:pPr>
            <w:r>
              <w:t>Costs incurred by the properties that get upgraded</w:t>
            </w:r>
          </w:p>
          <w:p w14:paraId="2DBD7A79" w14:textId="77777777" w:rsidR="00676882" w:rsidRDefault="00676882" w:rsidP="00DF45FA">
            <w:pPr>
              <w:pStyle w:val="Tablelistnumber"/>
            </w:pPr>
            <w:r>
              <w:t>Verification costs — Under a scorecard arrangement, options to meet performance targets are provided by the assessor. Proof of work (</w:t>
            </w:r>
            <w:proofErr w:type="gramStart"/>
            <w:r>
              <w:t>e.g.</w:t>
            </w:r>
            <w:proofErr w:type="gramEnd"/>
            <w:r>
              <w:t xml:space="preserve"> photographs or receipts) which can be provided to the original assessor (to their satisfaction) may be sufficient to verify that the required upgrades to meet the performance standard have been undertaken. Accordingly, we assume $100 additional cost for those properties which have made upgrades to certify that a property is now meeting standards.</w:t>
            </w:r>
          </w:p>
          <w:p w14:paraId="59103E36" w14:textId="77777777" w:rsidR="00676882" w:rsidRDefault="00676882" w:rsidP="00DF45FA">
            <w:pPr>
              <w:pStyle w:val="Tablelistnumber"/>
            </w:pPr>
            <w:r>
              <w:t>Time to obtain and organise quotes/works — we have included the opportunity cost associated with the rental provider, property manager or some other party organising quotes for a performance option. We have assumed that the time required for these activities is three hours. To value this time, we use the following data and assumptions:</w:t>
            </w:r>
          </w:p>
          <w:p w14:paraId="5F2F77AE" w14:textId="77777777" w:rsidR="00676882" w:rsidRDefault="00676882" w:rsidP="00DF45FA">
            <w:pPr>
              <w:pStyle w:val="Tablelistnumber2"/>
              <w:ind w:left="429"/>
            </w:pPr>
            <w:r>
              <w:t>92% rental properties are managed by real estate agents and 8% are managed by the owners of the property (as per REIACT)</w:t>
            </w:r>
          </w:p>
          <w:p w14:paraId="3B0F34CA" w14:textId="77777777" w:rsidR="00676882" w:rsidRDefault="00676882" w:rsidP="00DF45FA">
            <w:pPr>
              <w:pStyle w:val="Tablelistnumber2"/>
              <w:ind w:left="429"/>
            </w:pPr>
            <w:r>
              <w:t>the time of real estate agents will be costed using the average annual earnings of a real estate agent in ACT ($35 per hour). As noted above, in some cases, this cost will be passed through to rental providers. However, this is a distributional aspect, rather than pertinent to the net impact of the options.</w:t>
            </w:r>
          </w:p>
          <w:p w14:paraId="5168F669" w14:textId="77777777" w:rsidR="00676882" w:rsidRDefault="00676882" w:rsidP="00DF45FA">
            <w:pPr>
              <w:pStyle w:val="Tablelistnumber2"/>
              <w:ind w:left="429"/>
            </w:pPr>
            <w:r>
              <w:t>the time of property owners will be monetised using estimates of average weekly earnings ($49 per hour) from ABS for the ACT.</w:t>
            </w:r>
          </w:p>
          <w:p w14:paraId="42C1E97E" w14:textId="77777777" w:rsidR="00676882" w:rsidRDefault="00676882" w:rsidP="00DF45FA">
            <w:pPr>
              <w:pStyle w:val="Tablelistnumber"/>
            </w:pPr>
            <w:r>
              <w:t xml:space="preserve">Loss of rental income — only a small proportion of properties will need investments in shell upgrades which would make a property unrentable, for example, having windows removed to be replaced. This loss of rental income stems from an inability to attract/advertise, rather than from driving tenants from the property during the upgrade period. Based on industry consultation, almost all upgrades under this option will be completed under 2 days. We have assumed that 20% of properties will lose two days of the median weekly rental income (approximately $150) for the upgrades required to meet the proposed standards, recognising that multiple elements of work will be required for some properties. </w:t>
            </w:r>
          </w:p>
          <w:p w14:paraId="24276E54" w14:textId="77777777" w:rsidR="00676882" w:rsidRDefault="00676882" w:rsidP="00DF45FA">
            <w:pPr>
              <w:pStyle w:val="Tablelistnumber"/>
            </w:pPr>
            <w:r>
              <w:t xml:space="preserve">It is assumed that there are no </w:t>
            </w:r>
            <w:r w:rsidRPr="00281F29">
              <w:rPr>
                <w:i/>
                <w:iCs/>
              </w:rPr>
              <w:t>additional</w:t>
            </w:r>
            <w:r>
              <w:rPr>
                <w:i/>
                <w:iCs/>
              </w:rPr>
              <w:t xml:space="preserve"> </w:t>
            </w:r>
            <w:r>
              <w:t>ongoing costs of maintenance/servicing other than for heaters.</w:t>
            </w:r>
          </w:p>
          <w:p w14:paraId="17C0410B" w14:textId="77777777" w:rsidR="00676882" w:rsidRDefault="00676882" w:rsidP="00DF45FA">
            <w:pPr>
              <w:pStyle w:val="Tablelistnumber"/>
            </w:pPr>
            <w:r w:rsidRPr="00E31B24">
              <w:t>It</w:t>
            </w:r>
            <w:r>
              <w:t xml:space="preserve"> </w:t>
            </w:r>
            <w:r w:rsidRPr="00E31B24">
              <w:t>is</w:t>
            </w:r>
            <w:r>
              <w:t xml:space="preserve"> </w:t>
            </w:r>
            <w:r w:rsidRPr="00E31B24">
              <w:t>assumed</w:t>
            </w:r>
            <w:r>
              <w:t xml:space="preserve"> </w:t>
            </w:r>
            <w:r w:rsidRPr="00E31B24">
              <w:t>that</w:t>
            </w:r>
            <w:r>
              <w:t xml:space="preserve"> </w:t>
            </w:r>
            <w:r w:rsidRPr="00E31B24">
              <w:t>there</w:t>
            </w:r>
            <w:r>
              <w:t xml:space="preserve"> </w:t>
            </w:r>
            <w:r w:rsidRPr="00E31B24">
              <w:t>will</w:t>
            </w:r>
            <w:r>
              <w:t xml:space="preserve"> </w:t>
            </w:r>
            <w:r w:rsidRPr="00E31B24">
              <w:t>be</w:t>
            </w:r>
            <w:r>
              <w:t xml:space="preserve"> </w:t>
            </w:r>
            <w:r w:rsidRPr="00E31B24">
              <w:t>ongoing</w:t>
            </w:r>
            <w:r>
              <w:t xml:space="preserve"> </w:t>
            </w:r>
            <w:r w:rsidRPr="00E31B24">
              <w:t>maintenance</w:t>
            </w:r>
            <w:r>
              <w:t xml:space="preserve"> </w:t>
            </w:r>
            <w:r w:rsidRPr="00E31B24">
              <w:t>costs</w:t>
            </w:r>
            <w:r>
              <w:t xml:space="preserve"> </w:t>
            </w:r>
            <w:r w:rsidRPr="00E31B24">
              <w:t>of</w:t>
            </w:r>
            <w:r>
              <w:t xml:space="preserve"> </w:t>
            </w:r>
            <w:r w:rsidRPr="00E31B24">
              <w:t>$250</w:t>
            </w:r>
            <w:r>
              <w:t xml:space="preserve"> </w:t>
            </w:r>
            <w:r w:rsidRPr="00E31B24">
              <w:t>per</w:t>
            </w:r>
            <w:r>
              <w:t xml:space="preserve"> </w:t>
            </w:r>
            <w:r w:rsidRPr="00E31B24">
              <w:t>upgraded</w:t>
            </w:r>
            <w:r>
              <w:t xml:space="preserve"> </w:t>
            </w:r>
            <w:r w:rsidRPr="00E31B24">
              <w:t>heater</w:t>
            </w:r>
            <w:r>
              <w:t xml:space="preserve"> </w:t>
            </w:r>
            <w:r w:rsidRPr="00E31B24">
              <w:t>every</w:t>
            </w:r>
            <w:r>
              <w:t xml:space="preserve"> </w:t>
            </w:r>
            <w:r w:rsidRPr="00E31B24">
              <w:t>three</w:t>
            </w:r>
            <w:r>
              <w:t xml:space="preserve"> </w:t>
            </w:r>
            <w:r w:rsidRPr="00E31B24">
              <w:t>years</w:t>
            </w:r>
            <w:r>
              <w:t xml:space="preserve"> </w:t>
            </w:r>
            <w:r w:rsidRPr="00E31B24">
              <w:t>in</w:t>
            </w:r>
            <w:r>
              <w:t xml:space="preserve"> those properties which will require replacing of an existing heater.</w:t>
            </w:r>
          </w:p>
          <w:p w14:paraId="458C0322" w14:textId="77777777" w:rsidR="00676882" w:rsidRDefault="00676882" w:rsidP="00DF45FA">
            <w:pPr>
              <w:pStyle w:val="Tablelistnumber"/>
            </w:pPr>
            <w:r>
              <w:t>It is assumed that the costs of upgrades remain constant in real terms over the analysis period (</w:t>
            </w:r>
            <w:proofErr w:type="gramStart"/>
            <w:r>
              <w:t>i.e.</w:t>
            </w:r>
            <w:proofErr w:type="gramEnd"/>
            <w:r>
              <w:t xml:space="preserve"> we will not include learning rates in the analysis).</w:t>
            </w:r>
          </w:p>
          <w:p w14:paraId="27611BC6" w14:textId="77777777" w:rsidR="00676882" w:rsidRPr="00577966" w:rsidRDefault="00676882" w:rsidP="00DF45FA">
            <w:pPr>
              <w:pStyle w:val="Tablelistnumber"/>
            </w:pPr>
            <w:r>
              <w:t xml:space="preserve">It is assumed that there will be no residual value of existing equipment replaced to meet the requirements. </w:t>
            </w:r>
          </w:p>
        </w:tc>
      </w:tr>
      <w:tr w:rsidR="00676882" w14:paraId="1DB1FC40" w14:textId="77777777" w:rsidTr="00DF45FA">
        <w:trPr>
          <w:gridBefore w:val="1"/>
          <w:wBefore w:w="454" w:type="dxa"/>
        </w:trPr>
        <w:tc>
          <w:tcPr>
            <w:tcW w:w="1118" w:type="dxa"/>
            <w:shd w:val="clear" w:color="auto" w:fill="auto"/>
          </w:tcPr>
          <w:p w14:paraId="0993863C" w14:textId="77777777" w:rsidR="00676882" w:rsidRDefault="00676882" w:rsidP="00DF45FA">
            <w:pPr>
              <w:pStyle w:val="Tabletext"/>
            </w:pPr>
            <w:r>
              <w:lastRenderedPageBreak/>
              <w:t>Industry</w:t>
            </w:r>
          </w:p>
        </w:tc>
        <w:tc>
          <w:tcPr>
            <w:tcW w:w="1560" w:type="dxa"/>
            <w:shd w:val="clear" w:color="auto" w:fill="auto"/>
          </w:tcPr>
          <w:p w14:paraId="7B9163D7" w14:textId="77777777" w:rsidR="00676882" w:rsidRDefault="00676882" w:rsidP="00DF45FA">
            <w:pPr>
              <w:pStyle w:val="Tabletext"/>
            </w:pPr>
            <w:r>
              <w:t>Time to obtain and organise quotes/works</w:t>
            </w:r>
          </w:p>
        </w:tc>
        <w:tc>
          <w:tcPr>
            <w:tcW w:w="12158" w:type="dxa"/>
            <w:shd w:val="clear" w:color="auto" w:fill="auto"/>
          </w:tcPr>
          <w:p w14:paraId="13B02A37" w14:textId="77777777" w:rsidR="00676882" w:rsidRDefault="00676882" w:rsidP="00DF45FA">
            <w:pPr>
              <w:pStyle w:val="Tablelistbullet"/>
            </w:pPr>
            <w:r>
              <w:t xml:space="preserve">It is assumed that an assessor can conduct 200 assessments per year. </w:t>
            </w:r>
          </w:p>
          <w:p w14:paraId="6850443D" w14:textId="77777777" w:rsidR="00676882" w:rsidRDefault="00676882" w:rsidP="00DF45FA">
            <w:pPr>
              <w:pStyle w:val="Tablelistbullet"/>
            </w:pPr>
            <w:r>
              <w:t xml:space="preserve">Each assessor will require 1.5 weeks for training to deliver a Scorecard-like performance assessment. This training is costs are 1.5 weeks of the annual salary for a building assessor in the ACT. </w:t>
            </w:r>
          </w:p>
          <w:p w14:paraId="6A56C434" w14:textId="77777777" w:rsidR="00676882" w:rsidRDefault="00676882" w:rsidP="00DF45FA">
            <w:pPr>
              <w:pStyle w:val="Tablelistbullet"/>
            </w:pPr>
            <w:r>
              <w:t>Each assessor will require insurance for the period they are conducting performance assessments, which is only required in those years they are active.</w:t>
            </w:r>
          </w:p>
        </w:tc>
      </w:tr>
      <w:tr w:rsidR="00676882" w14:paraId="7068BF80" w14:textId="77777777" w:rsidTr="00DF45FA">
        <w:trPr>
          <w:gridBefore w:val="1"/>
          <w:wBefore w:w="454" w:type="dxa"/>
        </w:trPr>
        <w:tc>
          <w:tcPr>
            <w:tcW w:w="1118" w:type="dxa"/>
            <w:tcBorders>
              <w:bottom w:val="single" w:sz="4" w:space="0" w:color="646464"/>
            </w:tcBorders>
            <w:shd w:val="clear" w:color="auto" w:fill="auto"/>
          </w:tcPr>
          <w:p w14:paraId="5026D24E" w14:textId="77777777" w:rsidR="00676882" w:rsidRDefault="00676882" w:rsidP="00DF45FA">
            <w:pPr>
              <w:pStyle w:val="Tabletext"/>
            </w:pPr>
            <w:r w:rsidRPr="009416E6">
              <w:rPr>
                <w:color w:val="auto"/>
              </w:rPr>
              <w:t>Government</w:t>
            </w:r>
          </w:p>
        </w:tc>
        <w:tc>
          <w:tcPr>
            <w:tcW w:w="1560" w:type="dxa"/>
            <w:tcBorders>
              <w:bottom w:val="single" w:sz="4" w:space="0" w:color="646464"/>
            </w:tcBorders>
            <w:shd w:val="clear" w:color="auto" w:fill="auto"/>
          </w:tcPr>
          <w:p w14:paraId="7C5ED6DE" w14:textId="77777777" w:rsidR="00676882" w:rsidRPr="009416E6" w:rsidRDefault="00676882" w:rsidP="00DF45FA">
            <w:pPr>
              <w:pStyle w:val="Tablelistbullet"/>
            </w:pPr>
            <w:r>
              <w:t>A</w:t>
            </w:r>
            <w:r w:rsidRPr="009416E6">
              <w:t>dministration</w:t>
            </w:r>
            <w:r>
              <w:t xml:space="preserve"> </w:t>
            </w:r>
            <w:r w:rsidRPr="009416E6">
              <w:t>and</w:t>
            </w:r>
            <w:r>
              <w:t xml:space="preserve"> enforcement costs</w:t>
            </w:r>
          </w:p>
          <w:p w14:paraId="5D660F5D" w14:textId="77777777" w:rsidR="00676882" w:rsidRDefault="00676882" w:rsidP="00DF45FA">
            <w:pPr>
              <w:pStyle w:val="Tablelistbullet"/>
            </w:pPr>
            <w:r w:rsidRPr="00446387">
              <w:t>Costs</w:t>
            </w:r>
            <w:r>
              <w:t xml:space="preserve"> </w:t>
            </w:r>
            <w:r w:rsidRPr="00446387">
              <w:t>associated</w:t>
            </w:r>
            <w:r>
              <w:t xml:space="preserve"> </w:t>
            </w:r>
            <w:r w:rsidRPr="00446387">
              <w:t>with</w:t>
            </w:r>
            <w:r>
              <w:t xml:space="preserve"> </w:t>
            </w:r>
            <w:r w:rsidRPr="00446387">
              <w:lastRenderedPageBreak/>
              <w:t>energy</w:t>
            </w:r>
            <w:r>
              <w:t xml:space="preserve"> </w:t>
            </w:r>
            <w:r w:rsidRPr="00446387">
              <w:t>efficiency</w:t>
            </w:r>
            <w:r>
              <w:t xml:space="preserve"> </w:t>
            </w:r>
            <w:r w:rsidRPr="00446387">
              <w:t>upgrades</w:t>
            </w:r>
            <w:r>
              <w:t xml:space="preserve"> </w:t>
            </w:r>
            <w:r w:rsidRPr="00446387">
              <w:t>for</w:t>
            </w:r>
            <w:r>
              <w:t xml:space="preserve"> </w:t>
            </w:r>
            <w:r w:rsidRPr="00446387">
              <w:t>public</w:t>
            </w:r>
            <w:r>
              <w:t xml:space="preserve"> </w:t>
            </w:r>
            <w:r w:rsidRPr="00446387">
              <w:t>housing</w:t>
            </w:r>
            <w:r>
              <w:t xml:space="preserve"> </w:t>
            </w:r>
          </w:p>
        </w:tc>
        <w:tc>
          <w:tcPr>
            <w:tcW w:w="12158" w:type="dxa"/>
            <w:tcBorders>
              <w:bottom w:val="single" w:sz="4" w:space="0" w:color="646464"/>
            </w:tcBorders>
            <w:shd w:val="clear" w:color="auto" w:fill="auto"/>
          </w:tcPr>
          <w:p w14:paraId="2F68416C" w14:textId="77777777" w:rsidR="00676882" w:rsidRDefault="00676882" w:rsidP="00DF45FA">
            <w:pPr>
              <w:pStyle w:val="Tablelistbullet"/>
            </w:pPr>
            <w:r>
              <w:lastRenderedPageBreak/>
              <w:t xml:space="preserve">As per information from the ACT Government the government costs have been assumed to be $400,000 up front costs and $398,474 ongoing costs. The ongoing costs will be depreciated at the same rate as the active upgrades. </w:t>
            </w:r>
          </w:p>
          <w:p w14:paraId="4DA28F85" w14:textId="77777777" w:rsidR="00676882" w:rsidRPr="00577966" w:rsidRDefault="00676882" w:rsidP="00DF45FA">
            <w:pPr>
              <w:pStyle w:val="Tablelistbullet"/>
            </w:pPr>
            <w:r w:rsidRPr="00577966">
              <w:t>Public</w:t>
            </w:r>
            <w:r>
              <w:t xml:space="preserve"> </w:t>
            </w:r>
            <w:r w:rsidRPr="00577966">
              <w:t>housing</w:t>
            </w:r>
            <w:r>
              <w:t xml:space="preserve"> </w:t>
            </w:r>
            <w:r w:rsidRPr="00577966">
              <w:t>costs</w:t>
            </w:r>
            <w:r>
              <w:t xml:space="preserve"> have </w:t>
            </w:r>
            <w:r w:rsidRPr="00577966">
              <w:t>be</w:t>
            </w:r>
            <w:r>
              <w:t xml:space="preserve">en </w:t>
            </w:r>
            <w:r w:rsidRPr="00577966">
              <w:t>estimated</w:t>
            </w:r>
            <w:r>
              <w:t xml:space="preserve"> in a similar manner to private upgrades, however costs are based on the time required for an AOS5 ACT public service wage and is scaled depending on the size of the upgrade program</w:t>
            </w:r>
            <w:r w:rsidRPr="00577966">
              <w:t>.</w:t>
            </w:r>
            <w:r>
              <w:t xml:space="preserve"> </w:t>
            </w:r>
            <w:r w:rsidRPr="00577966">
              <w:t>However,</w:t>
            </w:r>
            <w:r>
              <w:t xml:space="preserve"> </w:t>
            </w:r>
            <w:r w:rsidRPr="00577966">
              <w:t>it</w:t>
            </w:r>
            <w:r>
              <w:t xml:space="preserve"> </w:t>
            </w:r>
            <w:r w:rsidRPr="00577966">
              <w:t>will</w:t>
            </w:r>
            <w:r>
              <w:t xml:space="preserve"> </w:t>
            </w:r>
            <w:r w:rsidRPr="00577966">
              <w:t>be</w:t>
            </w:r>
            <w:r>
              <w:t xml:space="preserve"> </w:t>
            </w:r>
            <w:r w:rsidRPr="00577966">
              <w:t>assumed</w:t>
            </w:r>
            <w:r>
              <w:t xml:space="preserve"> </w:t>
            </w:r>
            <w:r w:rsidRPr="00577966">
              <w:t>that</w:t>
            </w:r>
            <w:r>
              <w:t xml:space="preserve"> </w:t>
            </w:r>
            <w:r w:rsidRPr="00577966">
              <w:t>all</w:t>
            </w:r>
            <w:r>
              <w:t xml:space="preserve"> </w:t>
            </w:r>
            <w:r w:rsidRPr="00577966">
              <w:t>upgrades</w:t>
            </w:r>
            <w:r>
              <w:t xml:space="preserve"> </w:t>
            </w:r>
            <w:r w:rsidRPr="00577966">
              <w:t>are</w:t>
            </w:r>
            <w:r>
              <w:t xml:space="preserve"> </w:t>
            </w:r>
            <w:r w:rsidRPr="00577966">
              <w:t>undertaken</w:t>
            </w:r>
            <w:r>
              <w:t xml:space="preserve"> </w:t>
            </w:r>
            <w:r w:rsidRPr="00577966">
              <w:t>by</w:t>
            </w:r>
            <w:r>
              <w:t xml:space="preserve"> </w:t>
            </w:r>
            <w:r w:rsidRPr="00577966">
              <w:t>a</w:t>
            </w:r>
            <w:r>
              <w:t xml:space="preserve"> </w:t>
            </w:r>
            <w:r w:rsidRPr="00577966">
              <w:t>professional</w:t>
            </w:r>
            <w:r>
              <w:t xml:space="preserve"> (no DIY work)</w:t>
            </w:r>
            <w:r w:rsidRPr="00577966">
              <w:t>.</w:t>
            </w:r>
          </w:p>
        </w:tc>
      </w:tr>
      <w:tr w:rsidR="00676882" w14:paraId="4295DDA0" w14:textId="77777777" w:rsidTr="00DF45FA">
        <w:trPr>
          <w:gridBefore w:val="1"/>
          <w:wBefore w:w="454" w:type="dxa"/>
        </w:trPr>
        <w:tc>
          <w:tcPr>
            <w:tcW w:w="1118" w:type="dxa"/>
            <w:tcBorders>
              <w:top w:val="single" w:sz="4" w:space="0" w:color="646464"/>
            </w:tcBorders>
            <w:shd w:val="clear" w:color="auto" w:fill="E5E5E5"/>
          </w:tcPr>
          <w:p w14:paraId="7D8777B3" w14:textId="77777777" w:rsidR="00676882" w:rsidRDefault="00676882" w:rsidP="00DF45FA">
            <w:pPr>
              <w:pStyle w:val="Tabletext"/>
            </w:pPr>
            <w:r w:rsidRPr="003E752E">
              <w:rPr>
                <w:b/>
                <w:bCs/>
              </w:rPr>
              <w:t>Benefits</w:t>
            </w:r>
          </w:p>
        </w:tc>
        <w:tc>
          <w:tcPr>
            <w:tcW w:w="1560" w:type="dxa"/>
            <w:tcBorders>
              <w:top w:val="single" w:sz="4" w:space="0" w:color="646464"/>
            </w:tcBorders>
            <w:shd w:val="clear" w:color="auto" w:fill="E5E5E5"/>
          </w:tcPr>
          <w:p w14:paraId="510804F0" w14:textId="77777777" w:rsidR="00676882" w:rsidRDefault="00676882" w:rsidP="00DF45FA">
            <w:pPr>
              <w:pStyle w:val="Tabletext"/>
            </w:pPr>
          </w:p>
        </w:tc>
        <w:tc>
          <w:tcPr>
            <w:tcW w:w="12158" w:type="dxa"/>
            <w:tcBorders>
              <w:top w:val="single" w:sz="4" w:space="0" w:color="646464"/>
            </w:tcBorders>
            <w:shd w:val="clear" w:color="auto" w:fill="E5E5E5"/>
          </w:tcPr>
          <w:p w14:paraId="3BB24F38" w14:textId="77777777" w:rsidR="00676882" w:rsidRDefault="00676882" w:rsidP="00DF45FA">
            <w:pPr>
              <w:pStyle w:val="Tabletext"/>
            </w:pPr>
          </w:p>
        </w:tc>
      </w:tr>
      <w:tr w:rsidR="00676882" w14:paraId="55A11583" w14:textId="77777777" w:rsidTr="00DF45FA">
        <w:trPr>
          <w:gridBefore w:val="1"/>
          <w:wBefore w:w="454" w:type="dxa"/>
        </w:trPr>
        <w:tc>
          <w:tcPr>
            <w:tcW w:w="1118" w:type="dxa"/>
            <w:vMerge w:val="restart"/>
            <w:shd w:val="clear" w:color="auto" w:fill="auto"/>
          </w:tcPr>
          <w:p w14:paraId="0A642B81" w14:textId="77777777" w:rsidR="00676882" w:rsidRDefault="00676882" w:rsidP="00DF45FA">
            <w:pPr>
              <w:pStyle w:val="Tabletext"/>
            </w:pPr>
            <w:r w:rsidRPr="009416E6">
              <w:t>Households</w:t>
            </w:r>
          </w:p>
        </w:tc>
        <w:tc>
          <w:tcPr>
            <w:tcW w:w="1560" w:type="dxa"/>
            <w:shd w:val="clear" w:color="auto" w:fill="auto"/>
          </w:tcPr>
          <w:p w14:paraId="3FE5A850" w14:textId="77777777" w:rsidR="00676882" w:rsidRDefault="00676882" w:rsidP="00DF45FA">
            <w:pPr>
              <w:pStyle w:val="Tabletext"/>
            </w:pPr>
            <w:r>
              <w:t>Reduced utility bills accruing from reduced energy use</w:t>
            </w:r>
          </w:p>
        </w:tc>
        <w:tc>
          <w:tcPr>
            <w:tcW w:w="12158" w:type="dxa"/>
            <w:shd w:val="clear" w:color="auto" w:fill="auto"/>
          </w:tcPr>
          <w:p w14:paraId="6876E498" w14:textId="77777777" w:rsidR="00676882" w:rsidRDefault="00676882" w:rsidP="00DF45FA">
            <w:pPr>
              <w:pStyle w:val="Tablelistbullet"/>
            </w:pPr>
            <w:r>
              <w:t>Energy savings — the following assumptions will be used in the calculation of energy savings:</w:t>
            </w:r>
          </w:p>
          <w:p w14:paraId="342C8BC3" w14:textId="77777777" w:rsidR="00676882" w:rsidRDefault="00676882" w:rsidP="00DF45FA">
            <w:pPr>
              <w:pStyle w:val="Tablelistbullet2"/>
              <w:tabs>
                <w:tab w:val="clear" w:pos="360"/>
              </w:tabs>
            </w:pPr>
            <w:r>
              <w:t>Space and water heaters have a lifespan of 12 years</w:t>
            </w:r>
          </w:p>
          <w:p w14:paraId="2BFA8AF0" w14:textId="77777777" w:rsidR="00676882" w:rsidRDefault="00676882" w:rsidP="00DF45FA">
            <w:pPr>
              <w:pStyle w:val="Tablelistbullet2"/>
              <w:tabs>
                <w:tab w:val="clear" w:pos="360"/>
              </w:tabs>
            </w:pPr>
            <w:r>
              <w:t>Solar PV have a lifespan of 20 years, inverters have a lifespan of 10 years and need to be replaced</w:t>
            </w:r>
          </w:p>
          <w:p w14:paraId="45B0DD86" w14:textId="77777777" w:rsidR="00676882" w:rsidRDefault="00676882" w:rsidP="00DF45FA">
            <w:pPr>
              <w:pStyle w:val="Tablelistbullet2"/>
              <w:tabs>
                <w:tab w:val="clear" w:pos="360"/>
              </w:tabs>
            </w:pPr>
            <w:r>
              <w:t>Shell upgrades have a lifespan of 30 years.</w:t>
            </w:r>
          </w:p>
          <w:p w14:paraId="2D2F2A55" w14:textId="77777777" w:rsidR="00676882" w:rsidRDefault="00676882" w:rsidP="00DF45FA">
            <w:pPr>
              <w:pStyle w:val="Tablelistbullet2"/>
              <w:tabs>
                <w:tab w:val="clear" w:pos="360"/>
              </w:tabs>
            </w:pPr>
            <w:r>
              <w:t>All properties can be upgraded (there are no technical exemptions)</w:t>
            </w:r>
          </w:p>
          <w:p w14:paraId="0577D1C1" w14:textId="77777777" w:rsidR="00676882" w:rsidRDefault="00676882" w:rsidP="00DF45FA">
            <w:pPr>
              <w:pStyle w:val="Tablelistbullet2"/>
              <w:tabs>
                <w:tab w:val="clear" w:pos="360"/>
              </w:tabs>
            </w:pPr>
            <w:r>
              <w:t>Rebound effect — as noted above, e</w:t>
            </w:r>
            <w:r w:rsidRPr="003E752E">
              <w:t>nergy</w:t>
            </w:r>
            <w:r>
              <w:t xml:space="preserve"> </w:t>
            </w:r>
            <w:r w:rsidRPr="003E752E">
              <w:t>savings</w:t>
            </w:r>
            <w:r>
              <w:t xml:space="preserve"> </w:t>
            </w:r>
            <w:r w:rsidRPr="003E752E">
              <w:t>from</w:t>
            </w:r>
            <w:r>
              <w:t xml:space="preserve"> </w:t>
            </w:r>
            <w:r w:rsidRPr="003E752E">
              <w:t>implemented</w:t>
            </w:r>
            <w:r>
              <w:t xml:space="preserve"> </w:t>
            </w:r>
            <w:r w:rsidRPr="003E752E">
              <w:t>energy</w:t>
            </w:r>
            <w:r>
              <w:t xml:space="preserve"> </w:t>
            </w:r>
            <w:r w:rsidRPr="003E752E">
              <w:t>efficiency</w:t>
            </w:r>
            <w:r>
              <w:t xml:space="preserve"> </w:t>
            </w:r>
            <w:r w:rsidRPr="003E752E">
              <w:t>measures</w:t>
            </w:r>
            <w:r>
              <w:t xml:space="preserve"> </w:t>
            </w:r>
            <w:r w:rsidRPr="003E752E">
              <w:t>may</w:t>
            </w:r>
            <w:r>
              <w:t xml:space="preserve"> </w:t>
            </w:r>
            <w:r w:rsidRPr="003E752E">
              <w:t>not</w:t>
            </w:r>
            <w:r>
              <w:t xml:space="preserve"> </w:t>
            </w:r>
            <w:r w:rsidRPr="003E752E">
              <w:t>materialise</w:t>
            </w:r>
            <w:r>
              <w:t xml:space="preserve"> due to the rebound factor. </w:t>
            </w:r>
            <w:r w:rsidRPr="00D60553">
              <w:t>Empirical</w:t>
            </w:r>
            <w:r>
              <w:t xml:space="preserve"> </w:t>
            </w:r>
            <w:r w:rsidRPr="00D60553">
              <w:t>evidence</w:t>
            </w:r>
            <w:r>
              <w:t xml:space="preserve"> </w:t>
            </w:r>
            <w:r w:rsidRPr="00D60553">
              <w:t>suggests</w:t>
            </w:r>
            <w:r>
              <w:t xml:space="preserve"> </w:t>
            </w:r>
            <w:r w:rsidRPr="00D60553">
              <w:t>that</w:t>
            </w:r>
            <w:r>
              <w:t xml:space="preserve"> </w:t>
            </w:r>
            <w:r w:rsidRPr="00D60553">
              <w:t>the</w:t>
            </w:r>
            <w:r>
              <w:t xml:space="preserve"> </w:t>
            </w:r>
            <w:r w:rsidRPr="00D60553">
              <w:t>rebound</w:t>
            </w:r>
            <w:r>
              <w:t xml:space="preserve"> </w:t>
            </w:r>
            <w:r w:rsidRPr="00D60553">
              <w:t>effect</w:t>
            </w:r>
            <w:r>
              <w:t xml:space="preserve"> </w:t>
            </w:r>
            <w:r w:rsidRPr="00D60553">
              <w:t>is</w:t>
            </w:r>
            <w:r>
              <w:t xml:space="preserve"> </w:t>
            </w:r>
            <w:r w:rsidRPr="00D60553">
              <w:t>real.</w:t>
            </w:r>
            <w:r>
              <w:t xml:space="preserve"> </w:t>
            </w:r>
            <w:r w:rsidRPr="00D60553">
              <w:t>However,</w:t>
            </w:r>
            <w:r>
              <w:t xml:space="preserve"> </w:t>
            </w:r>
            <w:r w:rsidRPr="00D60553">
              <w:t>the</w:t>
            </w:r>
            <w:r>
              <w:t xml:space="preserve"> </w:t>
            </w:r>
            <w:r w:rsidRPr="00D60553">
              <w:t>evidence</w:t>
            </w:r>
            <w:r>
              <w:t xml:space="preserve"> </w:t>
            </w:r>
            <w:r w:rsidRPr="00D60553">
              <w:t>also</w:t>
            </w:r>
            <w:r>
              <w:t xml:space="preserve"> </w:t>
            </w:r>
            <w:r w:rsidRPr="00D60553">
              <w:t>suggests</w:t>
            </w:r>
            <w:r>
              <w:t xml:space="preserve"> </w:t>
            </w:r>
            <w:r w:rsidRPr="00D60553">
              <w:t>that</w:t>
            </w:r>
            <w:r>
              <w:t xml:space="preserve"> </w:t>
            </w:r>
            <w:r w:rsidRPr="00D60553">
              <w:t>the</w:t>
            </w:r>
            <w:r>
              <w:t xml:space="preserve"> </w:t>
            </w:r>
            <w:r w:rsidRPr="00D60553">
              <w:t>magnitude</w:t>
            </w:r>
            <w:r>
              <w:t xml:space="preserve"> </w:t>
            </w:r>
            <w:r w:rsidRPr="00D60553">
              <w:t>of</w:t>
            </w:r>
            <w:r>
              <w:t xml:space="preserve"> </w:t>
            </w:r>
            <w:r w:rsidRPr="00D60553">
              <w:t>the</w:t>
            </w:r>
            <w:r>
              <w:t xml:space="preserve"> </w:t>
            </w:r>
            <w:r w:rsidRPr="00D60553">
              <w:t>effect</w:t>
            </w:r>
            <w:r>
              <w:t xml:space="preserve"> </w:t>
            </w:r>
            <w:r w:rsidRPr="00D60553">
              <w:t>is</w:t>
            </w:r>
            <w:r>
              <w:t xml:space="preserve"> </w:t>
            </w:r>
            <w:r w:rsidRPr="00D60553">
              <w:t>highly</w:t>
            </w:r>
            <w:r>
              <w:t xml:space="preserve"> </w:t>
            </w:r>
            <w:r w:rsidRPr="00D60553">
              <w:t>variable</w:t>
            </w:r>
            <w:r>
              <w:t xml:space="preserve"> </w:t>
            </w:r>
            <w:r w:rsidRPr="00D60553">
              <w:t>and</w:t>
            </w:r>
            <w:r>
              <w:t xml:space="preserve"> </w:t>
            </w:r>
            <w:r w:rsidRPr="00D60553">
              <w:t>context</w:t>
            </w:r>
            <w:r>
              <w:t xml:space="preserve"> </w:t>
            </w:r>
            <w:r w:rsidRPr="00D60553">
              <w:t>specific</w:t>
            </w:r>
            <w:r>
              <w:t xml:space="preserve">. </w:t>
            </w:r>
            <w:r w:rsidRPr="00B45830">
              <w:t>Given</w:t>
            </w:r>
            <w:r>
              <w:t xml:space="preserve"> </w:t>
            </w:r>
            <w:r w:rsidRPr="00B45830">
              <w:t>the</w:t>
            </w:r>
            <w:r>
              <w:t xml:space="preserve"> </w:t>
            </w:r>
            <w:r w:rsidRPr="00B45830">
              <w:t>uncertainty</w:t>
            </w:r>
            <w:r>
              <w:t xml:space="preserve"> </w:t>
            </w:r>
            <w:r w:rsidRPr="00B45830">
              <w:t>associated</w:t>
            </w:r>
            <w:r>
              <w:t xml:space="preserve"> </w:t>
            </w:r>
            <w:r w:rsidRPr="00B45830">
              <w:t>with</w:t>
            </w:r>
            <w:r>
              <w:t xml:space="preserve"> </w:t>
            </w:r>
            <w:r w:rsidRPr="00B45830">
              <w:t>the</w:t>
            </w:r>
            <w:r>
              <w:t xml:space="preserve"> </w:t>
            </w:r>
            <w:r w:rsidRPr="00B45830">
              <w:t>rebound</w:t>
            </w:r>
            <w:r>
              <w:t xml:space="preserve"> </w:t>
            </w:r>
            <w:r w:rsidRPr="00B45830">
              <w:t>factor,</w:t>
            </w:r>
            <w:r>
              <w:t xml:space="preserve"> </w:t>
            </w:r>
            <w:r w:rsidRPr="00B45830">
              <w:t>we</w:t>
            </w:r>
            <w:r>
              <w:t xml:space="preserve"> </w:t>
            </w:r>
            <w:r w:rsidRPr="00B45830">
              <w:t>have</w:t>
            </w:r>
            <w:r>
              <w:t xml:space="preserve"> </w:t>
            </w:r>
            <w:r w:rsidRPr="00B45830">
              <w:t>assessed</w:t>
            </w:r>
            <w:r>
              <w:t xml:space="preserve"> </w:t>
            </w:r>
            <w:r w:rsidRPr="00B45830">
              <w:t>the</w:t>
            </w:r>
            <w:r>
              <w:t xml:space="preserve"> </w:t>
            </w:r>
            <w:r w:rsidRPr="00B45830">
              <w:t>energy</w:t>
            </w:r>
            <w:r>
              <w:t xml:space="preserve"> </w:t>
            </w:r>
            <w:r w:rsidRPr="00B45830">
              <w:t>savings</w:t>
            </w:r>
            <w:r>
              <w:t xml:space="preserve"> </w:t>
            </w:r>
            <w:r w:rsidRPr="00B45830">
              <w:t>based</w:t>
            </w:r>
            <w:r>
              <w:t xml:space="preserve"> </w:t>
            </w:r>
            <w:r w:rsidRPr="00B45830">
              <w:t>on</w:t>
            </w:r>
            <w:r>
              <w:t xml:space="preserve"> </w:t>
            </w:r>
            <w:r w:rsidRPr="00B45830">
              <w:t>a</w:t>
            </w:r>
            <w:r>
              <w:t xml:space="preserve"> </w:t>
            </w:r>
            <w:r w:rsidRPr="00B45830">
              <w:t>rebound</w:t>
            </w:r>
            <w:r>
              <w:t xml:space="preserve"> </w:t>
            </w:r>
            <w:r w:rsidRPr="00B45830">
              <w:t>factor</w:t>
            </w:r>
            <w:r>
              <w:t xml:space="preserve"> </w:t>
            </w:r>
            <w:r w:rsidRPr="00B45830">
              <w:t>of</w:t>
            </w:r>
            <w:r>
              <w:t xml:space="preserve"> </w:t>
            </w:r>
            <w:r w:rsidRPr="00B45830">
              <w:t>10</w:t>
            </w:r>
            <w:r>
              <w:t xml:space="preserve"> </w:t>
            </w:r>
            <w:r w:rsidRPr="00B45830">
              <w:t>per</w:t>
            </w:r>
            <w:r>
              <w:t xml:space="preserve"> </w:t>
            </w:r>
            <w:r w:rsidRPr="00B45830">
              <w:t>cent.</w:t>
            </w:r>
          </w:p>
          <w:p w14:paraId="60B6888B" w14:textId="77777777" w:rsidR="00676882" w:rsidRDefault="00676882" w:rsidP="00DF45FA">
            <w:pPr>
              <w:pStyle w:val="Tablelistbullet2"/>
              <w:numPr>
                <w:ilvl w:val="0"/>
                <w:numId w:val="0"/>
              </w:numPr>
            </w:pPr>
            <w:r>
              <w:t>As discussed above, the energy savings will be valued using wholesale fuel prices drawing on ACIL Allen’s energy market modelling for fuel prices.</w:t>
            </w:r>
          </w:p>
        </w:tc>
      </w:tr>
      <w:tr w:rsidR="00676882" w14:paraId="15AAE3DA" w14:textId="77777777" w:rsidTr="00DF45FA">
        <w:trPr>
          <w:gridBefore w:val="1"/>
          <w:wBefore w:w="454" w:type="dxa"/>
        </w:trPr>
        <w:tc>
          <w:tcPr>
            <w:tcW w:w="1118" w:type="dxa"/>
            <w:vMerge/>
            <w:shd w:val="clear" w:color="auto" w:fill="auto"/>
          </w:tcPr>
          <w:p w14:paraId="1FC31457" w14:textId="77777777" w:rsidR="00676882" w:rsidRDefault="00676882" w:rsidP="00DF45FA">
            <w:pPr>
              <w:pStyle w:val="Tabletext"/>
            </w:pPr>
          </w:p>
        </w:tc>
        <w:tc>
          <w:tcPr>
            <w:tcW w:w="1560" w:type="dxa"/>
            <w:shd w:val="clear" w:color="auto" w:fill="auto"/>
          </w:tcPr>
          <w:p w14:paraId="19F0079A" w14:textId="77777777" w:rsidR="00676882" w:rsidRDefault="00676882" w:rsidP="00DF45FA">
            <w:pPr>
              <w:pStyle w:val="Tabletext"/>
            </w:pPr>
            <w:r>
              <w:t>Health benefits</w:t>
            </w:r>
          </w:p>
        </w:tc>
        <w:tc>
          <w:tcPr>
            <w:tcW w:w="12158" w:type="dxa"/>
            <w:shd w:val="clear" w:color="auto" w:fill="auto"/>
          </w:tcPr>
          <w:p w14:paraId="2860690D" w14:textId="77777777" w:rsidR="00676882" w:rsidRDefault="00676882" w:rsidP="00DF45FA">
            <w:pPr>
              <w:pStyle w:val="Tabletext"/>
            </w:pPr>
            <w:r>
              <w:t xml:space="preserve">Described in greater detail in appendix section </w:t>
            </w:r>
            <w:r w:rsidRPr="009E4AB1">
              <w:fldChar w:fldCharType="begin"/>
            </w:r>
            <w:r w:rsidRPr="009E4AB1">
              <w:instrText xml:space="preserve"> REF _Ref80461159 \r \h  \* MERGEFORMAT </w:instrText>
            </w:r>
            <w:r w:rsidRPr="009E4AB1">
              <w:fldChar w:fldCharType="separate"/>
            </w:r>
            <w:r>
              <w:t>B.1.1</w:t>
            </w:r>
            <w:r w:rsidRPr="009E4AB1">
              <w:fldChar w:fldCharType="end"/>
            </w:r>
            <w:r>
              <w:t>.</w:t>
            </w:r>
          </w:p>
        </w:tc>
      </w:tr>
      <w:tr w:rsidR="00676882" w14:paraId="114CD172" w14:textId="77777777" w:rsidTr="00DF45FA">
        <w:trPr>
          <w:gridBefore w:val="1"/>
          <w:wBefore w:w="454" w:type="dxa"/>
        </w:trPr>
        <w:tc>
          <w:tcPr>
            <w:tcW w:w="1118" w:type="dxa"/>
            <w:shd w:val="clear" w:color="auto" w:fill="auto"/>
          </w:tcPr>
          <w:p w14:paraId="57F3EAA6" w14:textId="77777777" w:rsidR="00676882" w:rsidRDefault="00676882" w:rsidP="00DF45FA">
            <w:pPr>
              <w:pStyle w:val="Tabletext"/>
            </w:pPr>
            <w:r>
              <w:t>Society</w:t>
            </w:r>
          </w:p>
        </w:tc>
        <w:tc>
          <w:tcPr>
            <w:tcW w:w="1560" w:type="dxa"/>
            <w:shd w:val="clear" w:color="auto" w:fill="auto"/>
          </w:tcPr>
          <w:p w14:paraId="437DD4F2" w14:textId="77777777" w:rsidR="00676882" w:rsidRDefault="00676882" w:rsidP="00676882">
            <w:pPr>
              <w:pStyle w:val="Tablelistbullet"/>
              <w:numPr>
                <w:ilvl w:val="0"/>
                <w:numId w:val="59"/>
              </w:numPr>
              <w:spacing w:before="60" w:after="0"/>
              <w:ind w:right="120"/>
            </w:pPr>
            <w:r>
              <w:t xml:space="preserve">Reduced greenhouse gas emissions from household gas use </w:t>
            </w:r>
          </w:p>
          <w:p w14:paraId="4D5F1E4E" w14:textId="77777777" w:rsidR="00676882" w:rsidRDefault="00676882" w:rsidP="00676882">
            <w:pPr>
              <w:pStyle w:val="Tablelistbullet"/>
              <w:numPr>
                <w:ilvl w:val="0"/>
                <w:numId w:val="59"/>
              </w:numPr>
              <w:spacing w:before="60" w:after="0"/>
              <w:ind w:right="120"/>
            </w:pPr>
            <w:r>
              <w:t>Reduced renewable energy offsets for the ACT</w:t>
            </w:r>
          </w:p>
          <w:p w14:paraId="551A80BC" w14:textId="77777777" w:rsidR="00676882" w:rsidRDefault="00676882" w:rsidP="00676882">
            <w:pPr>
              <w:pStyle w:val="Tablelistbullet"/>
              <w:numPr>
                <w:ilvl w:val="0"/>
                <w:numId w:val="59"/>
              </w:numPr>
              <w:spacing w:before="60" w:after="0"/>
              <w:ind w:right="120"/>
            </w:pPr>
            <w:r>
              <w:t>Avoided electricity network costs</w:t>
            </w:r>
          </w:p>
          <w:p w14:paraId="74C98370" w14:textId="77777777" w:rsidR="00676882" w:rsidRDefault="00676882" w:rsidP="00676882">
            <w:pPr>
              <w:pStyle w:val="Tablelistbullet"/>
              <w:numPr>
                <w:ilvl w:val="0"/>
                <w:numId w:val="59"/>
              </w:numPr>
              <w:spacing w:before="60" w:after="0"/>
              <w:ind w:right="120"/>
            </w:pPr>
            <w:r>
              <w:t>I</w:t>
            </w:r>
            <w:r w:rsidRPr="00577966">
              <w:t>mproved</w:t>
            </w:r>
            <w:r>
              <w:t xml:space="preserve"> </w:t>
            </w:r>
            <w:r w:rsidRPr="00577966">
              <w:t>air</w:t>
            </w:r>
            <w:r>
              <w:t xml:space="preserve"> </w:t>
            </w:r>
            <w:r w:rsidRPr="00577966">
              <w:t>quality</w:t>
            </w:r>
            <w:r>
              <w:t xml:space="preserve"> </w:t>
            </w:r>
            <w:r w:rsidRPr="00577966">
              <w:t>benefits</w:t>
            </w:r>
          </w:p>
        </w:tc>
        <w:tc>
          <w:tcPr>
            <w:tcW w:w="12158" w:type="dxa"/>
            <w:shd w:val="clear" w:color="auto" w:fill="auto"/>
          </w:tcPr>
          <w:p w14:paraId="71C4430A" w14:textId="77777777" w:rsidR="00676882" w:rsidRDefault="00676882" w:rsidP="00DF45FA">
            <w:pPr>
              <w:pStyle w:val="Tabletext"/>
            </w:pPr>
            <w:r>
              <w:t xml:space="preserve">Described in greater detail in appendix section </w:t>
            </w:r>
            <w:r w:rsidRPr="009E4AB1">
              <w:fldChar w:fldCharType="begin"/>
            </w:r>
            <w:r w:rsidRPr="009E4AB1">
              <w:instrText xml:space="preserve"> REF _Ref80461159 \r \h  \* MERGEFORMAT </w:instrText>
            </w:r>
            <w:r w:rsidRPr="009E4AB1">
              <w:fldChar w:fldCharType="separate"/>
            </w:r>
            <w:r>
              <w:t>B.1.1</w:t>
            </w:r>
            <w:r w:rsidRPr="009E4AB1">
              <w:fldChar w:fldCharType="end"/>
            </w:r>
            <w:r>
              <w:t>.</w:t>
            </w:r>
          </w:p>
        </w:tc>
      </w:tr>
      <w:tr w:rsidR="00676882" w14:paraId="19A450A5" w14:textId="77777777" w:rsidTr="00DF45FA">
        <w:trPr>
          <w:gridBefore w:val="1"/>
          <w:wBefore w:w="454" w:type="dxa"/>
        </w:trPr>
        <w:tc>
          <w:tcPr>
            <w:tcW w:w="14836" w:type="dxa"/>
            <w:gridSpan w:val="3"/>
            <w:tcBorders>
              <w:bottom w:val="single" w:sz="4" w:space="0" w:color="646464"/>
            </w:tcBorders>
            <w:shd w:val="clear" w:color="auto" w:fill="auto"/>
          </w:tcPr>
          <w:p w14:paraId="4B0BAACD" w14:textId="77777777" w:rsidR="00676882" w:rsidRDefault="00676882" w:rsidP="00DF45FA">
            <w:pPr>
              <w:pStyle w:val="Source"/>
            </w:pPr>
            <w:r>
              <w:t>Source: ACIL Allen</w:t>
            </w:r>
          </w:p>
        </w:tc>
      </w:tr>
      <w:tr w:rsidR="00676882" w14:paraId="264F8B0C" w14:textId="77777777" w:rsidTr="00DF45FA">
        <w:trPr>
          <w:gridBefore w:val="1"/>
          <w:wBefore w:w="454" w:type="dxa"/>
          <w:trHeight w:hRule="exact" w:val="160"/>
        </w:trPr>
        <w:tc>
          <w:tcPr>
            <w:tcW w:w="14836" w:type="dxa"/>
            <w:gridSpan w:val="3"/>
            <w:tcBorders>
              <w:top w:val="single" w:sz="4" w:space="0" w:color="646464"/>
              <w:bottom w:val="nil"/>
            </w:tcBorders>
            <w:shd w:val="clear" w:color="auto" w:fill="auto"/>
          </w:tcPr>
          <w:p w14:paraId="4FB67912" w14:textId="77777777" w:rsidR="00676882" w:rsidRDefault="00676882" w:rsidP="00DF45FA">
            <w:pPr>
              <w:pStyle w:val="spacer"/>
            </w:pPr>
          </w:p>
        </w:tc>
      </w:tr>
    </w:tbl>
    <w:p w14:paraId="5496073A" w14:textId="77777777" w:rsidR="00676882" w:rsidRDefault="00676882" w:rsidP="00676882">
      <w:pPr>
        <w:pStyle w:val="Caption"/>
        <w:ind w:left="0" w:firstLine="0"/>
        <w:sectPr w:rsidR="00676882" w:rsidSect="00F32FCC">
          <w:headerReference w:type="even" r:id="rId117"/>
          <w:headerReference w:type="default" r:id="rId118"/>
          <w:footerReference w:type="even" r:id="rId119"/>
          <w:footerReference w:type="default" r:id="rId120"/>
          <w:headerReference w:type="first" r:id="rId121"/>
          <w:footerReference w:type="first" r:id="rId122"/>
          <w:pgSz w:w="16838" w:h="11906" w:orient="landscape" w:code="9"/>
          <w:pgMar w:top="1134" w:right="851" w:bottom="1134" w:left="3119" w:header="454" w:footer="374" w:gutter="0"/>
          <w:pgNumType w:chapStyle="9"/>
          <w:cols w:space="708"/>
          <w:docGrid w:linePitch="360"/>
        </w:sectPr>
      </w:pPr>
    </w:p>
    <w:tbl>
      <w:tblPr>
        <w:tblW w:w="0" w:type="auto"/>
        <w:tblLayout w:type="fixed"/>
        <w:tblCellMar>
          <w:left w:w="0" w:type="dxa"/>
          <w:right w:w="0" w:type="dxa"/>
        </w:tblCellMar>
        <w:tblLook w:val="0000" w:firstRow="0" w:lastRow="0" w:firstColumn="0" w:lastColumn="0" w:noHBand="0" w:noVBand="0"/>
        <w:tblCaption w:val="Appendix C"/>
        <w:tblDescription w:val="Housing stock model"/>
      </w:tblPr>
      <w:tblGrid>
        <w:gridCol w:w="5570"/>
        <w:gridCol w:w="2366"/>
      </w:tblGrid>
      <w:tr w:rsidR="00676882" w14:paraId="2FF77C7E" w14:textId="77777777" w:rsidTr="00DF45FA">
        <w:trPr>
          <w:trHeight w:hRule="exact" w:val="382"/>
        </w:trPr>
        <w:tc>
          <w:tcPr>
            <w:tcW w:w="5570" w:type="dxa"/>
          </w:tcPr>
          <w:p w14:paraId="1AA01AEF" w14:textId="77777777" w:rsidR="00676882" w:rsidRDefault="00676882" w:rsidP="00DF45FA">
            <w:pPr>
              <w:pStyle w:val="tagappendixChapter"/>
            </w:pPr>
            <w:r>
              <w:rPr>
                <w:noProof/>
              </w:rPr>
              <w:lastRenderedPageBreak/>
              <w:drawing>
                <wp:anchor distT="0" distB="0" distL="114300" distR="114300" simplePos="0" relativeHeight="251668480" behindDoc="1" locked="1" layoutInCell="1" allowOverlap="1" wp14:anchorId="7990F2F9" wp14:editId="48C63D35">
                  <wp:simplePos x="0" y="0"/>
                  <wp:positionH relativeFrom="page">
                    <wp:posOffset>0</wp:posOffset>
                  </wp:positionH>
                  <wp:positionV relativeFrom="page">
                    <wp:posOffset>0</wp:posOffset>
                  </wp:positionV>
                  <wp:extent cx="5039360" cy="1995170"/>
                  <wp:effectExtent l="0" t="0" r="8890" b="5080"/>
                  <wp:wrapNone/>
                  <wp:docPr id="82"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2"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0B35F4A8" w14:textId="77777777" w:rsidR="00676882" w:rsidRDefault="00676882" w:rsidP="00DF45FA">
            <w:pPr>
              <w:pStyle w:val="Heading9"/>
            </w:pPr>
          </w:p>
        </w:tc>
      </w:tr>
      <w:tr w:rsidR="00676882" w14:paraId="13C8DC72" w14:textId="77777777" w:rsidTr="00DF45FA">
        <w:trPr>
          <w:trHeight w:hRule="exact" w:val="2760"/>
        </w:trPr>
        <w:tc>
          <w:tcPr>
            <w:tcW w:w="5570" w:type="dxa"/>
            <w:vAlign w:val="bottom"/>
          </w:tcPr>
          <w:p w14:paraId="446FAEBC" w14:textId="77777777" w:rsidR="00676882" w:rsidRDefault="00676882" w:rsidP="00DF45FA">
            <w:pPr>
              <w:pStyle w:val="Heading1AP"/>
            </w:pPr>
            <w:bookmarkStart w:id="420" w:name="_Ref75909177"/>
            <w:bookmarkStart w:id="421" w:name="_Toc80712618"/>
            <w:r>
              <w:t>Housing stock model</w:t>
            </w:r>
            <w:bookmarkEnd w:id="420"/>
            <w:bookmarkEnd w:id="421"/>
          </w:p>
        </w:tc>
        <w:tc>
          <w:tcPr>
            <w:tcW w:w="2366" w:type="dxa"/>
            <w:tcMar>
              <w:right w:w="224" w:type="dxa"/>
            </w:tcMar>
            <w:vAlign w:val="bottom"/>
          </w:tcPr>
          <w:p w14:paraId="0B8F4EA6" w14:textId="77777777" w:rsidR="00676882" w:rsidRDefault="00676882" w:rsidP="00DF45FA">
            <w:pPr>
              <w:pStyle w:val="HeadingAppendix"/>
            </w:pPr>
            <w:r>
              <w:fldChar w:fldCharType="begin"/>
            </w:r>
            <w:r>
              <w:instrText xml:space="preserve"> SEQ AppNum \* ALPHABETIC </w:instrText>
            </w:r>
            <w:r>
              <w:fldChar w:fldCharType="separate"/>
            </w:r>
            <w:r>
              <w:rPr>
                <w:noProof/>
              </w:rPr>
              <w:t>C</w:t>
            </w:r>
            <w:r>
              <w:rPr>
                <w:noProof/>
              </w:rPr>
              <w:fldChar w:fldCharType="end"/>
            </w:r>
          </w:p>
        </w:tc>
      </w:tr>
      <w:tr w:rsidR="00676882" w14:paraId="74864869" w14:textId="77777777" w:rsidTr="00DF45FA">
        <w:trPr>
          <w:trHeight w:hRule="exact" w:val="228"/>
        </w:trPr>
        <w:tc>
          <w:tcPr>
            <w:tcW w:w="5570" w:type="dxa"/>
          </w:tcPr>
          <w:p w14:paraId="1BBDC65A" w14:textId="77777777" w:rsidR="00676882" w:rsidRDefault="00676882" w:rsidP="00DF45FA">
            <w:pPr>
              <w:pStyle w:val="spacer"/>
            </w:pPr>
          </w:p>
        </w:tc>
        <w:tc>
          <w:tcPr>
            <w:tcW w:w="2366" w:type="dxa"/>
          </w:tcPr>
          <w:p w14:paraId="5A6F225E" w14:textId="77777777" w:rsidR="00676882" w:rsidRDefault="00676882" w:rsidP="00DF45FA">
            <w:pPr>
              <w:pStyle w:val="spacer"/>
            </w:pPr>
          </w:p>
        </w:tc>
      </w:tr>
    </w:tbl>
    <w:p w14:paraId="5E94E34C" w14:textId="77777777" w:rsidR="00676882" w:rsidRDefault="00676882" w:rsidP="00676882">
      <w:pPr>
        <w:pStyle w:val="Heading2AP"/>
        <w:rPr>
          <w:lang w:eastAsia="ja-JP"/>
        </w:rPr>
      </w:pPr>
      <w:bookmarkStart w:id="422" w:name="_Toc80712619"/>
      <w:r>
        <w:rPr>
          <w:lang w:eastAsia="ja-JP"/>
        </w:rPr>
        <w:t>Modelling tool overview</w:t>
      </w:r>
      <w:bookmarkEnd w:id="422"/>
    </w:p>
    <w:p w14:paraId="10E0BDE4" w14:textId="77777777" w:rsidR="00676882" w:rsidRDefault="00676882" w:rsidP="00676882">
      <w:pPr>
        <w:pStyle w:val="BodyText"/>
        <w:rPr>
          <w:rFonts w:asciiTheme="minorHAnsi" w:hAnsiTheme="minorHAnsi" w:cstheme="minorBidi"/>
        </w:rPr>
      </w:pPr>
      <w:bookmarkStart w:id="423" w:name="_Toc73466167"/>
      <w:r>
        <w:t>The modelling tool developed for this project is in the form of a MS-Excel spreadsheet. The modelling tool has been set up to discretely model three regulatory scenarios in respect of ACT rental stock:</w:t>
      </w:r>
    </w:p>
    <w:p w14:paraId="18E1A128" w14:textId="77777777" w:rsidR="00676882" w:rsidRDefault="00676882" w:rsidP="00676882">
      <w:pPr>
        <w:pStyle w:val="ListBullet"/>
      </w:pPr>
      <w:r>
        <w:t>upgrades to ceiling insulation</w:t>
      </w:r>
    </w:p>
    <w:p w14:paraId="22F04064" w14:textId="77777777" w:rsidR="00676882" w:rsidRDefault="00676882" w:rsidP="00676882">
      <w:pPr>
        <w:pStyle w:val="ListBullet"/>
      </w:pPr>
      <w:r>
        <w:t>upgrades to heating equipment</w:t>
      </w:r>
    </w:p>
    <w:p w14:paraId="75E31364" w14:textId="77777777" w:rsidR="00676882" w:rsidRDefault="00676882" w:rsidP="00676882">
      <w:pPr>
        <w:pStyle w:val="ListBullet"/>
      </w:pPr>
      <w:r>
        <w:t>whole of house performance upgrades (based on the Victorian Scorecard tool).</w:t>
      </w:r>
    </w:p>
    <w:p w14:paraId="236BE614" w14:textId="77777777" w:rsidR="00676882" w:rsidRDefault="00676882" w:rsidP="00676882">
      <w:pPr>
        <w:pStyle w:val="BodyText"/>
      </w:pPr>
      <w:r>
        <w:t xml:space="preserve">The model contains 7 main components as follows (see also </w:t>
      </w:r>
      <w:r w:rsidRPr="009E4AB1">
        <w:fldChar w:fldCharType="begin"/>
      </w:r>
      <w:r w:rsidRPr="009E4AB1">
        <w:instrText xml:space="preserve"> REF _Ref76304074 \h  \* MERGEFORMAT </w:instrText>
      </w:r>
      <w:r w:rsidRPr="009E4AB1">
        <w:fldChar w:fldCharType="separate"/>
      </w:r>
      <w:r w:rsidRPr="00F32FCC">
        <w:t>Figure C.1</w:t>
      </w:r>
      <w:r w:rsidRPr="009E4AB1">
        <w:fldChar w:fldCharType="end"/>
      </w:r>
      <w:r>
        <w:t>, below)</w:t>
      </w:r>
    </w:p>
    <w:p w14:paraId="7D6665C1" w14:textId="77777777" w:rsidR="00676882" w:rsidRDefault="00676882" w:rsidP="00676882">
      <w:pPr>
        <w:pStyle w:val="ListBullet"/>
      </w:pPr>
      <w:r>
        <w:t>a stock model of housing in the ACT</w:t>
      </w:r>
    </w:p>
    <w:p w14:paraId="5C5A8ACF" w14:textId="77777777" w:rsidR="00676882" w:rsidRDefault="00676882" w:rsidP="00676882">
      <w:pPr>
        <w:pStyle w:val="ListBullet"/>
      </w:pPr>
      <w:r>
        <w:t>a stock model of ceiling insulation</w:t>
      </w:r>
    </w:p>
    <w:p w14:paraId="188BFE0B" w14:textId="77777777" w:rsidR="00676882" w:rsidRDefault="00676882" w:rsidP="00676882">
      <w:pPr>
        <w:pStyle w:val="ListBullet"/>
      </w:pPr>
      <w:r>
        <w:t>a stock model of heating equipment</w:t>
      </w:r>
    </w:p>
    <w:p w14:paraId="4D9DB37A" w14:textId="77777777" w:rsidR="00676882" w:rsidRDefault="00676882" w:rsidP="00676882">
      <w:pPr>
        <w:pStyle w:val="ListBullet"/>
      </w:pPr>
      <w:r>
        <w:t>a stock model of whole of house performance levels (based on Vic Scorecard ratings)</w:t>
      </w:r>
    </w:p>
    <w:p w14:paraId="35FB341A" w14:textId="77777777" w:rsidR="00676882" w:rsidRDefault="00676882" w:rsidP="00676882">
      <w:pPr>
        <w:pStyle w:val="ListBullet"/>
      </w:pPr>
      <w:r>
        <w:t>energy performance data</w:t>
      </w:r>
    </w:p>
    <w:p w14:paraId="010A88B0" w14:textId="77777777" w:rsidR="00676882" w:rsidRDefault="00676882" w:rsidP="00676882">
      <w:pPr>
        <w:pStyle w:val="ListBullet"/>
      </w:pPr>
      <w:r>
        <w:t>improvement cost data.</w:t>
      </w:r>
    </w:p>
    <w:p w14:paraId="0C2A871B" w14:textId="77777777" w:rsidR="00676882" w:rsidRDefault="00676882" w:rsidP="00676882">
      <w:pPr>
        <w:pStyle w:val="BodyText"/>
        <w:spacing w:after="0" w:line="0" w:lineRule="atLeast"/>
      </w:pPr>
      <w:bookmarkStart w:id="424" w:name="_Ref76304074"/>
      <w:bookmarkStart w:id="425" w:name="_Toc80719291"/>
      <w:r w:rsidRPr="00020982">
        <w:rPr>
          <w:rStyle w:val="CaptionLabel"/>
        </w:rPr>
        <w:t>Figure </w:t>
      </w:r>
      <w:r w:rsidRPr="00020982">
        <w:rPr>
          <w:rStyle w:val="CaptionLabel"/>
        </w:rPr>
        <w:fldChar w:fldCharType="begin"/>
      </w:r>
      <w:r w:rsidRPr="00020982">
        <w:rPr>
          <w:rStyle w:val="CaptionLabel"/>
        </w:rPr>
        <w:instrText xml:space="preserve"> STYLEREF 9 \S \* MERGEFORMAT </w:instrText>
      </w:r>
      <w:r w:rsidRPr="00020982">
        <w:rPr>
          <w:rStyle w:val="CaptionLabel"/>
        </w:rPr>
        <w:fldChar w:fldCharType="separate"/>
      </w:r>
      <w:r>
        <w:rPr>
          <w:rStyle w:val="CaptionLabel"/>
          <w:noProof/>
        </w:rPr>
        <w:t>C</w:t>
      </w:r>
      <w:r w:rsidRPr="00020982">
        <w:rPr>
          <w:rStyle w:val="CaptionLabel"/>
        </w:rPr>
        <w:fldChar w:fldCharType="end"/>
      </w:r>
      <w:r w:rsidRPr="00020982">
        <w:rPr>
          <w:rStyle w:val="CaptionLabel"/>
        </w:rPr>
        <w:t>.</w:t>
      </w:r>
      <w:r w:rsidRPr="00020982">
        <w:rPr>
          <w:rStyle w:val="CaptionLabel"/>
        </w:rPr>
        <w:fldChar w:fldCharType="begin"/>
      </w:r>
      <w:r w:rsidRPr="00020982">
        <w:rPr>
          <w:rStyle w:val="CaptionLabel"/>
        </w:rPr>
        <w:instrText xml:space="preserve"> SEQ Figure_AP \* ARABIC \S 9 \* MERGEFORMAT </w:instrText>
      </w:r>
      <w:r w:rsidRPr="00020982">
        <w:rPr>
          <w:rStyle w:val="CaptionLabel"/>
        </w:rPr>
        <w:fldChar w:fldCharType="separate"/>
      </w:r>
      <w:r>
        <w:rPr>
          <w:rStyle w:val="CaptionLabel"/>
          <w:noProof/>
        </w:rPr>
        <w:t>1</w:t>
      </w:r>
      <w:r w:rsidRPr="00020982">
        <w:rPr>
          <w:rStyle w:val="CaptionLabel"/>
        </w:rPr>
        <w:fldChar w:fldCharType="end"/>
      </w:r>
      <w:bookmarkEnd w:id="424"/>
      <w:r>
        <w:tab/>
        <w:t>Schematic of housing stock evaluation model</w:t>
      </w:r>
      <w:bookmarkEnd w:id="425"/>
    </w:p>
    <w:p w14:paraId="568DCF01" w14:textId="77777777" w:rsidR="00676882" w:rsidRDefault="00676882" w:rsidP="00676882">
      <w:pPr>
        <w:pStyle w:val="BodyText"/>
        <w:spacing w:after="0" w:line="0" w:lineRule="atLeast"/>
        <w:jc w:val="center"/>
      </w:pPr>
      <w:r>
        <w:rPr>
          <w:noProof/>
        </w:rPr>
        <w:drawing>
          <wp:inline distT="0" distB="0" distL="0" distR="0" wp14:anchorId="7826F2BE" wp14:editId="093B50B9">
            <wp:extent cx="4496280" cy="2818760"/>
            <wp:effectExtent l="0" t="0" r="0" b="1270"/>
            <wp:docPr id="612" name="Picture 612" descr="A schematic for the housing stock model. An assay of the number of houses by type, a settings panel, energy performance data and improvement cost data lead to calculation engines for the options, which lead to output tab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Picture 612" descr="A schematic for the housing stock model. An assay of the number of houses by type, a settings panel, energy performance data and improvement cost data lead to calculation engines for the options, which lead to output tables."/>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4503157" cy="2823071"/>
                    </a:xfrm>
                    <a:prstGeom prst="rect">
                      <a:avLst/>
                    </a:prstGeom>
                    <a:noFill/>
                  </pic:spPr>
                </pic:pic>
              </a:graphicData>
            </a:graphic>
          </wp:inline>
        </w:drawing>
      </w:r>
    </w:p>
    <w:p w14:paraId="194B478C" w14:textId="77777777" w:rsidR="00676882" w:rsidRPr="00615BE8" w:rsidRDefault="00676882" w:rsidP="00676882">
      <w:pPr>
        <w:pStyle w:val="BodyText"/>
        <w:spacing w:after="0" w:line="0" w:lineRule="atLeast"/>
        <w:rPr>
          <w:i/>
          <w:iCs/>
          <w:sz w:val="16"/>
          <w:szCs w:val="16"/>
        </w:rPr>
      </w:pPr>
      <w:r w:rsidRPr="00615BE8">
        <w:rPr>
          <w:i/>
          <w:iCs/>
          <w:sz w:val="16"/>
          <w:szCs w:val="16"/>
        </w:rPr>
        <w:t>Source: Energy Efficient Strategies</w:t>
      </w:r>
    </w:p>
    <w:p w14:paraId="7804907C" w14:textId="77777777" w:rsidR="00676882" w:rsidRDefault="00676882" w:rsidP="00676882">
      <w:pPr>
        <w:pStyle w:val="BodyText"/>
        <w:rPr>
          <w:rFonts w:asciiTheme="minorHAnsi" w:hAnsiTheme="minorHAnsi" w:cstheme="minorBidi"/>
        </w:rPr>
      </w:pPr>
      <w:r>
        <w:t xml:space="preserve">The housing stock model is common to all evaluations. The regulatory impacts are assessed in the ceiling insulation, heating equipment and whole of house performance modules. In these modules </w:t>
      </w:r>
      <w:r>
        <w:lastRenderedPageBreak/>
        <w:t>the housing stock is disaggregated into various categories or “performance cohorts”. For example, in the case of insulation, the stock is categorised into a range of representative cohorts, dwellings with no ceiling insulation, dwellings with sub-optimal insulation (less than R2), dwellings with R3 installed, dwellings with R4 installed and dwellings with R5 installed. Each of these cohorts within the stock is ascribed a propensity — how much of the housing stock they make up — for the year 2020 based on available data.</w:t>
      </w:r>
    </w:p>
    <w:p w14:paraId="6227E1F3" w14:textId="77777777" w:rsidR="00676882" w:rsidRDefault="00676882" w:rsidP="00676882">
      <w:pPr>
        <w:pStyle w:val="BodyText"/>
      </w:pPr>
      <w:r>
        <w:t>In each year following 2020 a user of the model can set a proportion of a particular cohort to be upgraded in that year. For example, in 2022 25 per cent of the stock of dwellings with no ceiling insulation might be expected to be upgraded to R5 ceiling insulation under a particular regulatory scenario and this process might continue for the following 3 years such that by the end of 2025 all dwellings without ceiling insulation at the start of the period are now insulated. Effectively the model simply transfers numbers of dwellings from one type (uninsulated) to another type (R5 insulated).</w:t>
      </w:r>
    </w:p>
    <w:p w14:paraId="2F141FB0" w14:textId="77777777" w:rsidR="00676882" w:rsidRDefault="00676882" w:rsidP="00676882">
      <w:pPr>
        <w:pStyle w:val="BodyText"/>
      </w:pPr>
      <w:r>
        <w:t>The model also has a facility to place a cap on the maximum proportion of a cohort that can be upgraded for practical reasons. For instance, in the case of ceiling insulation in class 1 dwellings a small proportion would be expected to have inaccessible ceiling spaces and in the case of Class 2 dwellings only those on the uppermost floor would need to have ceiling insulation fitted (</w:t>
      </w:r>
      <w:proofErr w:type="gramStart"/>
      <w:r>
        <w:t>i.e.</w:t>
      </w:r>
      <w:proofErr w:type="gramEnd"/>
      <w:r>
        <w:t xml:space="preserve"> only one in four of all the flats in a four storey block).</w:t>
      </w:r>
    </w:p>
    <w:p w14:paraId="321078CE" w14:textId="77777777" w:rsidR="00676882" w:rsidRDefault="00676882" w:rsidP="00676882">
      <w:pPr>
        <w:pStyle w:val="BodyText"/>
      </w:pPr>
      <w:r>
        <w:t>Finally, the model can also track two other stock change phenomena:</w:t>
      </w:r>
    </w:p>
    <w:p w14:paraId="3CF756D2" w14:textId="77777777" w:rsidR="00676882" w:rsidRDefault="00676882" w:rsidP="00676882">
      <w:pPr>
        <w:pStyle w:val="ListBullet"/>
      </w:pPr>
      <w:r>
        <w:t>the flow of stock between rental and non-rental property types (or visa-versa)</w:t>
      </w:r>
    </w:p>
    <w:p w14:paraId="77CA83E9" w14:textId="77777777" w:rsidR="00676882" w:rsidRDefault="00676882" w:rsidP="00676882">
      <w:pPr>
        <w:pStyle w:val="ListBullet"/>
      </w:pPr>
      <w:r>
        <w:t>the flow of new stock into the market (</w:t>
      </w:r>
      <w:proofErr w:type="gramStart"/>
      <w:r>
        <w:t>i.e.</w:t>
      </w:r>
      <w:proofErr w:type="gramEnd"/>
      <w:r>
        <w:t xml:space="preserve"> stock built post 2020).</w:t>
      </w:r>
    </w:p>
    <w:p w14:paraId="2F3388BE" w14:textId="77777777" w:rsidR="00676882" w:rsidRDefault="00676882" w:rsidP="00676882">
      <w:pPr>
        <w:pStyle w:val="BodyText"/>
      </w:pPr>
      <w:r>
        <w:t>The flow of stock between non rental and rental (or visa-versa) can have an impact on the total number of upgrades undertaken and the duration of the upgrade process. For example, if after a 4 year initial period of upgrade of all existing rental stock (i.e. 100 per cent of the potential rental stock that could be upgraded has been upgraded) further stock then flows from the non-rental market into the rental market then a proportion of that stock would be expected to meet the requirement for upgrade (i.e. no ceiling insulation or sub-optimal ceiling insulation) and this would be expected to be upgraded upon entry into the rental market.</w:t>
      </w:r>
    </w:p>
    <w:p w14:paraId="6711A7AE" w14:textId="77777777" w:rsidR="00676882" w:rsidRDefault="00676882" w:rsidP="00676882">
      <w:pPr>
        <w:pStyle w:val="BodyText"/>
      </w:pPr>
      <w:r>
        <w:t>The flow of new stock into the rental market has been included in the stock model to ensure that all stock is factored into the overall housing stock accounting of the model. However, in terms of the policy options examined in this study, this cohort is not expected to require any upgrading. Being new stock it would already have ceiling insulation (R4 at a minimum), meet a 6-star NatHERS performance level and would presumably have a heater type installed during construction that met the regulatory requirements examined in this study.</w:t>
      </w:r>
    </w:p>
    <w:p w14:paraId="2B5AA311" w14:textId="77777777" w:rsidR="00676882" w:rsidRDefault="00676882" w:rsidP="00676882">
      <w:pPr>
        <w:pStyle w:val="BodyText"/>
      </w:pPr>
      <w:r>
        <w:t xml:space="preserve">For each performance cohort that makes up the housing stock, estimates of energy usage by fuel type were made (see following sections of this report for details relating to energy performance assumptions). By multiplying the per-dwelling energy use (in relation to the </w:t>
      </w:r>
      <w:proofErr w:type="gramStart"/>
      <w:r>
        <w:t>particular upgrade</w:t>
      </w:r>
      <w:proofErr w:type="gramEnd"/>
      <w:r>
        <w:t xml:space="preserve"> option) by the number of that performance cohort in each year, the annual total energy consumption by fuel type is calculated. To gauge the impact of the regulations in energy terms, it is then simply a matter of comparing the annual energy consumption of the “with regulations” case with the annual energy consumption of the “without regulations” or BAU case for each year impacted by those regulations.</w:t>
      </w:r>
    </w:p>
    <w:p w14:paraId="4F2E8962" w14:textId="77777777" w:rsidR="00676882" w:rsidRDefault="00676882" w:rsidP="00676882">
      <w:pPr>
        <w:pStyle w:val="BodyText"/>
      </w:pPr>
      <w:r>
        <w:t xml:space="preserve">The model also </w:t>
      </w:r>
      <w:proofErr w:type="gramStart"/>
      <w:r>
        <w:t>takes into account</w:t>
      </w:r>
      <w:proofErr w:type="gramEnd"/>
      <w:r>
        <w:t xml:space="preserve"> significant changes in the stock over time. This is most apparent in the case of heaters where there is an ongoing shift from gas technologies to heat pump technologies over time with this transition expected to be complete by about 2050. However, as the proposed regulations only require that gas heaters of more than 20 years of age be replaced this underlying trend is expected to have a similar (but not identical) effect on both the BAU case and the with regulations case.</w:t>
      </w:r>
    </w:p>
    <w:p w14:paraId="47595602" w14:textId="77777777" w:rsidR="00676882" w:rsidRDefault="00676882" w:rsidP="00676882">
      <w:pPr>
        <w:pStyle w:val="BodyText"/>
      </w:pPr>
      <w:r>
        <w:lastRenderedPageBreak/>
        <w:t>The following sections provide further details and assumptions in relation to the model including:</w:t>
      </w:r>
    </w:p>
    <w:p w14:paraId="494569A9" w14:textId="77777777" w:rsidR="00676882" w:rsidRDefault="00676882" w:rsidP="00676882">
      <w:pPr>
        <w:pStyle w:val="ListBullet"/>
      </w:pPr>
      <w:r w:rsidRPr="009E4AB1">
        <w:fldChar w:fldCharType="begin"/>
      </w:r>
      <w:r w:rsidRPr="009E4AB1">
        <w:instrText xml:space="preserve"> REF _Ref76307668 \w \h  \* MERGEFORMAT </w:instrText>
      </w:r>
      <w:r w:rsidRPr="009E4AB1">
        <w:fldChar w:fldCharType="separate"/>
      </w:r>
      <w:r>
        <w:t>C.2</w:t>
      </w:r>
      <w:r w:rsidRPr="009E4AB1">
        <w:fldChar w:fldCharType="end"/>
      </w:r>
      <w:r>
        <w:t xml:space="preserve"> – </w:t>
      </w:r>
      <w:r w:rsidRPr="009E4AB1">
        <w:fldChar w:fldCharType="begin"/>
      </w:r>
      <w:r w:rsidRPr="009E4AB1">
        <w:instrText xml:space="preserve"> REF _Ref76307668 \h  \* MERGEFORMAT </w:instrText>
      </w:r>
      <w:r w:rsidRPr="009E4AB1">
        <w:fldChar w:fldCharType="separate"/>
      </w:r>
      <w:r>
        <w:t>ACT Housing stock model</w:t>
      </w:r>
      <w:r w:rsidRPr="009E4AB1">
        <w:fldChar w:fldCharType="end"/>
      </w:r>
    </w:p>
    <w:p w14:paraId="06F3578F" w14:textId="77777777" w:rsidR="00676882" w:rsidRDefault="00676882" w:rsidP="00676882">
      <w:pPr>
        <w:pStyle w:val="ListBullet"/>
      </w:pPr>
      <w:r w:rsidRPr="009E4AB1">
        <w:fldChar w:fldCharType="begin"/>
      </w:r>
      <w:r w:rsidRPr="009E4AB1">
        <w:instrText xml:space="preserve"> REF _Ref76305970 \r \h  \* MERGEFORMAT </w:instrText>
      </w:r>
      <w:r w:rsidRPr="009E4AB1">
        <w:fldChar w:fldCharType="separate"/>
      </w:r>
      <w:r>
        <w:t>C.3</w:t>
      </w:r>
      <w:r w:rsidRPr="009E4AB1">
        <w:fldChar w:fldCharType="end"/>
      </w:r>
      <w:r>
        <w:t xml:space="preserve"> – </w:t>
      </w:r>
      <w:r w:rsidRPr="009E4AB1">
        <w:fldChar w:fldCharType="begin"/>
      </w:r>
      <w:r w:rsidRPr="009E4AB1">
        <w:instrText xml:space="preserve"> REF _Ref76305970 \h  \* MERGEFORMAT </w:instrText>
      </w:r>
      <w:r w:rsidRPr="009E4AB1">
        <w:fldChar w:fldCharType="separate"/>
      </w:r>
      <w:r>
        <w:t>Insulation upgrades</w:t>
      </w:r>
      <w:r w:rsidRPr="009E4AB1">
        <w:fldChar w:fldCharType="end"/>
      </w:r>
    </w:p>
    <w:p w14:paraId="4072B049" w14:textId="77777777" w:rsidR="00676882" w:rsidRDefault="00676882" w:rsidP="00676882">
      <w:pPr>
        <w:pStyle w:val="ListBullet"/>
      </w:pPr>
      <w:r w:rsidRPr="009E4AB1">
        <w:fldChar w:fldCharType="begin"/>
      </w:r>
      <w:r w:rsidRPr="009E4AB1">
        <w:instrText xml:space="preserve"> REF _Ref76307712 \r \h  \* MERGEFORMAT </w:instrText>
      </w:r>
      <w:r w:rsidRPr="009E4AB1">
        <w:fldChar w:fldCharType="separate"/>
      </w:r>
      <w:r>
        <w:t>C.4</w:t>
      </w:r>
      <w:r w:rsidRPr="009E4AB1">
        <w:fldChar w:fldCharType="end"/>
      </w:r>
      <w:r>
        <w:t xml:space="preserve"> – </w:t>
      </w:r>
      <w:r w:rsidRPr="009E4AB1">
        <w:fldChar w:fldCharType="begin"/>
      </w:r>
      <w:r w:rsidRPr="009E4AB1">
        <w:instrText xml:space="preserve"> REF _Ref76307712 \h  \* MERGEFORMAT </w:instrText>
      </w:r>
      <w:r w:rsidRPr="009E4AB1">
        <w:fldChar w:fldCharType="separate"/>
      </w:r>
      <w:r>
        <w:t>Heating upgrades</w:t>
      </w:r>
      <w:r w:rsidRPr="009E4AB1">
        <w:fldChar w:fldCharType="end"/>
      </w:r>
    </w:p>
    <w:p w14:paraId="0AE1C839" w14:textId="77777777" w:rsidR="00676882" w:rsidRDefault="00676882" w:rsidP="00676882">
      <w:pPr>
        <w:pStyle w:val="ListBullet"/>
      </w:pPr>
      <w:r w:rsidRPr="009E4AB1">
        <w:fldChar w:fldCharType="begin"/>
      </w:r>
      <w:r w:rsidRPr="009E4AB1">
        <w:instrText xml:space="preserve"> REF _Ref76307721 \r \h  \* MERGEFORMAT </w:instrText>
      </w:r>
      <w:r w:rsidRPr="009E4AB1">
        <w:fldChar w:fldCharType="separate"/>
      </w:r>
      <w:r>
        <w:t>C.5</w:t>
      </w:r>
      <w:r w:rsidRPr="009E4AB1">
        <w:fldChar w:fldCharType="end"/>
      </w:r>
      <w:r>
        <w:t xml:space="preserve"> – Performance based standards.</w:t>
      </w:r>
    </w:p>
    <w:p w14:paraId="12CAF52C" w14:textId="77777777" w:rsidR="00676882" w:rsidRDefault="00676882" w:rsidP="00676882">
      <w:pPr>
        <w:pStyle w:val="Heading2AP"/>
      </w:pPr>
      <w:bookmarkStart w:id="426" w:name="_Ref76307668"/>
      <w:bookmarkStart w:id="427" w:name="_Toc80712620"/>
      <w:r>
        <w:t>ACT Housing stock model</w:t>
      </w:r>
      <w:bookmarkEnd w:id="423"/>
      <w:bookmarkEnd w:id="426"/>
      <w:bookmarkEnd w:id="427"/>
    </w:p>
    <w:p w14:paraId="0F2C50E2" w14:textId="77777777" w:rsidR="00676882" w:rsidRDefault="00676882" w:rsidP="00676882">
      <w:pPr>
        <w:pStyle w:val="BodyText"/>
        <w:rPr>
          <w:rFonts w:asciiTheme="minorHAnsi" w:hAnsiTheme="minorHAnsi" w:cstheme="minorBidi"/>
        </w:rPr>
      </w:pPr>
      <w:r>
        <w:t>For this study the housing stock was divided into four categories of housing:</w:t>
      </w:r>
    </w:p>
    <w:p w14:paraId="3227B4E9" w14:textId="77777777" w:rsidR="00676882" w:rsidRDefault="00676882" w:rsidP="00676882">
      <w:pPr>
        <w:pStyle w:val="ListNumber"/>
        <w:numPr>
          <w:ilvl w:val="0"/>
          <w:numId w:val="56"/>
        </w:numPr>
      </w:pPr>
      <w:r>
        <w:t>Non-social housing – Class 1: private standalone houses</w:t>
      </w:r>
    </w:p>
    <w:p w14:paraId="38541B12" w14:textId="77777777" w:rsidR="00676882" w:rsidRDefault="00676882" w:rsidP="00676882">
      <w:pPr>
        <w:pStyle w:val="ListNumber"/>
      </w:pPr>
      <w:r>
        <w:t>Non-Social Housing – Class 2: private multiunit dwellings</w:t>
      </w:r>
    </w:p>
    <w:p w14:paraId="0D9F65DF" w14:textId="77777777" w:rsidR="00676882" w:rsidRDefault="00676882" w:rsidP="00676882">
      <w:pPr>
        <w:pStyle w:val="ListNumber"/>
      </w:pPr>
      <w:r>
        <w:t>Social Housing – Class 1: public standalone houses</w:t>
      </w:r>
    </w:p>
    <w:p w14:paraId="3713D7CE" w14:textId="77777777" w:rsidR="00676882" w:rsidRDefault="00676882" w:rsidP="00676882">
      <w:pPr>
        <w:pStyle w:val="ListNumber"/>
      </w:pPr>
      <w:r>
        <w:t>Social Housing – Class 2: public multiunit dwellings.</w:t>
      </w:r>
    </w:p>
    <w:p w14:paraId="0F4AD1BB" w14:textId="77777777" w:rsidR="00676882" w:rsidRDefault="00676882" w:rsidP="00676882">
      <w:pPr>
        <w:pStyle w:val="BodyText"/>
      </w:pPr>
      <w:r>
        <w:t xml:space="preserve">The starting point for the housing stock model was the total number of dwellings (rental and non-rental) in the ACT in 2020 with projections to 2035. These values were derived from ABS data </w:t>
      </w:r>
      <w:sdt>
        <w:sdtPr>
          <w:id w:val="-1595088234"/>
          <w:citation/>
        </w:sdtPr>
        <w:sdtContent>
          <w:r>
            <w:fldChar w:fldCharType="begin"/>
          </w:r>
          <w:r>
            <w:instrText xml:space="preserve">CITATION ABS15 \n  \l 3081 </w:instrText>
          </w:r>
          <w:r>
            <w:fldChar w:fldCharType="separate"/>
          </w:r>
          <w:r>
            <w:rPr>
              <w:noProof/>
            </w:rPr>
            <w:t>(Household and Family Projections, Australia, 2011 to 2036, 2015)</w:t>
          </w:r>
          <w:r>
            <w:fldChar w:fldCharType="end"/>
          </w:r>
        </w:sdtContent>
      </w:sdt>
      <w:r>
        <w:t xml:space="preserve"> and are shown in </w:t>
      </w:r>
      <w:r w:rsidRPr="009E4AB1">
        <w:fldChar w:fldCharType="begin"/>
      </w:r>
      <w:r w:rsidRPr="009E4AB1">
        <w:instrText xml:space="preserve"> REF _Ref76304538 \h  \* MERGEFORMAT </w:instrText>
      </w:r>
      <w:r w:rsidRPr="009E4AB1">
        <w:fldChar w:fldCharType="separate"/>
      </w:r>
      <w:r w:rsidRPr="00F32FCC">
        <w:t>Table C.1</w:t>
      </w:r>
      <w:r w:rsidRPr="009E4AB1">
        <w:fldChar w:fldCharType="end"/>
      </w:r>
      <w:r>
        <w:t>.</w:t>
      </w:r>
    </w:p>
    <w:p w14:paraId="445CA8E2" w14:textId="77777777" w:rsidR="00676882" w:rsidRDefault="00676882" w:rsidP="00676882">
      <w:pPr>
        <w:pStyle w:val="Caption"/>
      </w:pPr>
      <w:bookmarkStart w:id="428" w:name="_Ref76304538"/>
      <w:bookmarkStart w:id="429" w:name="_Toc80719346"/>
      <w:r w:rsidRPr="00020982">
        <w:rPr>
          <w:rStyle w:val="CaptionLabel"/>
        </w:rPr>
        <w:t>Table </w:t>
      </w:r>
      <w:r w:rsidRPr="00020982">
        <w:rPr>
          <w:rStyle w:val="CaptionLabel"/>
        </w:rPr>
        <w:fldChar w:fldCharType="begin"/>
      </w:r>
      <w:r w:rsidRPr="00020982">
        <w:rPr>
          <w:rStyle w:val="CaptionLabel"/>
        </w:rPr>
        <w:instrText xml:space="preserve"> STYLEREF 9 \S \* MERGEFORMAT </w:instrText>
      </w:r>
      <w:r w:rsidRPr="00020982">
        <w:rPr>
          <w:rStyle w:val="CaptionLabel"/>
        </w:rPr>
        <w:fldChar w:fldCharType="separate"/>
      </w:r>
      <w:r>
        <w:rPr>
          <w:rStyle w:val="CaptionLabel"/>
          <w:noProof/>
        </w:rPr>
        <w:t>C</w:t>
      </w:r>
      <w:r w:rsidRPr="00020982">
        <w:rPr>
          <w:rStyle w:val="CaptionLabel"/>
        </w:rPr>
        <w:fldChar w:fldCharType="end"/>
      </w:r>
      <w:r w:rsidRPr="00020982">
        <w:rPr>
          <w:rStyle w:val="CaptionLabel"/>
        </w:rPr>
        <w:t>.</w:t>
      </w:r>
      <w:r w:rsidRPr="00020982">
        <w:rPr>
          <w:rStyle w:val="CaptionLabel"/>
        </w:rPr>
        <w:fldChar w:fldCharType="begin"/>
      </w:r>
      <w:r w:rsidRPr="00020982">
        <w:rPr>
          <w:rStyle w:val="CaptionLabel"/>
        </w:rPr>
        <w:instrText xml:space="preserve"> SEQ Table_AP \* ARABIC \S 9 \* MERGEFORMAT </w:instrText>
      </w:r>
      <w:r w:rsidRPr="00020982">
        <w:rPr>
          <w:rStyle w:val="CaptionLabel"/>
        </w:rPr>
        <w:fldChar w:fldCharType="separate"/>
      </w:r>
      <w:r>
        <w:rPr>
          <w:rStyle w:val="CaptionLabel"/>
          <w:noProof/>
        </w:rPr>
        <w:t>1</w:t>
      </w:r>
      <w:r w:rsidRPr="00020982">
        <w:rPr>
          <w:rStyle w:val="CaptionLabel"/>
        </w:rPr>
        <w:fldChar w:fldCharType="end"/>
      </w:r>
      <w:bookmarkEnd w:id="428"/>
      <w:r>
        <w:tab/>
        <w:t>ACT Housing stock projections</w:t>
      </w:r>
      <w:bookmarkEnd w:id="429"/>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1"/>
        <w:tblDescription w:val="ACT housing stock projections"/>
      </w:tblPr>
      <w:tblGrid>
        <w:gridCol w:w="454"/>
        <w:gridCol w:w="3968"/>
        <w:gridCol w:w="3968"/>
      </w:tblGrid>
      <w:tr w:rsidR="00676882" w14:paraId="0F5FDA58" w14:textId="77777777" w:rsidTr="00DF45FA">
        <w:trPr>
          <w:tblHeader/>
        </w:trPr>
        <w:tc>
          <w:tcPr>
            <w:tcW w:w="4422" w:type="dxa"/>
            <w:gridSpan w:val="2"/>
            <w:tcBorders>
              <w:top w:val="nil"/>
              <w:bottom w:val="nil"/>
            </w:tcBorders>
            <w:shd w:val="clear" w:color="auto" w:fill="140034"/>
            <w:tcMar>
              <w:left w:w="454" w:type="dxa"/>
            </w:tcMar>
          </w:tcPr>
          <w:p w14:paraId="31C7B78D" w14:textId="77777777" w:rsidR="00676882" w:rsidRDefault="00676882" w:rsidP="00DF45FA">
            <w:pPr>
              <w:pStyle w:val="Tablecolumnheadings"/>
            </w:pPr>
            <w:r>
              <w:t>Year</w:t>
            </w:r>
          </w:p>
        </w:tc>
        <w:tc>
          <w:tcPr>
            <w:tcW w:w="3968" w:type="dxa"/>
            <w:tcBorders>
              <w:top w:val="nil"/>
              <w:bottom w:val="nil"/>
              <w:right w:val="single" w:sz="6" w:space="0" w:color="140034"/>
            </w:tcBorders>
            <w:shd w:val="clear" w:color="auto" w:fill="140034"/>
          </w:tcPr>
          <w:p w14:paraId="55D960B5" w14:textId="77777777" w:rsidR="00676882" w:rsidRDefault="00676882" w:rsidP="00DF45FA">
            <w:pPr>
              <w:pStyle w:val="Tablecolumnheadings"/>
            </w:pPr>
            <w:r>
              <w:t>Total stock</w:t>
            </w:r>
          </w:p>
        </w:tc>
      </w:tr>
      <w:tr w:rsidR="00676882" w14:paraId="1E4E5DAD" w14:textId="77777777" w:rsidTr="00DF45FA">
        <w:trPr>
          <w:gridBefore w:val="1"/>
          <w:wBefore w:w="454" w:type="dxa"/>
        </w:trPr>
        <w:tc>
          <w:tcPr>
            <w:tcW w:w="3968" w:type="dxa"/>
            <w:tcBorders>
              <w:top w:val="nil"/>
            </w:tcBorders>
            <w:shd w:val="clear" w:color="auto" w:fill="auto"/>
          </w:tcPr>
          <w:p w14:paraId="6B482C98" w14:textId="77777777" w:rsidR="00676882" w:rsidRDefault="00676882" w:rsidP="00DF45FA">
            <w:pPr>
              <w:pStyle w:val="Tabletext"/>
            </w:pPr>
            <w:r w:rsidRPr="00CA2072">
              <w:t>2020</w:t>
            </w:r>
          </w:p>
        </w:tc>
        <w:tc>
          <w:tcPr>
            <w:tcW w:w="3968" w:type="dxa"/>
            <w:tcBorders>
              <w:top w:val="nil"/>
            </w:tcBorders>
            <w:shd w:val="clear" w:color="auto" w:fill="auto"/>
          </w:tcPr>
          <w:p w14:paraId="4AE3C020" w14:textId="77777777" w:rsidR="00676882" w:rsidRDefault="00676882" w:rsidP="00DF45FA">
            <w:pPr>
              <w:pStyle w:val="Tabletext"/>
            </w:pPr>
            <w:r w:rsidRPr="00CA2072">
              <w:t>165</w:t>
            </w:r>
            <w:r>
              <w:t>,</w:t>
            </w:r>
            <w:r w:rsidRPr="00CA2072">
              <w:t>873</w:t>
            </w:r>
          </w:p>
        </w:tc>
      </w:tr>
      <w:tr w:rsidR="00676882" w14:paraId="0B0E99D7" w14:textId="77777777" w:rsidTr="00DF45FA">
        <w:trPr>
          <w:gridBefore w:val="1"/>
          <w:wBefore w:w="454" w:type="dxa"/>
        </w:trPr>
        <w:tc>
          <w:tcPr>
            <w:tcW w:w="3968" w:type="dxa"/>
            <w:shd w:val="clear" w:color="auto" w:fill="auto"/>
          </w:tcPr>
          <w:p w14:paraId="3F6C655A" w14:textId="77777777" w:rsidR="00676882" w:rsidRDefault="00676882" w:rsidP="00DF45FA">
            <w:pPr>
              <w:pStyle w:val="Tabletext"/>
            </w:pPr>
            <w:r w:rsidRPr="00CA2072">
              <w:t>2021</w:t>
            </w:r>
          </w:p>
        </w:tc>
        <w:tc>
          <w:tcPr>
            <w:tcW w:w="3968" w:type="dxa"/>
            <w:shd w:val="clear" w:color="auto" w:fill="auto"/>
          </w:tcPr>
          <w:p w14:paraId="3C790DAE" w14:textId="77777777" w:rsidR="00676882" w:rsidRDefault="00676882" w:rsidP="00DF45FA">
            <w:pPr>
              <w:pStyle w:val="Tabletext"/>
            </w:pPr>
            <w:r w:rsidRPr="00CA2072">
              <w:t>168</w:t>
            </w:r>
            <w:r>
              <w:t>,</w:t>
            </w:r>
            <w:r w:rsidRPr="00CA2072">
              <w:t>924</w:t>
            </w:r>
          </w:p>
        </w:tc>
      </w:tr>
      <w:tr w:rsidR="00676882" w14:paraId="5E5090CD" w14:textId="77777777" w:rsidTr="00DF45FA">
        <w:trPr>
          <w:gridBefore w:val="1"/>
          <w:wBefore w:w="454" w:type="dxa"/>
        </w:trPr>
        <w:tc>
          <w:tcPr>
            <w:tcW w:w="3968" w:type="dxa"/>
            <w:shd w:val="clear" w:color="auto" w:fill="auto"/>
          </w:tcPr>
          <w:p w14:paraId="4A308779" w14:textId="77777777" w:rsidR="00676882" w:rsidRDefault="00676882" w:rsidP="00DF45FA">
            <w:pPr>
              <w:pStyle w:val="Tabletext"/>
            </w:pPr>
            <w:r w:rsidRPr="00CA2072">
              <w:t>2022</w:t>
            </w:r>
          </w:p>
        </w:tc>
        <w:tc>
          <w:tcPr>
            <w:tcW w:w="3968" w:type="dxa"/>
            <w:shd w:val="clear" w:color="auto" w:fill="auto"/>
          </w:tcPr>
          <w:p w14:paraId="42CA19E7" w14:textId="77777777" w:rsidR="00676882" w:rsidRDefault="00676882" w:rsidP="00DF45FA">
            <w:pPr>
              <w:pStyle w:val="Tabletext"/>
            </w:pPr>
            <w:r w:rsidRPr="00CA2072">
              <w:t>172</w:t>
            </w:r>
            <w:r>
              <w:t>,</w:t>
            </w:r>
            <w:r w:rsidRPr="00CA2072">
              <w:t>020</w:t>
            </w:r>
          </w:p>
        </w:tc>
      </w:tr>
      <w:tr w:rsidR="00676882" w14:paraId="69B67656" w14:textId="77777777" w:rsidTr="00DF45FA">
        <w:trPr>
          <w:gridBefore w:val="1"/>
          <w:wBefore w:w="454" w:type="dxa"/>
        </w:trPr>
        <w:tc>
          <w:tcPr>
            <w:tcW w:w="3968" w:type="dxa"/>
            <w:shd w:val="clear" w:color="auto" w:fill="auto"/>
          </w:tcPr>
          <w:p w14:paraId="53CFF92A" w14:textId="77777777" w:rsidR="00676882" w:rsidRDefault="00676882" w:rsidP="00DF45FA">
            <w:pPr>
              <w:pStyle w:val="Tabletext"/>
            </w:pPr>
            <w:r w:rsidRPr="00CA2072">
              <w:t>2023</w:t>
            </w:r>
          </w:p>
        </w:tc>
        <w:tc>
          <w:tcPr>
            <w:tcW w:w="3968" w:type="dxa"/>
            <w:shd w:val="clear" w:color="auto" w:fill="auto"/>
          </w:tcPr>
          <w:p w14:paraId="6C96A14A" w14:textId="77777777" w:rsidR="00676882" w:rsidRDefault="00676882" w:rsidP="00DF45FA">
            <w:pPr>
              <w:pStyle w:val="Tabletext"/>
            </w:pPr>
            <w:r w:rsidRPr="00CA2072">
              <w:t>175</w:t>
            </w:r>
            <w:r>
              <w:t>,</w:t>
            </w:r>
            <w:r w:rsidRPr="00CA2072">
              <w:t>115</w:t>
            </w:r>
          </w:p>
        </w:tc>
      </w:tr>
      <w:tr w:rsidR="00676882" w14:paraId="5FC5C350" w14:textId="77777777" w:rsidTr="00DF45FA">
        <w:trPr>
          <w:gridBefore w:val="1"/>
          <w:wBefore w:w="454" w:type="dxa"/>
        </w:trPr>
        <w:tc>
          <w:tcPr>
            <w:tcW w:w="3968" w:type="dxa"/>
            <w:shd w:val="clear" w:color="auto" w:fill="auto"/>
          </w:tcPr>
          <w:p w14:paraId="17E6B529" w14:textId="77777777" w:rsidR="00676882" w:rsidRDefault="00676882" w:rsidP="00DF45FA">
            <w:pPr>
              <w:pStyle w:val="Tabletext"/>
            </w:pPr>
            <w:r w:rsidRPr="00CA2072">
              <w:t>2024</w:t>
            </w:r>
          </w:p>
        </w:tc>
        <w:tc>
          <w:tcPr>
            <w:tcW w:w="3968" w:type="dxa"/>
            <w:shd w:val="clear" w:color="auto" w:fill="auto"/>
          </w:tcPr>
          <w:p w14:paraId="08C0994D" w14:textId="77777777" w:rsidR="00676882" w:rsidRDefault="00676882" w:rsidP="00DF45FA">
            <w:pPr>
              <w:pStyle w:val="Tabletext"/>
            </w:pPr>
            <w:r w:rsidRPr="00CA2072">
              <w:t>178</w:t>
            </w:r>
            <w:r>
              <w:t>,</w:t>
            </w:r>
            <w:r w:rsidRPr="00CA2072">
              <w:t>218</w:t>
            </w:r>
          </w:p>
        </w:tc>
      </w:tr>
      <w:tr w:rsidR="00676882" w14:paraId="0005E6E4" w14:textId="77777777" w:rsidTr="00DF45FA">
        <w:trPr>
          <w:gridBefore w:val="1"/>
          <w:wBefore w:w="454" w:type="dxa"/>
        </w:trPr>
        <w:tc>
          <w:tcPr>
            <w:tcW w:w="3968" w:type="dxa"/>
            <w:shd w:val="clear" w:color="auto" w:fill="auto"/>
          </w:tcPr>
          <w:p w14:paraId="40E2B193" w14:textId="77777777" w:rsidR="00676882" w:rsidRDefault="00676882" w:rsidP="00DF45FA">
            <w:pPr>
              <w:pStyle w:val="Tabletext"/>
            </w:pPr>
            <w:r w:rsidRPr="00CA2072">
              <w:t>2025</w:t>
            </w:r>
          </w:p>
        </w:tc>
        <w:tc>
          <w:tcPr>
            <w:tcW w:w="3968" w:type="dxa"/>
            <w:shd w:val="clear" w:color="auto" w:fill="auto"/>
          </w:tcPr>
          <w:p w14:paraId="53C32241" w14:textId="77777777" w:rsidR="00676882" w:rsidRDefault="00676882" w:rsidP="00DF45FA">
            <w:pPr>
              <w:pStyle w:val="Tabletext"/>
            </w:pPr>
            <w:r w:rsidRPr="00CA2072">
              <w:t>181</w:t>
            </w:r>
            <w:r>
              <w:t>,</w:t>
            </w:r>
            <w:r w:rsidRPr="00CA2072">
              <w:t>352</w:t>
            </w:r>
          </w:p>
        </w:tc>
      </w:tr>
      <w:tr w:rsidR="00676882" w14:paraId="1C817437" w14:textId="77777777" w:rsidTr="00DF45FA">
        <w:trPr>
          <w:gridBefore w:val="1"/>
          <w:wBefore w:w="454" w:type="dxa"/>
        </w:trPr>
        <w:tc>
          <w:tcPr>
            <w:tcW w:w="3968" w:type="dxa"/>
            <w:shd w:val="clear" w:color="auto" w:fill="auto"/>
          </w:tcPr>
          <w:p w14:paraId="7D77730B" w14:textId="77777777" w:rsidR="00676882" w:rsidRDefault="00676882" w:rsidP="00DF45FA">
            <w:pPr>
              <w:pStyle w:val="Tabletext"/>
            </w:pPr>
            <w:r w:rsidRPr="00CA2072">
              <w:t>2026</w:t>
            </w:r>
          </w:p>
        </w:tc>
        <w:tc>
          <w:tcPr>
            <w:tcW w:w="3968" w:type="dxa"/>
            <w:shd w:val="clear" w:color="auto" w:fill="auto"/>
          </w:tcPr>
          <w:p w14:paraId="6A85725E" w14:textId="77777777" w:rsidR="00676882" w:rsidRDefault="00676882" w:rsidP="00DF45FA">
            <w:pPr>
              <w:pStyle w:val="Tabletext"/>
            </w:pPr>
            <w:r w:rsidRPr="00CA2072">
              <w:t>184</w:t>
            </w:r>
            <w:r>
              <w:t>,</w:t>
            </w:r>
            <w:r w:rsidRPr="00CA2072">
              <w:t>501</w:t>
            </w:r>
          </w:p>
        </w:tc>
      </w:tr>
      <w:tr w:rsidR="00676882" w14:paraId="7CDE4C82" w14:textId="77777777" w:rsidTr="00DF45FA">
        <w:trPr>
          <w:gridBefore w:val="1"/>
          <w:wBefore w:w="454" w:type="dxa"/>
        </w:trPr>
        <w:tc>
          <w:tcPr>
            <w:tcW w:w="3968" w:type="dxa"/>
            <w:shd w:val="clear" w:color="auto" w:fill="auto"/>
          </w:tcPr>
          <w:p w14:paraId="2D542352" w14:textId="77777777" w:rsidR="00676882" w:rsidRDefault="00676882" w:rsidP="00DF45FA">
            <w:pPr>
              <w:pStyle w:val="Tabletext"/>
            </w:pPr>
            <w:r w:rsidRPr="00CA2072">
              <w:t>2027</w:t>
            </w:r>
          </w:p>
        </w:tc>
        <w:tc>
          <w:tcPr>
            <w:tcW w:w="3968" w:type="dxa"/>
            <w:shd w:val="clear" w:color="auto" w:fill="auto"/>
          </w:tcPr>
          <w:p w14:paraId="0FDBC341" w14:textId="77777777" w:rsidR="00676882" w:rsidRDefault="00676882" w:rsidP="00DF45FA">
            <w:pPr>
              <w:pStyle w:val="Tabletext"/>
            </w:pPr>
            <w:r w:rsidRPr="00CA2072">
              <w:t>187</w:t>
            </w:r>
            <w:r>
              <w:t>,</w:t>
            </w:r>
            <w:r w:rsidRPr="00CA2072">
              <w:t>673</w:t>
            </w:r>
          </w:p>
        </w:tc>
      </w:tr>
      <w:tr w:rsidR="00676882" w14:paraId="3064F7F6" w14:textId="77777777" w:rsidTr="00DF45FA">
        <w:trPr>
          <w:gridBefore w:val="1"/>
          <w:wBefore w:w="454" w:type="dxa"/>
        </w:trPr>
        <w:tc>
          <w:tcPr>
            <w:tcW w:w="3968" w:type="dxa"/>
            <w:shd w:val="clear" w:color="auto" w:fill="auto"/>
          </w:tcPr>
          <w:p w14:paraId="772A0465" w14:textId="77777777" w:rsidR="00676882" w:rsidRDefault="00676882" w:rsidP="00DF45FA">
            <w:pPr>
              <w:pStyle w:val="Tabletext"/>
            </w:pPr>
            <w:r w:rsidRPr="00CA2072">
              <w:t>2028</w:t>
            </w:r>
          </w:p>
        </w:tc>
        <w:tc>
          <w:tcPr>
            <w:tcW w:w="3968" w:type="dxa"/>
            <w:shd w:val="clear" w:color="auto" w:fill="auto"/>
          </w:tcPr>
          <w:p w14:paraId="21F7898F" w14:textId="77777777" w:rsidR="00676882" w:rsidRDefault="00676882" w:rsidP="00DF45FA">
            <w:pPr>
              <w:pStyle w:val="Tabletext"/>
            </w:pPr>
            <w:r w:rsidRPr="00CA2072">
              <w:t>190</w:t>
            </w:r>
            <w:r>
              <w:t>,</w:t>
            </w:r>
            <w:r w:rsidRPr="00CA2072">
              <w:t>865</w:t>
            </w:r>
          </w:p>
        </w:tc>
      </w:tr>
      <w:tr w:rsidR="00676882" w14:paraId="27C3332E" w14:textId="77777777" w:rsidTr="00DF45FA">
        <w:trPr>
          <w:gridBefore w:val="1"/>
          <w:wBefore w:w="454" w:type="dxa"/>
        </w:trPr>
        <w:tc>
          <w:tcPr>
            <w:tcW w:w="3968" w:type="dxa"/>
            <w:shd w:val="clear" w:color="auto" w:fill="auto"/>
          </w:tcPr>
          <w:p w14:paraId="2C895702" w14:textId="77777777" w:rsidR="00676882" w:rsidRDefault="00676882" w:rsidP="00DF45FA">
            <w:pPr>
              <w:pStyle w:val="Tabletext"/>
            </w:pPr>
            <w:r w:rsidRPr="00CA2072">
              <w:t>2029</w:t>
            </w:r>
          </w:p>
        </w:tc>
        <w:tc>
          <w:tcPr>
            <w:tcW w:w="3968" w:type="dxa"/>
            <w:shd w:val="clear" w:color="auto" w:fill="auto"/>
          </w:tcPr>
          <w:p w14:paraId="2BDBBBDF" w14:textId="77777777" w:rsidR="00676882" w:rsidRDefault="00676882" w:rsidP="00DF45FA">
            <w:pPr>
              <w:pStyle w:val="Tabletext"/>
            </w:pPr>
            <w:r w:rsidRPr="00CA2072">
              <w:t>194</w:t>
            </w:r>
            <w:r>
              <w:t>,</w:t>
            </w:r>
            <w:r w:rsidRPr="00CA2072">
              <w:t>076</w:t>
            </w:r>
          </w:p>
        </w:tc>
      </w:tr>
      <w:tr w:rsidR="00676882" w14:paraId="747EBD08" w14:textId="77777777" w:rsidTr="00DF45FA">
        <w:trPr>
          <w:gridBefore w:val="1"/>
          <w:wBefore w:w="454" w:type="dxa"/>
        </w:trPr>
        <w:tc>
          <w:tcPr>
            <w:tcW w:w="3968" w:type="dxa"/>
            <w:shd w:val="clear" w:color="auto" w:fill="auto"/>
          </w:tcPr>
          <w:p w14:paraId="068F2509" w14:textId="77777777" w:rsidR="00676882" w:rsidRDefault="00676882" w:rsidP="00DF45FA">
            <w:pPr>
              <w:pStyle w:val="Tabletext"/>
            </w:pPr>
            <w:r w:rsidRPr="00CA2072">
              <w:t>2030</w:t>
            </w:r>
          </w:p>
        </w:tc>
        <w:tc>
          <w:tcPr>
            <w:tcW w:w="3968" w:type="dxa"/>
            <w:shd w:val="clear" w:color="auto" w:fill="auto"/>
          </w:tcPr>
          <w:p w14:paraId="3C8C7C06" w14:textId="77777777" w:rsidR="00676882" w:rsidRDefault="00676882" w:rsidP="00DF45FA">
            <w:pPr>
              <w:pStyle w:val="Tabletext"/>
            </w:pPr>
            <w:r w:rsidRPr="00CA2072">
              <w:t>197</w:t>
            </w:r>
            <w:r>
              <w:t>,</w:t>
            </w:r>
            <w:r w:rsidRPr="00CA2072">
              <w:t>325</w:t>
            </w:r>
          </w:p>
        </w:tc>
      </w:tr>
      <w:tr w:rsidR="00676882" w14:paraId="7C9136E2" w14:textId="77777777" w:rsidTr="00DF45FA">
        <w:trPr>
          <w:gridBefore w:val="1"/>
          <w:wBefore w:w="454" w:type="dxa"/>
        </w:trPr>
        <w:tc>
          <w:tcPr>
            <w:tcW w:w="3968" w:type="dxa"/>
            <w:shd w:val="clear" w:color="auto" w:fill="auto"/>
          </w:tcPr>
          <w:p w14:paraId="3D26C75B" w14:textId="77777777" w:rsidR="00676882" w:rsidRDefault="00676882" w:rsidP="00DF45FA">
            <w:pPr>
              <w:pStyle w:val="Tabletext"/>
            </w:pPr>
            <w:r w:rsidRPr="00CA2072">
              <w:t>2031</w:t>
            </w:r>
          </w:p>
        </w:tc>
        <w:tc>
          <w:tcPr>
            <w:tcW w:w="3968" w:type="dxa"/>
            <w:shd w:val="clear" w:color="auto" w:fill="auto"/>
          </w:tcPr>
          <w:p w14:paraId="13BAB3D2" w14:textId="77777777" w:rsidR="00676882" w:rsidRDefault="00676882" w:rsidP="00DF45FA">
            <w:pPr>
              <w:pStyle w:val="Tabletext"/>
            </w:pPr>
            <w:r w:rsidRPr="00CA2072">
              <w:t>200</w:t>
            </w:r>
            <w:r>
              <w:t>,</w:t>
            </w:r>
            <w:r w:rsidRPr="00CA2072">
              <w:t>585</w:t>
            </w:r>
          </w:p>
        </w:tc>
      </w:tr>
      <w:tr w:rsidR="00676882" w14:paraId="71A07473" w14:textId="77777777" w:rsidTr="00DF45FA">
        <w:trPr>
          <w:gridBefore w:val="1"/>
          <w:wBefore w:w="454" w:type="dxa"/>
        </w:trPr>
        <w:tc>
          <w:tcPr>
            <w:tcW w:w="3968" w:type="dxa"/>
            <w:shd w:val="clear" w:color="auto" w:fill="auto"/>
          </w:tcPr>
          <w:p w14:paraId="69F373C3" w14:textId="77777777" w:rsidR="00676882" w:rsidRDefault="00676882" w:rsidP="00DF45FA">
            <w:pPr>
              <w:pStyle w:val="Tabletext"/>
            </w:pPr>
            <w:r w:rsidRPr="00CA2072">
              <w:t>2032</w:t>
            </w:r>
          </w:p>
        </w:tc>
        <w:tc>
          <w:tcPr>
            <w:tcW w:w="3968" w:type="dxa"/>
            <w:shd w:val="clear" w:color="auto" w:fill="auto"/>
          </w:tcPr>
          <w:p w14:paraId="3BACDCD4" w14:textId="77777777" w:rsidR="00676882" w:rsidRDefault="00676882" w:rsidP="00DF45FA">
            <w:pPr>
              <w:pStyle w:val="Tabletext"/>
            </w:pPr>
            <w:r w:rsidRPr="00CA2072">
              <w:t>203</w:t>
            </w:r>
            <w:r>
              <w:t>,</w:t>
            </w:r>
            <w:r w:rsidRPr="00CA2072">
              <w:t>816</w:t>
            </w:r>
          </w:p>
        </w:tc>
      </w:tr>
      <w:tr w:rsidR="00676882" w14:paraId="572D3D1F" w14:textId="77777777" w:rsidTr="00DF45FA">
        <w:trPr>
          <w:gridBefore w:val="1"/>
          <w:wBefore w:w="454" w:type="dxa"/>
        </w:trPr>
        <w:tc>
          <w:tcPr>
            <w:tcW w:w="3968" w:type="dxa"/>
            <w:shd w:val="clear" w:color="auto" w:fill="auto"/>
          </w:tcPr>
          <w:p w14:paraId="33A04BE6" w14:textId="77777777" w:rsidR="00676882" w:rsidRDefault="00676882" w:rsidP="00DF45FA">
            <w:pPr>
              <w:pStyle w:val="Tabletext"/>
            </w:pPr>
            <w:r w:rsidRPr="00CA2072">
              <w:t>2033</w:t>
            </w:r>
          </w:p>
        </w:tc>
        <w:tc>
          <w:tcPr>
            <w:tcW w:w="3968" w:type="dxa"/>
            <w:shd w:val="clear" w:color="auto" w:fill="auto"/>
          </w:tcPr>
          <w:p w14:paraId="278C9497" w14:textId="77777777" w:rsidR="00676882" w:rsidRDefault="00676882" w:rsidP="00DF45FA">
            <w:pPr>
              <w:pStyle w:val="Tabletext"/>
            </w:pPr>
            <w:r w:rsidRPr="00CA2072">
              <w:t>207</w:t>
            </w:r>
            <w:r>
              <w:t>,</w:t>
            </w:r>
            <w:r w:rsidRPr="00CA2072">
              <w:t>069</w:t>
            </w:r>
          </w:p>
        </w:tc>
      </w:tr>
      <w:tr w:rsidR="00676882" w14:paraId="227DF0D2" w14:textId="77777777" w:rsidTr="00DF45FA">
        <w:trPr>
          <w:gridBefore w:val="1"/>
          <w:wBefore w:w="454" w:type="dxa"/>
        </w:trPr>
        <w:tc>
          <w:tcPr>
            <w:tcW w:w="3968" w:type="dxa"/>
            <w:shd w:val="clear" w:color="auto" w:fill="auto"/>
          </w:tcPr>
          <w:p w14:paraId="7D8EA70C" w14:textId="77777777" w:rsidR="00676882" w:rsidRDefault="00676882" w:rsidP="00DF45FA">
            <w:pPr>
              <w:pStyle w:val="Tabletext"/>
            </w:pPr>
            <w:r w:rsidRPr="00CA2072">
              <w:t>2034</w:t>
            </w:r>
          </w:p>
        </w:tc>
        <w:tc>
          <w:tcPr>
            <w:tcW w:w="3968" w:type="dxa"/>
            <w:shd w:val="clear" w:color="auto" w:fill="auto"/>
          </w:tcPr>
          <w:p w14:paraId="64AB80ED" w14:textId="77777777" w:rsidR="00676882" w:rsidRDefault="00676882" w:rsidP="00DF45FA">
            <w:pPr>
              <w:pStyle w:val="Tabletext"/>
            </w:pPr>
            <w:r w:rsidRPr="00CA2072">
              <w:t>210</w:t>
            </w:r>
            <w:r>
              <w:t>,</w:t>
            </w:r>
            <w:r w:rsidRPr="00CA2072">
              <w:t>324</w:t>
            </w:r>
          </w:p>
        </w:tc>
      </w:tr>
      <w:tr w:rsidR="00676882" w14:paraId="43F50463" w14:textId="77777777" w:rsidTr="00DF45FA">
        <w:trPr>
          <w:gridBefore w:val="1"/>
          <w:wBefore w:w="454" w:type="dxa"/>
        </w:trPr>
        <w:tc>
          <w:tcPr>
            <w:tcW w:w="3968" w:type="dxa"/>
            <w:shd w:val="clear" w:color="auto" w:fill="auto"/>
          </w:tcPr>
          <w:p w14:paraId="548C7145" w14:textId="77777777" w:rsidR="00676882" w:rsidRDefault="00676882" w:rsidP="00DF45FA">
            <w:pPr>
              <w:pStyle w:val="Tabletext"/>
            </w:pPr>
            <w:r w:rsidRPr="00CA2072">
              <w:t>2035</w:t>
            </w:r>
          </w:p>
        </w:tc>
        <w:tc>
          <w:tcPr>
            <w:tcW w:w="3968" w:type="dxa"/>
            <w:shd w:val="clear" w:color="auto" w:fill="auto"/>
          </w:tcPr>
          <w:p w14:paraId="2AE23AC3" w14:textId="77777777" w:rsidR="00676882" w:rsidRDefault="00676882" w:rsidP="00DF45FA">
            <w:pPr>
              <w:pStyle w:val="Tabletext"/>
            </w:pPr>
            <w:r w:rsidRPr="00CA2072">
              <w:t>213</w:t>
            </w:r>
            <w:r>
              <w:t>,</w:t>
            </w:r>
            <w:r w:rsidRPr="00CA2072">
              <w:t>589</w:t>
            </w:r>
          </w:p>
        </w:tc>
      </w:tr>
      <w:tr w:rsidR="00676882" w14:paraId="48A8889D" w14:textId="77777777" w:rsidTr="00DF45FA">
        <w:trPr>
          <w:gridBefore w:val="1"/>
          <w:wBefore w:w="454" w:type="dxa"/>
        </w:trPr>
        <w:tc>
          <w:tcPr>
            <w:tcW w:w="7936" w:type="dxa"/>
            <w:gridSpan w:val="2"/>
            <w:tcBorders>
              <w:bottom w:val="single" w:sz="4" w:space="0" w:color="646464"/>
            </w:tcBorders>
            <w:shd w:val="clear" w:color="auto" w:fill="auto"/>
          </w:tcPr>
          <w:p w14:paraId="29B610A0" w14:textId="77777777" w:rsidR="00676882" w:rsidRDefault="00676882" w:rsidP="00DF45FA">
            <w:pPr>
              <w:pStyle w:val="Source"/>
            </w:pPr>
            <w:r>
              <w:t>Source: Energy Efficient Strategies</w:t>
            </w:r>
          </w:p>
        </w:tc>
      </w:tr>
      <w:tr w:rsidR="00676882" w14:paraId="512EAAB7" w14:textId="77777777" w:rsidTr="00DF45FA">
        <w:trPr>
          <w:gridBefore w:val="1"/>
          <w:wBefore w:w="454" w:type="dxa"/>
          <w:trHeight w:hRule="exact" w:val="160"/>
        </w:trPr>
        <w:tc>
          <w:tcPr>
            <w:tcW w:w="7936" w:type="dxa"/>
            <w:gridSpan w:val="2"/>
            <w:tcBorders>
              <w:top w:val="single" w:sz="4" w:space="0" w:color="646464"/>
              <w:bottom w:val="nil"/>
            </w:tcBorders>
            <w:shd w:val="clear" w:color="auto" w:fill="auto"/>
          </w:tcPr>
          <w:p w14:paraId="048DDB9C" w14:textId="77777777" w:rsidR="00676882" w:rsidRDefault="00676882" w:rsidP="00DF45FA">
            <w:pPr>
              <w:pStyle w:val="spacer"/>
            </w:pPr>
          </w:p>
        </w:tc>
      </w:tr>
    </w:tbl>
    <w:p w14:paraId="06580D6B" w14:textId="77777777" w:rsidR="00676882" w:rsidRDefault="00676882" w:rsidP="00676882">
      <w:pPr>
        <w:pStyle w:val="BodyText"/>
        <w:rPr>
          <w:rFonts w:asciiTheme="minorHAnsi" w:hAnsiTheme="minorHAnsi" w:cstheme="minorBidi"/>
        </w:rPr>
      </w:pPr>
      <w:r>
        <w:t>Census data was used to split the stock into NCC Class 1 and Class 2 components.</w:t>
      </w:r>
      <w:r>
        <w:rPr>
          <w:rStyle w:val="FootnoteReference"/>
        </w:rPr>
        <w:footnoteReference w:id="28"/>
      </w:r>
      <w:r>
        <w:t xml:space="preserve"> In 2020 the split was approximately 85 per cent Class 1 and 15 per cent Class 2. However, because more than 45 per cent of all newly built housing in the ACT is now Class 2 (based on ABS approvals data – this is however expected to decline in coming years) the proportion of the stock that is class 2 is </w:t>
      </w:r>
      <w:r>
        <w:lastRenderedPageBreak/>
        <w:t>expected to rise over the coming years to approximately 23 per cent by 2035. This trend is however not expected to impact significantly on the regulatory outcomes as noted earlier the regulations are not expected to impact newly built stock.</w:t>
      </w:r>
    </w:p>
    <w:p w14:paraId="7B077AAA" w14:textId="77777777" w:rsidR="00676882" w:rsidRDefault="00676882" w:rsidP="00676882">
      <w:pPr>
        <w:pStyle w:val="BodyText"/>
      </w:pPr>
      <w:r>
        <w:t>ABS data was also used to determine the split between rental and non-rental housing stock.</w:t>
      </w:r>
      <w:r>
        <w:rPr>
          <w:rStyle w:val="FootnoteReference"/>
        </w:rPr>
        <w:footnoteReference w:id="29"/>
      </w:r>
      <w:r>
        <w:t xml:space="preserve"> The split was found to be almost exactly one-third rental and two-thirds non rental. There was no readily available disaggregation by class of dwelling, so this split was assumed to apply equally to both Class 1 and Class 2 dwellings.</w:t>
      </w:r>
    </w:p>
    <w:p w14:paraId="68F9BFD2" w14:textId="77777777" w:rsidR="00676882" w:rsidRDefault="00676882" w:rsidP="00676882">
      <w:pPr>
        <w:pStyle w:val="BodyText"/>
      </w:pPr>
      <w:r>
        <w:t>In the rental market, the split between social and non-social housing was derived from Housing Assistance in Australia (The Australian Institute of Health and Welfare - June 2020). Social housing represented 23.27 per cent of all rental housing. A split between Class 1 and Class 2 dwellings was provided by Housing ACT, Community Services Directorate with 52.7 per cent being Class 1 and 47.3per cent Class 2.</w:t>
      </w:r>
    </w:p>
    <w:p w14:paraId="5040C310" w14:textId="77777777" w:rsidR="00676882" w:rsidRDefault="00676882" w:rsidP="00676882">
      <w:pPr>
        <w:pStyle w:val="BodyText"/>
      </w:pPr>
      <w:r>
        <w:t xml:space="preserve">For 2020 the profile of the ACT Housing stock is represented in </w:t>
      </w:r>
      <w:r w:rsidRPr="009E4AB1">
        <w:fldChar w:fldCharType="begin"/>
      </w:r>
      <w:r w:rsidRPr="009E4AB1">
        <w:instrText xml:space="preserve"> REF _Ref76304786 \h  \* MERGEFORMAT </w:instrText>
      </w:r>
      <w:r w:rsidRPr="009E4AB1">
        <w:fldChar w:fldCharType="separate"/>
      </w:r>
      <w:r w:rsidRPr="00F32FCC">
        <w:t>Figure C.2</w:t>
      </w:r>
      <w:r w:rsidRPr="009E4AB1">
        <w:fldChar w:fldCharType="end"/>
      </w:r>
      <w:r>
        <w:t>.</w:t>
      </w:r>
    </w:p>
    <w:p w14:paraId="5F882C9B" w14:textId="77777777" w:rsidR="00676882" w:rsidRDefault="00676882" w:rsidP="00676882">
      <w:pPr>
        <w:pStyle w:val="BodyText"/>
      </w:pPr>
      <w:bookmarkStart w:id="430" w:name="_Ref76304786"/>
      <w:bookmarkStart w:id="431" w:name="_Toc80719292"/>
      <w:r w:rsidRPr="00020982">
        <w:rPr>
          <w:rStyle w:val="CaptionLabel"/>
        </w:rPr>
        <w:t>Figure </w:t>
      </w:r>
      <w:r w:rsidRPr="00020982">
        <w:rPr>
          <w:rStyle w:val="CaptionLabel"/>
        </w:rPr>
        <w:fldChar w:fldCharType="begin"/>
      </w:r>
      <w:r w:rsidRPr="00020982">
        <w:rPr>
          <w:rStyle w:val="CaptionLabel"/>
        </w:rPr>
        <w:instrText xml:space="preserve"> STYLEREF 9 \S \* MERGEFORMAT </w:instrText>
      </w:r>
      <w:r w:rsidRPr="00020982">
        <w:rPr>
          <w:rStyle w:val="CaptionLabel"/>
        </w:rPr>
        <w:fldChar w:fldCharType="separate"/>
      </w:r>
      <w:r>
        <w:rPr>
          <w:rStyle w:val="CaptionLabel"/>
          <w:noProof/>
        </w:rPr>
        <w:t>C</w:t>
      </w:r>
      <w:r w:rsidRPr="00020982">
        <w:rPr>
          <w:rStyle w:val="CaptionLabel"/>
        </w:rPr>
        <w:fldChar w:fldCharType="end"/>
      </w:r>
      <w:r w:rsidRPr="00020982">
        <w:rPr>
          <w:rStyle w:val="CaptionLabel"/>
        </w:rPr>
        <w:t>.</w:t>
      </w:r>
      <w:r w:rsidRPr="00020982">
        <w:rPr>
          <w:rStyle w:val="CaptionLabel"/>
        </w:rPr>
        <w:fldChar w:fldCharType="begin"/>
      </w:r>
      <w:r w:rsidRPr="00020982">
        <w:rPr>
          <w:rStyle w:val="CaptionLabel"/>
        </w:rPr>
        <w:instrText xml:space="preserve"> SEQ Figure_AP \* ARABIC \S 9 \* MERGEFORMAT </w:instrText>
      </w:r>
      <w:r w:rsidRPr="00020982">
        <w:rPr>
          <w:rStyle w:val="CaptionLabel"/>
        </w:rPr>
        <w:fldChar w:fldCharType="separate"/>
      </w:r>
      <w:r>
        <w:rPr>
          <w:rStyle w:val="CaptionLabel"/>
          <w:noProof/>
        </w:rPr>
        <w:t>2</w:t>
      </w:r>
      <w:r w:rsidRPr="00020982">
        <w:rPr>
          <w:rStyle w:val="CaptionLabel"/>
        </w:rPr>
        <w:fldChar w:fldCharType="end"/>
      </w:r>
      <w:bookmarkEnd w:id="430"/>
      <w:r>
        <w:tab/>
        <w:t>ACT Housing stock profile, 2020</w:t>
      </w:r>
      <w:bookmarkEnd w:id="431"/>
    </w:p>
    <w:p w14:paraId="06241074" w14:textId="77777777" w:rsidR="00676882" w:rsidRDefault="00676882" w:rsidP="00676882">
      <w:pPr>
        <w:pStyle w:val="BodyText"/>
        <w:spacing w:after="0" w:line="0" w:lineRule="atLeast"/>
      </w:pPr>
      <w:r>
        <w:rPr>
          <w:noProof/>
        </w:rPr>
        <w:drawing>
          <wp:inline distT="0" distB="0" distL="0" distR="0" wp14:anchorId="439479B0" wp14:editId="320D1C6C">
            <wp:extent cx="5039360" cy="2144584"/>
            <wp:effectExtent l="0" t="0" r="8890" b="8255"/>
            <wp:docPr id="614" name="Picture 614" descr="A breakdown of the housing stock, with two-thirds of properties being non-rental, then a quarter being Class 1 non-social, with the remaining being Class 2 social, Class 2 non-social and Class 2 social in order of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Picture 614" descr="A breakdown of the housing stock, with two-thirds of properties being non-rental, then a quarter being Class 1 non-social, with the remaining being Class 2 social, Class 2 non-social and Class 2 social in order of size."/>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5039360" cy="2144584"/>
                    </a:xfrm>
                    <a:prstGeom prst="rect">
                      <a:avLst/>
                    </a:prstGeom>
                    <a:noFill/>
                  </pic:spPr>
                </pic:pic>
              </a:graphicData>
            </a:graphic>
          </wp:inline>
        </w:drawing>
      </w:r>
    </w:p>
    <w:p w14:paraId="3097D2F6" w14:textId="77777777" w:rsidR="00676882" w:rsidRPr="00023FD2" w:rsidRDefault="00676882" w:rsidP="00676882">
      <w:pPr>
        <w:pStyle w:val="BodyText"/>
        <w:spacing w:after="0" w:line="0" w:lineRule="atLeast"/>
        <w:rPr>
          <w:i/>
          <w:iCs/>
          <w:sz w:val="16"/>
          <w:szCs w:val="16"/>
        </w:rPr>
      </w:pPr>
      <w:r w:rsidRPr="00023FD2">
        <w:rPr>
          <w:i/>
          <w:iCs/>
          <w:sz w:val="16"/>
          <w:szCs w:val="16"/>
        </w:rPr>
        <w:t>Source: Energy Efficient Strategies</w:t>
      </w:r>
    </w:p>
    <w:p w14:paraId="4B84F046" w14:textId="77777777" w:rsidR="00676882" w:rsidRDefault="00676882" w:rsidP="00676882">
      <w:pPr>
        <w:pStyle w:val="Heading2AP"/>
      </w:pPr>
      <w:bookmarkStart w:id="432" w:name="_Ref76305970"/>
      <w:bookmarkStart w:id="433" w:name="_Toc80712621"/>
      <w:r>
        <w:t>Insulation upgrades</w:t>
      </w:r>
      <w:bookmarkEnd w:id="432"/>
      <w:bookmarkEnd w:id="433"/>
    </w:p>
    <w:p w14:paraId="46027D27" w14:textId="77777777" w:rsidR="00676882" w:rsidRDefault="00676882" w:rsidP="00676882">
      <w:pPr>
        <w:pStyle w:val="Heading3AP"/>
      </w:pPr>
      <w:r>
        <w:t>Overview</w:t>
      </w:r>
    </w:p>
    <w:p w14:paraId="68882532" w14:textId="77777777" w:rsidR="00676882" w:rsidRDefault="00676882" w:rsidP="00676882">
      <w:pPr>
        <w:pStyle w:val="BodyText"/>
      </w:pPr>
      <w:r>
        <w:t>Two regulatory options were modelled in relation to ceiling insulation:</w:t>
      </w:r>
    </w:p>
    <w:p w14:paraId="4A07DBCF" w14:textId="77777777" w:rsidR="00676882" w:rsidRDefault="00676882" w:rsidP="00676882">
      <w:pPr>
        <w:pStyle w:val="ListBullet"/>
      </w:pPr>
      <w:r>
        <w:t>Option A: Rental homes with less than R2 ceiling insulation are required to install/upgrade to a minimum of R3 with a phase in period.</w:t>
      </w:r>
    </w:p>
    <w:p w14:paraId="2A887C93" w14:textId="77777777" w:rsidR="00676882" w:rsidRDefault="00676882" w:rsidP="00676882">
      <w:pPr>
        <w:pStyle w:val="ListBullet"/>
      </w:pPr>
      <w:r>
        <w:t>Option B: Rental homes with less than R2 ceiling insulation are required to install/upgrade to a minimum of R5 (or maximum possible where R5 is not possible) with a phase in period.</w:t>
      </w:r>
    </w:p>
    <w:p w14:paraId="511FEE37" w14:textId="77777777" w:rsidR="00676882" w:rsidRDefault="00676882" w:rsidP="00676882">
      <w:pPr>
        <w:pStyle w:val="BodyText"/>
      </w:pPr>
      <w:r>
        <w:t xml:space="preserve">In </w:t>
      </w:r>
      <w:proofErr w:type="gramStart"/>
      <w:r>
        <w:t>both of these</w:t>
      </w:r>
      <w:proofErr w:type="gramEnd"/>
      <w:r>
        <w:t xml:space="preserve"> options there are potentially two types of base case that exhibit significantly differing performance characteristics. There are those dwellings with no pre-existing ceiling insulation whatsoever and those that have some insulation but less than R2 (</w:t>
      </w:r>
      <w:proofErr w:type="gramStart"/>
      <w:r>
        <w:t>i.e.</w:t>
      </w:r>
      <w:proofErr w:type="gramEnd"/>
      <w:r>
        <w:t xml:space="preserve"> sub-optimal insulation). Those with no pre-existing insulation whatsoever will gain the most significant performance boost as a result of the retrofit of ceiling insulation. This cohort is however significantly smaller than the sub-optimal cohort that will achieve a lesser performance gain compared to the no pre-existing insulation cohort.</w:t>
      </w:r>
    </w:p>
    <w:p w14:paraId="51029383" w14:textId="77777777" w:rsidR="00676882" w:rsidRDefault="00676882" w:rsidP="00676882">
      <w:pPr>
        <w:pStyle w:val="BodyText"/>
      </w:pPr>
      <w:r>
        <w:lastRenderedPageBreak/>
        <w:t>For the analysis it was estimated based on professional judgement that 90 per cent of Class 1 dwellings with less than R2 ceiling insulation would be practical to insulate and that 25 per cent of Class 2 dwellings with less than R2 ceiling insulation would be practical to insulate (noting that only apartments on the uppermost level of a block of apartments need to be insulated). These assumed limits of practicality can easily be adjusted in the model if required.</w:t>
      </w:r>
    </w:p>
    <w:p w14:paraId="6AE1F921" w14:textId="77777777" w:rsidR="00676882" w:rsidRDefault="00676882" w:rsidP="00676882">
      <w:pPr>
        <w:pStyle w:val="Heading3AP"/>
      </w:pPr>
      <w:r>
        <w:t>Stock categorisation</w:t>
      </w:r>
    </w:p>
    <w:p w14:paraId="7A1F6072" w14:textId="77777777" w:rsidR="00676882" w:rsidRDefault="00676882" w:rsidP="00676882">
      <w:pPr>
        <w:pStyle w:val="BodyTextIndent"/>
        <w:ind w:left="0"/>
        <w:rPr>
          <w:rFonts w:asciiTheme="minorHAnsi" w:hAnsiTheme="minorHAnsi" w:cstheme="minorBidi"/>
        </w:rPr>
      </w:pPr>
      <w:r>
        <w:t>As noted in the previous section, for the purposes of insulation retrofitting the housing stock was divided into 5 categories or cohorts as follows:</w:t>
      </w:r>
    </w:p>
    <w:p w14:paraId="20C3E030" w14:textId="77777777" w:rsidR="00676882" w:rsidRDefault="00676882" w:rsidP="00676882">
      <w:pPr>
        <w:pStyle w:val="ListNumber"/>
        <w:numPr>
          <w:ilvl w:val="0"/>
          <w:numId w:val="57"/>
        </w:numPr>
      </w:pPr>
      <w:r>
        <w:t>R0 - Pre 1992 (applies to part of the stock built before insulation regulations came into force)</w:t>
      </w:r>
    </w:p>
    <w:p w14:paraId="157C6523" w14:textId="77777777" w:rsidR="00676882" w:rsidRDefault="00676882" w:rsidP="00676882">
      <w:pPr>
        <w:pStyle w:val="ListNumber"/>
      </w:pPr>
      <w:r>
        <w:t>0&lt;R&lt;2 - Pre 1997 (applies to part of the stock built before ACTHERS came into force)</w:t>
      </w:r>
    </w:p>
    <w:p w14:paraId="60409F11" w14:textId="77777777" w:rsidR="00676882" w:rsidRDefault="00676882" w:rsidP="00676882">
      <w:pPr>
        <w:pStyle w:val="ListNumber"/>
      </w:pPr>
      <w:r>
        <w:t>R3 - 1997 – 2005 (Estimate of average level of insulation applied under ACTHERS – 4 Star requirement)</w:t>
      </w:r>
    </w:p>
    <w:p w14:paraId="2A234796" w14:textId="77777777" w:rsidR="00676882" w:rsidRDefault="00676882" w:rsidP="00676882">
      <w:pPr>
        <w:pStyle w:val="ListNumber"/>
      </w:pPr>
      <w:r>
        <w:t>R4 - 2006-2009 (Estimate of average level of insulation applied under NCC – 5 Star requirement)</w:t>
      </w:r>
    </w:p>
    <w:p w14:paraId="267E1B5D" w14:textId="77777777" w:rsidR="00676882" w:rsidRDefault="00676882" w:rsidP="00676882">
      <w:pPr>
        <w:pStyle w:val="ListNumber"/>
      </w:pPr>
      <w:r>
        <w:t>R5 - 2010-2021 (Estimate of average level of insulation applied under NCC – 6 Star requirement).</w:t>
      </w:r>
    </w:p>
    <w:p w14:paraId="4EEC7868" w14:textId="77777777" w:rsidR="00676882" w:rsidRDefault="00676882" w:rsidP="00676882">
      <w:pPr>
        <w:pStyle w:val="BodyText"/>
      </w:pPr>
      <w:r>
        <w:t>Upgraded stock was drawn from the first 2 cohorts and was upgraded (transferred) to either R3 (third cohort) or R5 (fifth cohort).</w:t>
      </w:r>
    </w:p>
    <w:p w14:paraId="60D3FB68" w14:textId="77777777" w:rsidR="00676882" w:rsidRDefault="00676882" w:rsidP="00676882">
      <w:pPr>
        <w:pStyle w:val="Heading3AP"/>
      </w:pPr>
      <w:r>
        <w:t>Stock profile</w:t>
      </w:r>
    </w:p>
    <w:p w14:paraId="3F60A584" w14:textId="77777777" w:rsidR="00676882" w:rsidRDefault="00676882" w:rsidP="00676882">
      <w:pPr>
        <w:pStyle w:val="BodyText"/>
      </w:pPr>
      <w:r w:rsidRPr="00BB7857">
        <w:t>A</w:t>
      </w:r>
      <w:r>
        <w:t xml:space="preserve"> </w:t>
      </w:r>
      <w:r w:rsidRPr="00BB7857">
        <w:t>profile</w:t>
      </w:r>
      <w:r>
        <w:t xml:space="preserve"> </w:t>
      </w:r>
      <w:r w:rsidRPr="00BB7857">
        <w:t>of</w:t>
      </w:r>
      <w:r>
        <w:t xml:space="preserve"> </w:t>
      </w:r>
      <w:r w:rsidRPr="00BB7857">
        <w:t>the</w:t>
      </w:r>
      <w:r>
        <w:t xml:space="preserve"> </w:t>
      </w:r>
      <w:r w:rsidRPr="00BB7857">
        <w:t>stock</w:t>
      </w:r>
      <w:r>
        <w:t xml:space="preserve"> </w:t>
      </w:r>
      <w:r w:rsidRPr="00BB7857">
        <w:t>in</w:t>
      </w:r>
      <w:r>
        <w:t xml:space="preserve"> </w:t>
      </w:r>
      <w:r w:rsidRPr="00BB7857">
        <w:t>terms</w:t>
      </w:r>
      <w:r>
        <w:t xml:space="preserve"> </w:t>
      </w:r>
      <w:r w:rsidRPr="00BB7857">
        <w:t>of</w:t>
      </w:r>
      <w:r>
        <w:t xml:space="preserve"> </w:t>
      </w:r>
      <w:r w:rsidRPr="00BB7857">
        <w:t>the</w:t>
      </w:r>
      <w:r>
        <w:t xml:space="preserve"> </w:t>
      </w:r>
      <w:r w:rsidRPr="00BB7857">
        <w:t>cohorts</w:t>
      </w:r>
      <w:r>
        <w:t xml:space="preserve"> </w:t>
      </w:r>
      <w:r w:rsidRPr="00BB7857">
        <w:t>note</w:t>
      </w:r>
      <w:r>
        <w:t xml:space="preserve">d </w:t>
      </w:r>
      <w:r w:rsidRPr="00BB7857">
        <w:t>in</w:t>
      </w:r>
      <w:r>
        <w:t xml:space="preserve"> </w:t>
      </w:r>
      <w:r w:rsidRPr="00BB7857">
        <w:t>the</w:t>
      </w:r>
      <w:r>
        <w:t xml:space="preserve"> </w:t>
      </w:r>
      <w:r w:rsidRPr="00BB7857">
        <w:t>previous</w:t>
      </w:r>
      <w:r>
        <w:t xml:space="preserve"> </w:t>
      </w:r>
      <w:r w:rsidRPr="00BB7857">
        <w:t>section</w:t>
      </w:r>
      <w:r>
        <w:t xml:space="preserve"> </w:t>
      </w:r>
      <w:r w:rsidRPr="00BB7857">
        <w:t>was</w:t>
      </w:r>
      <w:r>
        <w:t xml:space="preserve"> </w:t>
      </w:r>
      <w:r w:rsidRPr="00BB7857">
        <w:t>developed</w:t>
      </w:r>
      <w:r>
        <w:t xml:space="preserve"> </w:t>
      </w:r>
      <w:r w:rsidRPr="00BB7857">
        <w:t>based</w:t>
      </w:r>
      <w:r>
        <w:t xml:space="preserve"> </w:t>
      </w:r>
      <w:r w:rsidRPr="00BB7857">
        <w:t>on</w:t>
      </w:r>
      <w:r>
        <w:t xml:space="preserve"> </w:t>
      </w:r>
      <w:r w:rsidRPr="00BB7857">
        <w:t>stock</w:t>
      </w:r>
      <w:r>
        <w:t xml:space="preserve"> </w:t>
      </w:r>
      <w:r w:rsidRPr="00BB7857">
        <w:t>age</w:t>
      </w:r>
      <w:r>
        <w:t xml:space="preserve"> </w:t>
      </w:r>
      <w:r w:rsidRPr="00BB7857">
        <w:t>profiling</w:t>
      </w:r>
      <w:r>
        <w:t xml:space="preserve"> </w:t>
      </w:r>
      <w:r w:rsidRPr="00BB7857">
        <w:t>in</w:t>
      </w:r>
      <w:r>
        <w:t xml:space="preserve"> </w:t>
      </w:r>
      <w:r w:rsidRPr="00BB7857">
        <w:t>the</w:t>
      </w:r>
      <w:r>
        <w:t xml:space="preserve"> </w:t>
      </w:r>
      <w:r w:rsidRPr="00BB7857">
        <w:t>ACT</w:t>
      </w:r>
      <w:r>
        <w:t xml:space="preserve"> </w:t>
      </w:r>
      <w:r w:rsidRPr="00BB7857">
        <w:t>undertaken</w:t>
      </w:r>
      <w:r>
        <w:t xml:space="preserve"> </w:t>
      </w:r>
      <w:r w:rsidRPr="00BB7857">
        <w:t>for</w:t>
      </w:r>
      <w:r>
        <w:t xml:space="preserve"> </w:t>
      </w:r>
      <w:r w:rsidRPr="00BB7857">
        <w:t>the</w:t>
      </w:r>
      <w:r>
        <w:t xml:space="preserve"> </w:t>
      </w:r>
      <w:r w:rsidRPr="00BB7857">
        <w:t>Victorian</w:t>
      </w:r>
      <w:r>
        <w:t xml:space="preserve"> </w:t>
      </w:r>
      <w:r w:rsidRPr="00BB7857">
        <w:t>Scorecard</w:t>
      </w:r>
      <w:r>
        <w:t xml:space="preserve"> </w:t>
      </w:r>
      <w:r w:rsidRPr="00BB7857">
        <w:t>project</w:t>
      </w:r>
      <w:r>
        <w:t xml:space="preserve"> </w:t>
      </w:r>
      <w:r w:rsidRPr="00BB7857">
        <w:t>that</w:t>
      </w:r>
      <w:r>
        <w:t xml:space="preserve"> </w:t>
      </w:r>
      <w:r w:rsidRPr="00BB7857">
        <w:t>utilised</w:t>
      </w:r>
      <w:r>
        <w:t xml:space="preserve"> </w:t>
      </w:r>
      <w:r w:rsidRPr="00BB7857">
        <w:t>ABS</w:t>
      </w:r>
      <w:r>
        <w:t xml:space="preserve"> </w:t>
      </w:r>
      <w:r w:rsidRPr="00BB7857">
        <w:t>stock</w:t>
      </w:r>
      <w:r>
        <w:t xml:space="preserve"> </w:t>
      </w:r>
      <w:r w:rsidRPr="00BB7857">
        <w:t>age</w:t>
      </w:r>
      <w:r>
        <w:t xml:space="preserve"> </w:t>
      </w:r>
      <w:r w:rsidRPr="00BB7857">
        <w:t>profiling</w:t>
      </w:r>
      <w:r>
        <w:t xml:space="preserve"> </w:t>
      </w:r>
      <w:r w:rsidRPr="00BB7857">
        <w:t>from</w:t>
      </w:r>
      <w:r>
        <w:t xml:space="preserve"> </w:t>
      </w:r>
      <w:r w:rsidRPr="00BB7857">
        <w:t>ABS</w:t>
      </w:r>
      <w:r>
        <w:t xml:space="preserve"> </w:t>
      </w:r>
      <w:r w:rsidRPr="00BB7857">
        <w:t>4182: 1999</w:t>
      </w:r>
      <w:r>
        <w:t xml:space="preserve"> </w:t>
      </w:r>
      <w:r w:rsidRPr="00BB7857">
        <w:t>as</w:t>
      </w:r>
      <w:r>
        <w:t xml:space="preserve"> </w:t>
      </w:r>
      <w:r w:rsidRPr="00BB7857">
        <w:t>well</w:t>
      </w:r>
      <w:r>
        <w:t xml:space="preserve"> </w:t>
      </w:r>
      <w:r w:rsidRPr="00BB7857">
        <w:t>as</w:t>
      </w:r>
      <w:r>
        <w:t xml:space="preserve"> </w:t>
      </w:r>
      <w:r w:rsidRPr="00BB7857">
        <w:t>stock</w:t>
      </w:r>
      <w:r>
        <w:t xml:space="preserve"> </w:t>
      </w:r>
      <w:r w:rsidRPr="00BB7857">
        <w:t>number</w:t>
      </w:r>
      <w:r>
        <w:t xml:space="preserve"> </w:t>
      </w:r>
      <w:r w:rsidRPr="00BB7857">
        <w:t>profiling</w:t>
      </w:r>
      <w:r>
        <w:t xml:space="preserve"> </w:t>
      </w:r>
      <w:r w:rsidRPr="00BB7857">
        <w:t>from</w:t>
      </w:r>
      <w:r>
        <w:t xml:space="preserve"> </w:t>
      </w:r>
      <w:r w:rsidRPr="00BB7857">
        <w:t>the</w:t>
      </w:r>
      <w:r>
        <w:t xml:space="preserve"> </w:t>
      </w:r>
      <w:r w:rsidRPr="00BB7857">
        <w:t>study</w:t>
      </w:r>
      <w:r>
        <w:t xml:space="preserve"> </w:t>
      </w:r>
      <w:r w:rsidRPr="00BB7857">
        <w:t>Energy</w:t>
      </w:r>
      <w:r>
        <w:t xml:space="preserve"> </w:t>
      </w:r>
      <w:r w:rsidRPr="00BB7857">
        <w:t>Use</w:t>
      </w:r>
      <w:r>
        <w:t xml:space="preserve"> </w:t>
      </w:r>
      <w:r w:rsidRPr="00BB7857">
        <w:t>in</w:t>
      </w:r>
      <w:r>
        <w:t xml:space="preserve"> </w:t>
      </w:r>
      <w:r w:rsidRPr="00BB7857">
        <w:t>the</w:t>
      </w:r>
      <w:r>
        <w:t xml:space="preserve"> </w:t>
      </w:r>
      <w:r w:rsidRPr="00BB7857">
        <w:t>Australian</w:t>
      </w:r>
      <w:r>
        <w:t xml:space="preserve"> </w:t>
      </w:r>
      <w:r w:rsidRPr="00BB7857">
        <w:t>Residential</w:t>
      </w:r>
      <w:r>
        <w:t xml:space="preserve"> </w:t>
      </w:r>
      <w:r w:rsidRPr="00BB7857">
        <w:t>Sector</w:t>
      </w:r>
      <w:r>
        <w:t xml:space="preserve"> </w:t>
      </w:r>
      <w:r w:rsidRPr="00BB7857">
        <w:t>1986:2020</w:t>
      </w:r>
      <w:r>
        <w:t xml:space="preserve"> </w:t>
      </w:r>
      <w:sdt>
        <w:sdtPr>
          <w:id w:val="-147141323"/>
          <w:citation/>
        </w:sdtPr>
        <w:sdtContent>
          <w:r>
            <w:fldChar w:fldCharType="begin"/>
          </w:r>
          <w:r>
            <w:instrText xml:space="preserve"> CITATION DEW08 \l 3081 </w:instrText>
          </w:r>
          <w:r>
            <w:fldChar w:fldCharType="separate"/>
          </w:r>
          <w:r>
            <w:rPr>
              <w:noProof/>
            </w:rPr>
            <w:t>(DEWHA, 2008)</w:t>
          </w:r>
          <w:r>
            <w:fldChar w:fldCharType="end"/>
          </w:r>
        </w:sdtContent>
      </w:sdt>
      <w:r w:rsidRPr="00BB7857">
        <w:t xml:space="preserve"> and</w:t>
      </w:r>
      <w:r>
        <w:t xml:space="preserve"> </w:t>
      </w:r>
      <w:r w:rsidRPr="00BB7857">
        <w:t>profiling</w:t>
      </w:r>
      <w:r>
        <w:t xml:space="preserve"> </w:t>
      </w:r>
      <w:r w:rsidRPr="00BB7857">
        <w:t>contained</w:t>
      </w:r>
      <w:r>
        <w:t xml:space="preserve"> </w:t>
      </w:r>
      <w:r w:rsidRPr="00BB7857">
        <w:t>in</w:t>
      </w:r>
      <w:r>
        <w:t xml:space="preserve"> </w:t>
      </w:r>
      <w:r w:rsidRPr="00BB7857">
        <w:t>the</w:t>
      </w:r>
      <w:r>
        <w:t xml:space="preserve"> ICANZ </w:t>
      </w:r>
      <w:r w:rsidRPr="00BB7857">
        <w:t>Study: The</w:t>
      </w:r>
      <w:r>
        <w:t xml:space="preserve"> </w:t>
      </w:r>
      <w:r w:rsidRPr="00BB7857">
        <w:t>Value</w:t>
      </w:r>
      <w:r>
        <w:t xml:space="preserve"> </w:t>
      </w:r>
      <w:r w:rsidRPr="00BB7857">
        <w:t>of</w:t>
      </w:r>
      <w:r>
        <w:t xml:space="preserve"> </w:t>
      </w:r>
      <w:r w:rsidRPr="00BB7857">
        <w:t>Ceiling</w:t>
      </w:r>
      <w:r>
        <w:t xml:space="preserve"> </w:t>
      </w:r>
      <w:r w:rsidRPr="00BB7857">
        <w:t>Insulation</w:t>
      </w:r>
      <w:r>
        <w:t xml:space="preserve"> </w:t>
      </w:r>
      <w:sdt>
        <w:sdtPr>
          <w:id w:val="-333690051"/>
          <w:citation/>
        </w:sdtPr>
        <w:sdtContent>
          <w:r>
            <w:fldChar w:fldCharType="begin"/>
          </w:r>
          <w:r>
            <w:instrText xml:space="preserve"> CITATION Ene11 \l 3081 </w:instrText>
          </w:r>
          <w:r>
            <w:fldChar w:fldCharType="separate"/>
          </w:r>
          <w:r>
            <w:rPr>
              <w:noProof/>
            </w:rPr>
            <w:t>(Energy Efficienct Strategies, 2011)</w:t>
          </w:r>
          <w:r>
            <w:fldChar w:fldCharType="end"/>
          </w:r>
        </w:sdtContent>
      </w:sdt>
      <w:r w:rsidRPr="00BB7857">
        <w:t>.</w:t>
      </w:r>
      <w:r>
        <w:t xml:space="preserve"> </w:t>
      </w:r>
      <w:r w:rsidRPr="00BB7857">
        <w:t>These</w:t>
      </w:r>
      <w:r>
        <w:t xml:space="preserve"> </w:t>
      </w:r>
      <w:r w:rsidRPr="00BB7857">
        <w:t>are</w:t>
      </w:r>
      <w:r>
        <w:t xml:space="preserve"> </w:t>
      </w:r>
      <w:r w:rsidRPr="00BB7857">
        <w:t>best</w:t>
      </w:r>
      <w:r>
        <w:t xml:space="preserve"> </w:t>
      </w:r>
      <w:r w:rsidRPr="00BB7857">
        <w:t>estimates</w:t>
      </w:r>
      <w:r>
        <w:t xml:space="preserve"> </w:t>
      </w:r>
      <w:r w:rsidRPr="00BB7857">
        <w:t>only</w:t>
      </w:r>
      <w:r>
        <w:t xml:space="preserve"> </w:t>
      </w:r>
      <w:r w:rsidRPr="00BB7857">
        <w:t>as</w:t>
      </w:r>
      <w:r>
        <w:t xml:space="preserve"> </w:t>
      </w:r>
      <w:r w:rsidRPr="00BB7857">
        <w:t>there</w:t>
      </w:r>
      <w:r>
        <w:t xml:space="preserve"> </w:t>
      </w:r>
      <w:r w:rsidRPr="00BB7857">
        <w:t>is</w:t>
      </w:r>
      <w:r>
        <w:t xml:space="preserve"> </w:t>
      </w:r>
      <w:r w:rsidRPr="00BB7857">
        <w:t>a</w:t>
      </w:r>
      <w:r>
        <w:t xml:space="preserve"> </w:t>
      </w:r>
      <w:r w:rsidRPr="00BB7857">
        <w:t>fair</w:t>
      </w:r>
      <w:r>
        <w:t xml:space="preserve"> </w:t>
      </w:r>
      <w:r w:rsidRPr="00BB7857">
        <w:t>degree</w:t>
      </w:r>
      <w:r>
        <w:t xml:space="preserve"> </w:t>
      </w:r>
      <w:r w:rsidRPr="00BB7857">
        <w:t>of</w:t>
      </w:r>
      <w:r>
        <w:t xml:space="preserve"> </w:t>
      </w:r>
      <w:r w:rsidRPr="00BB7857">
        <w:t>uncertainty</w:t>
      </w:r>
      <w:r>
        <w:t xml:space="preserve"> </w:t>
      </w:r>
      <w:r w:rsidRPr="00BB7857">
        <w:t>(</w:t>
      </w:r>
      <w:proofErr w:type="gramStart"/>
      <w:r w:rsidRPr="00BB7857">
        <w:t>e.g.</w:t>
      </w:r>
      <w:proofErr w:type="gramEnd"/>
      <w:r>
        <w:t xml:space="preserve"> </w:t>
      </w:r>
      <w:r w:rsidRPr="00BB7857">
        <w:t>significant</w:t>
      </w:r>
      <w:r>
        <w:t xml:space="preserve"> </w:t>
      </w:r>
      <w:r w:rsidRPr="00BB7857">
        <w:t>numbers</w:t>
      </w:r>
      <w:r>
        <w:t xml:space="preserve"> </w:t>
      </w:r>
      <w:r w:rsidRPr="00BB7857">
        <w:t>of</w:t>
      </w:r>
      <w:r>
        <w:t xml:space="preserve"> </w:t>
      </w:r>
      <w:r w:rsidRPr="00BB7857">
        <w:t>“unknown” responses</w:t>
      </w:r>
      <w:r>
        <w:t xml:space="preserve"> </w:t>
      </w:r>
      <w:r w:rsidRPr="00BB7857">
        <w:t>in</w:t>
      </w:r>
      <w:r>
        <w:t xml:space="preserve"> </w:t>
      </w:r>
      <w:r w:rsidRPr="00BB7857">
        <w:t>ABS</w:t>
      </w:r>
      <w:r>
        <w:t xml:space="preserve"> </w:t>
      </w:r>
      <w:r w:rsidRPr="00BB7857">
        <w:t>survey</w:t>
      </w:r>
      <w:r>
        <w:t xml:space="preserve"> </w:t>
      </w:r>
      <w:r w:rsidRPr="00BB7857">
        <w:t>data</w:t>
      </w:r>
      <w:r>
        <w:t xml:space="preserve"> </w:t>
      </w:r>
      <w:r w:rsidRPr="00BB7857">
        <w:t>relating</w:t>
      </w:r>
      <w:r>
        <w:t xml:space="preserve"> </w:t>
      </w:r>
      <w:r w:rsidRPr="00BB7857">
        <w:t>to</w:t>
      </w:r>
      <w:r>
        <w:t xml:space="preserve"> </w:t>
      </w:r>
      <w:r w:rsidRPr="00BB7857">
        <w:t>the</w:t>
      </w:r>
      <w:r>
        <w:t xml:space="preserve"> </w:t>
      </w:r>
      <w:r w:rsidRPr="00BB7857">
        <w:t>presence</w:t>
      </w:r>
      <w:r>
        <w:t xml:space="preserve"> </w:t>
      </w:r>
      <w:r w:rsidRPr="00BB7857">
        <w:t>of</w:t>
      </w:r>
      <w:r>
        <w:t xml:space="preserve"> </w:t>
      </w:r>
      <w:r w:rsidRPr="00BB7857">
        <w:t>ceiling</w:t>
      </w:r>
      <w:r>
        <w:t xml:space="preserve"> </w:t>
      </w:r>
      <w:r w:rsidRPr="00BB7857">
        <w:t>insulation</w:t>
      </w:r>
      <w:r>
        <w:t xml:space="preserve"> </w:t>
      </w:r>
      <w:r w:rsidRPr="00BB7857">
        <w:t>and</w:t>
      </w:r>
      <w:r>
        <w:t xml:space="preserve"> </w:t>
      </w:r>
      <w:r w:rsidRPr="00BB7857">
        <w:t>no</w:t>
      </w:r>
      <w:r>
        <w:t xml:space="preserve"> </w:t>
      </w:r>
      <w:r w:rsidRPr="00BB7857">
        <w:t>survey</w:t>
      </w:r>
      <w:r>
        <w:t xml:space="preserve"> </w:t>
      </w:r>
      <w:r w:rsidRPr="00BB7857">
        <w:t>data</w:t>
      </w:r>
      <w:r>
        <w:t xml:space="preserve"> </w:t>
      </w:r>
      <w:r w:rsidRPr="00BB7857">
        <w:t>whatsoever</w:t>
      </w:r>
      <w:r>
        <w:t xml:space="preserve"> </w:t>
      </w:r>
      <w:r w:rsidRPr="00BB7857">
        <w:t>in</w:t>
      </w:r>
      <w:r>
        <w:t xml:space="preserve"> </w:t>
      </w:r>
      <w:r w:rsidRPr="00BB7857">
        <w:t>relation</w:t>
      </w:r>
      <w:r>
        <w:t xml:space="preserve"> </w:t>
      </w:r>
      <w:r w:rsidRPr="00BB7857">
        <w:t>to</w:t>
      </w:r>
      <w:r>
        <w:t xml:space="preserve"> </w:t>
      </w:r>
      <w:r w:rsidRPr="00BB7857">
        <w:t>actual</w:t>
      </w:r>
      <w:r>
        <w:t xml:space="preserve"> </w:t>
      </w:r>
      <w:r w:rsidRPr="00BB7857">
        <w:t>R</w:t>
      </w:r>
      <w:r>
        <w:t xml:space="preserve"> </w:t>
      </w:r>
      <w:r w:rsidRPr="00BB7857">
        <w:t>values</w:t>
      </w:r>
      <w:r>
        <w:t xml:space="preserve"> </w:t>
      </w:r>
      <w:r w:rsidRPr="00BB7857">
        <w:t>in</w:t>
      </w:r>
      <w:r>
        <w:t xml:space="preserve"> </w:t>
      </w:r>
      <w:r w:rsidRPr="00BB7857">
        <w:t>the</w:t>
      </w:r>
      <w:r>
        <w:t xml:space="preserve"> </w:t>
      </w:r>
      <w:r w:rsidRPr="00BB7857">
        <w:t>field) regarding</w:t>
      </w:r>
      <w:r>
        <w:t xml:space="preserve"> </w:t>
      </w:r>
      <w:r w:rsidRPr="00BB7857">
        <w:t>these</w:t>
      </w:r>
      <w:r>
        <w:t xml:space="preserve"> </w:t>
      </w:r>
      <w:r w:rsidRPr="00BB7857">
        <w:t>values</w:t>
      </w:r>
      <w:r>
        <w:t>. No information is available that separates the insulation propensity of rental properties from owner-occupier properties.</w:t>
      </w:r>
    </w:p>
    <w:p w14:paraId="79BA7F88" w14:textId="77777777" w:rsidR="00676882" w:rsidRDefault="00676882" w:rsidP="00676882">
      <w:pPr>
        <w:pStyle w:val="Caption"/>
      </w:pPr>
      <w:bookmarkStart w:id="434" w:name="_Toc80719347"/>
      <w:r w:rsidRPr="00BB7857">
        <w:rPr>
          <w:rStyle w:val="CaptionLabel"/>
        </w:rPr>
        <w:t>Table </w:t>
      </w:r>
      <w:r w:rsidRPr="00BB7857">
        <w:rPr>
          <w:rStyle w:val="CaptionLabel"/>
        </w:rPr>
        <w:fldChar w:fldCharType="begin"/>
      </w:r>
      <w:r w:rsidRPr="00BB7857">
        <w:rPr>
          <w:rStyle w:val="CaptionLabel"/>
        </w:rPr>
        <w:instrText xml:space="preserve"> STYLEREF 9 \S \* MERGEFORMAT </w:instrText>
      </w:r>
      <w:r w:rsidRPr="00BB7857">
        <w:rPr>
          <w:rStyle w:val="CaptionLabel"/>
        </w:rPr>
        <w:fldChar w:fldCharType="separate"/>
      </w:r>
      <w:r>
        <w:rPr>
          <w:rStyle w:val="CaptionLabel"/>
          <w:noProof/>
        </w:rPr>
        <w:t>C</w:t>
      </w:r>
      <w:r w:rsidRPr="00BB7857">
        <w:rPr>
          <w:rStyle w:val="CaptionLabel"/>
        </w:rPr>
        <w:fldChar w:fldCharType="end"/>
      </w:r>
      <w:r w:rsidRPr="00BB7857">
        <w:rPr>
          <w:rStyle w:val="CaptionLabel"/>
        </w:rPr>
        <w:t>.</w:t>
      </w:r>
      <w:r w:rsidRPr="00BB7857">
        <w:rPr>
          <w:rStyle w:val="CaptionLabel"/>
        </w:rPr>
        <w:fldChar w:fldCharType="begin"/>
      </w:r>
      <w:r w:rsidRPr="00BB7857">
        <w:rPr>
          <w:rStyle w:val="CaptionLabel"/>
        </w:rPr>
        <w:instrText xml:space="preserve"> SEQ Table_AP \* ARABIC \S 9 \* MERGEFORMAT </w:instrText>
      </w:r>
      <w:r w:rsidRPr="00BB7857">
        <w:rPr>
          <w:rStyle w:val="CaptionLabel"/>
        </w:rPr>
        <w:fldChar w:fldCharType="separate"/>
      </w:r>
      <w:r>
        <w:rPr>
          <w:rStyle w:val="CaptionLabel"/>
          <w:noProof/>
        </w:rPr>
        <w:t>2</w:t>
      </w:r>
      <w:r w:rsidRPr="00BB7857">
        <w:rPr>
          <w:rStyle w:val="CaptionLabel"/>
        </w:rPr>
        <w:fldChar w:fldCharType="end"/>
      </w:r>
      <w:r>
        <w:tab/>
        <w:t>Propensity of ceiling insulation, Canberra housing stock</w:t>
      </w:r>
      <w:bookmarkEnd w:id="434"/>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2"/>
        <w:tblDescription w:val="Propensity of ceiling insulation, Canberra housing stock"/>
      </w:tblPr>
      <w:tblGrid>
        <w:gridCol w:w="454"/>
        <w:gridCol w:w="2645"/>
        <w:gridCol w:w="2645"/>
        <w:gridCol w:w="2646"/>
      </w:tblGrid>
      <w:tr w:rsidR="00676882" w14:paraId="20641E91" w14:textId="77777777" w:rsidTr="00DF45FA">
        <w:trPr>
          <w:tblHeader/>
        </w:trPr>
        <w:tc>
          <w:tcPr>
            <w:tcW w:w="3099" w:type="dxa"/>
            <w:gridSpan w:val="2"/>
            <w:tcBorders>
              <w:top w:val="nil"/>
              <w:bottom w:val="nil"/>
            </w:tcBorders>
            <w:shd w:val="clear" w:color="auto" w:fill="140034"/>
            <w:tcMar>
              <w:left w:w="454" w:type="dxa"/>
            </w:tcMar>
          </w:tcPr>
          <w:p w14:paraId="02BB88A9" w14:textId="77777777" w:rsidR="00676882" w:rsidRDefault="00676882" w:rsidP="00DF45FA">
            <w:pPr>
              <w:pStyle w:val="Tablecolumnheadings"/>
            </w:pPr>
            <w:r>
              <w:t>Ceiling insulation category</w:t>
            </w:r>
          </w:p>
        </w:tc>
        <w:tc>
          <w:tcPr>
            <w:tcW w:w="2645" w:type="dxa"/>
            <w:tcBorders>
              <w:top w:val="nil"/>
              <w:bottom w:val="nil"/>
            </w:tcBorders>
            <w:shd w:val="clear" w:color="auto" w:fill="140034"/>
          </w:tcPr>
          <w:p w14:paraId="6F765F6F" w14:textId="77777777" w:rsidR="00676882" w:rsidRDefault="00676882" w:rsidP="00DF45FA">
            <w:pPr>
              <w:pStyle w:val="Tablecolumnheadings"/>
            </w:pPr>
            <w:r>
              <w:t>Approximate era</w:t>
            </w:r>
          </w:p>
        </w:tc>
        <w:tc>
          <w:tcPr>
            <w:tcW w:w="2646" w:type="dxa"/>
            <w:tcBorders>
              <w:top w:val="nil"/>
              <w:bottom w:val="nil"/>
              <w:right w:val="single" w:sz="6" w:space="0" w:color="140034"/>
            </w:tcBorders>
            <w:shd w:val="clear" w:color="auto" w:fill="140034"/>
          </w:tcPr>
          <w:p w14:paraId="2B380D54" w14:textId="77777777" w:rsidR="00676882" w:rsidRDefault="00676882" w:rsidP="00DF45FA">
            <w:pPr>
              <w:pStyle w:val="Tablecolumnheadings"/>
            </w:pPr>
            <w:r>
              <w:t>Estimated propensity today</w:t>
            </w:r>
          </w:p>
        </w:tc>
      </w:tr>
      <w:tr w:rsidR="00676882" w14:paraId="052489DC" w14:textId="77777777" w:rsidTr="00DF45FA">
        <w:trPr>
          <w:gridBefore w:val="1"/>
          <w:wBefore w:w="454" w:type="dxa"/>
        </w:trPr>
        <w:tc>
          <w:tcPr>
            <w:tcW w:w="2645" w:type="dxa"/>
            <w:tcBorders>
              <w:top w:val="nil"/>
            </w:tcBorders>
            <w:shd w:val="clear" w:color="auto" w:fill="auto"/>
            <w:vAlign w:val="bottom"/>
          </w:tcPr>
          <w:p w14:paraId="3BF56C5B" w14:textId="77777777" w:rsidR="00676882" w:rsidRDefault="00676882" w:rsidP="00DF45FA">
            <w:pPr>
              <w:pStyle w:val="Tableunitsrow"/>
            </w:pPr>
            <w:r>
              <w:rPr>
                <w:lang w:val="en-US" w:eastAsia="en-AU"/>
              </w:rPr>
              <w:t>R0</w:t>
            </w:r>
          </w:p>
        </w:tc>
        <w:tc>
          <w:tcPr>
            <w:tcW w:w="2645" w:type="dxa"/>
            <w:tcBorders>
              <w:top w:val="nil"/>
            </w:tcBorders>
            <w:shd w:val="clear" w:color="auto" w:fill="auto"/>
            <w:vAlign w:val="bottom"/>
          </w:tcPr>
          <w:p w14:paraId="514AA411" w14:textId="77777777" w:rsidR="00676882" w:rsidRDefault="00676882" w:rsidP="00DF45FA">
            <w:pPr>
              <w:pStyle w:val="Tableunitsrow"/>
            </w:pPr>
            <w:r>
              <w:rPr>
                <w:lang w:val="en-US" w:eastAsia="en-AU"/>
              </w:rPr>
              <w:t>Pre 1992</w:t>
            </w:r>
          </w:p>
        </w:tc>
        <w:tc>
          <w:tcPr>
            <w:tcW w:w="2646" w:type="dxa"/>
            <w:tcBorders>
              <w:top w:val="nil"/>
            </w:tcBorders>
            <w:shd w:val="clear" w:color="auto" w:fill="auto"/>
            <w:vAlign w:val="center"/>
          </w:tcPr>
          <w:p w14:paraId="3785052E" w14:textId="77777777" w:rsidR="00676882" w:rsidRDefault="00676882" w:rsidP="00DF45FA">
            <w:pPr>
              <w:pStyle w:val="Tableunitsrow"/>
              <w:jc w:val="right"/>
            </w:pPr>
            <w:r>
              <w:rPr>
                <w:lang w:val="en-US"/>
              </w:rPr>
              <w:t>10%</w:t>
            </w:r>
            <w:r>
              <w:rPr>
                <w:vertAlign w:val="superscript"/>
                <w:lang w:val="en-US"/>
              </w:rPr>
              <w:t>a</w:t>
            </w:r>
          </w:p>
        </w:tc>
      </w:tr>
      <w:tr w:rsidR="00676882" w14:paraId="014F4BC6" w14:textId="77777777" w:rsidTr="00DF45FA">
        <w:trPr>
          <w:gridBefore w:val="1"/>
          <w:wBefore w:w="454" w:type="dxa"/>
        </w:trPr>
        <w:tc>
          <w:tcPr>
            <w:tcW w:w="2645" w:type="dxa"/>
            <w:shd w:val="clear" w:color="auto" w:fill="auto"/>
            <w:vAlign w:val="bottom"/>
          </w:tcPr>
          <w:p w14:paraId="65C96FB9" w14:textId="77777777" w:rsidR="00676882" w:rsidRDefault="00676882" w:rsidP="00DF45FA">
            <w:pPr>
              <w:pStyle w:val="Tableunitsrow"/>
            </w:pPr>
            <w:r>
              <w:rPr>
                <w:lang w:val="en-US" w:eastAsia="en-AU"/>
              </w:rPr>
              <w:t>0&lt;R&lt;2</w:t>
            </w:r>
          </w:p>
        </w:tc>
        <w:tc>
          <w:tcPr>
            <w:tcW w:w="2645" w:type="dxa"/>
            <w:shd w:val="clear" w:color="auto" w:fill="auto"/>
            <w:vAlign w:val="bottom"/>
          </w:tcPr>
          <w:p w14:paraId="7BCFEBE3" w14:textId="77777777" w:rsidR="00676882" w:rsidRDefault="00676882" w:rsidP="00DF45FA">
            <w:pPr>
              <w:pStyle w:val="Tableunitsrow"/>
            </w:pPr>
            <w:r>
              <w:rPr>
                <w:lang w:val="en-US" w:eastAsia="en-AU"/>
              </w:rPr>
              <w:t>Pre 1997</w:t>
            </w:r>
          </w:p>
        </w:tc>
        <w:tc>
          <w:tcPr>
            <w:tcW w:w="2646" w:type="dxa"/>
            <w:shd w:val="clear" w:color="auto" w:fill="auto"/>
            <w:vAlign w:val="center"/>
          </w:tcPr>
          <w:p w14:paraId="729961F1" w14:textId="77777777" w:rsidR="00676882" w:rsidRDefault="00676882" w:rsidP="00DF45FA">
            <w:pPr>
              <w:pStyle w:val="Tableunitsrow"/>
              <w:jc w:val="right"/>
            </w:pPr>
            <w:r>
              <w:rPr>
                <w:lang w:val="en-US"/>
              </w:rPr>
              <w:t>31%</w:t>
            </w:r>
            <w:r>
              <w:rPr>
                <w:vertAlign w:val="superscript"/>
                <w:lang w:val="en-US"/>
              </w:rPr>
              <w:t>b</w:t>
            </w:r>
          </w:p>
        </w:tc>
      </w:tr>
      <w:tr w:rsidR="00676882" w14:paraId="479CE7E2" w14:textId="77777777" w:rsidTr="00DF45FA">
        <w:trPr>
          <w:gridBefore w:val="1"/>
          <w:wBefore w:w="454" w:type="dxa"/>
        </w:trPr>
        <w:tc>
          <w:tcPr>
            <w:tcW w:w="2645" w:type="dxa"/>
            <w:shd w:val="clear" w:color="auto" w:fill="auto"/>
            <w:vAlign w:val="bottom"/>
          </w:tcPr>
          <w:p w14:paraId="5A1A89B9" w14:textId="77777777" w:rsidR="00676882" w:rsidRDefault="00676882" w:rsidP="00DF45FA">
            <w:pPr>
              <w:pStyle w:val="Tableunitsrow"/>
            </w:pPr>
            <w:r>
              <w:rPr>
                <w:lang w:val="en-US" w:eastAsia="en-AU"/>
              </w:rPr>
              <w:t>R3 Existing</w:t>
            </w:r>
          </w:p>
        </w:tc>
        <w:tc>
          <w:tcPr>
            <w:tcW w:w="2645" w:type="dxa"/>
            <w:shd w:val="clear" w:color="auto" w:fill="auto"/>
            <w:vAlign w:val="bottom"/>
          </w:tcPr>
          <w:p w14:paraId="47227126" w14:textId="77777777" w:rsidR="00676882" w:rsidRDefault="00676882" w:rsidP="00DF45FA">
            <w:pPr>
              <w:pStyle w:val="Tableunitsrow"/>
            </w:pPr>
            <w:r>
              <w:rPr>
                <w:lang w:val="en-US" w:eastAsia="en-AU"/>
              </w:rPr>
              <w:t>1997 - 2005</w:t>
            </w:r>
          </w:p>
        </w:tc>
        <w:tc>
          <w:tcPr>
            <w:tcW w:w="2646" w:type="dxa"/>
            <w:shd w:val="clear" w:color="auto" w:fill="auto"/>
            <w:vAlign w:val="center"/>
          </w:tcPr>
          <w:p w14:paraId="0F5B962D" w14:textId="77777777" w:rsidR="00676882" w:rsidRDefault="00676882" w:rsidP="00DF45FA">
            <w:pPr>
              <w:pStyle w:val="Tableunitsrow"/>
              <w:jc w:val="right"/>
            </w:pPr>
            <w:r>
              <w:rPr>
                <w:lang w:val="en-US"/>
              </w:rPr>
              <w:t>32%</w:t>
            </w:r>
            <w:r>
              <w:rPr>
                <w:vertAlign w:val="superscript"/>
                <w:lang w:val="en-US"/>
              </w:rPr>
              <w:t>c</w:t>
            </w:r>
          </w:p>
        </w:tc>
      </w:tr>
      <w:tr w:rsidR="00676882" w14:paraId="2938D1D9" w14:textId="77777777" w:rsidTr="00DF45FA">
        <w:trPr>
          <w:gridBefore w:val="1"/>
          <w:wBefore w:w="454" w:type="dxa"/>
        </w:trPr>
        <w:tc>
          <w:tcPr>
            <w:tcW w:w="2645" w:type="dxa"/>
            <w:shd w:val="clear" w:color="auto" w:fill="auto"/>
            <w:vAlign w:val="bottom"/>
          </w:tcPr>
          <w:p w14:paraId="69789108" w14:textId="77777777" w:rsidR="00676882" w:rsidRDefault="00676882" w:rsidP="00DF45FA">
            <w:pPr>
              <w:pStyle w:val="Tableunitsrow"/>
            </w:pPr>
            <w:r>
              <w:rPr>
                <w:lang w:val="en-US" w:eastAsia="en-AU"/>
              </w:rPr>
              <w:t>R4 Existing</w:t>
            </w:r>
          </w:p>
        </w:tc>
        <w:tc>
          <w:tcPr>
            <w:tcW w:w="2645" w:type="dxa"/>
            <w:shd w:val="clear" w:color="auto" w:fill="auto"/>
            <w:vAlign w:val="bottom"/>
          </w:tcPr>
          <w:p w14:paraId="5160C821" w14:textId="77777777" w:rsidR="00676882" w:rsidRDefault="00676882" w:rsidP="00DF45FA">
            <w:pPr>
              <w:pStyle w:val="Tableunitsrow"/>
            </w:pPr>
            <w:r>
              <w:rPr>
                <w:lang w:val="en-US" w:eastAsia="en-AU"/>
              </w:rPr>
              <w:t>2006-2009</w:t>
            </w:r>
          </w:p>
        </w:tc>
        <w:tc>
          <w:tcPr>
            <w:tcW w:w="2646" w:type="dxa"/>
            <w:shd w:val="clear" w:color="auto" w:fill="auto"/>
            <w:vAlign w:val="center"/>
          </w:tcPr>
          <w:p w14:paraId="08EA8D3B" w14:textId="77777777" w:rsidR="00676882" w:rsidRDefault="00676882" w:rsidP="00DF45FA">
            <w:pPr>
              <w:pStyle w:val="Tableunitsrow"/>
              <w:jc w:val="right"/>
            </w:pPr>
            <w:r>
              <w:rPr>
                <w:lang w:val="en-US"/>
              </w:rPr>
              <w:t>6%</w:t>
            </w:r>
            <w:r>
              <w:rPr>
                <w:vertAlign w:val="superscript"/>
                <w:lang w:val="en-US"/>
              </w:rPr>
              <w:t>c</w:t>
            </w:r>
          </w:p>
        </w:tc>
      </w:tr>
      <w:tr w:rsidR="00676882" w14:paraId="38FB79B4" w14:textId="77777777" w:rsidTr="00DF45FA">
        <w:trPr>
          <w:gridBefore w:val="1"/>
          <w:wBefore w:w="454" w:type="dxa"/>
        </w:trPr>
        <w:tc>
          <w:tcPr>
            <w:tcW w:w="2645" w:type="dxa"/>
            <w:shd w:val="clear" w:color="auto" w:fill="auto"/>
            <w:vAlign w:val="bottom"/>
          </w:tcPr>
          <w:p w14:paraId="03D73B44" w14:textId="77777777" w:rsidR="00676882" w:rsidRDefault="00676882" w:rsidP="00DF45FA">
            <w:pPr>
              <w:pStyle w:val="Tableunitsrow"/>
            </w:pPr>
            <w:r>
              <w:rPr>
                <w:lang w:val="en-US" w:eastAsia="en-AU"/>
              </w:rPr>
              <w:t>R5 Existing</w:t>
            </w:r>
          </w:p>
        </w:tc>
        <w:tc>
          <w:tcPr>
            <w:tcW w:w="2645" w:type="dxa"/>
            <w:shd w:val="clear" w:color="auto" w:fill="auto"/>
            <w:vAlign w:val="bottom"/>
          </w:tcPr>
          <w:p w14:paraId="7309537A" w14:textId="77777777" w:rsidR="00676882" w:rsidRDefault="00676882" w:rsidP="00DF45FA">
            <w:pPr>
              <w:pStyle w:val="Tableunitsrow"/>
            </w:pPr>
            <w:r>
              <w:rPr>
                <w:lang w:val="en-US" w:eastAsia="en-AU"/>
              </w:rPr>
              <w:t>2010-2021</w:t>
            </w:r>
          </w:p>
        </w:tc>
        <w:tc>
          <w:tcPr>
            <w:tcW w:w="2646" w:type="dxa"/>
            <w:shd w:val="clear" w:color="auto" w:fill="auto"/>
            <w:vAlign w:val="center"/>
          </w:tcPr>
          <w:p w14:paraId="47D45CDE" w14:textId="77777777" w:rsidR="00676882" w:rsidRDefault="00676882" w:rsidP="00DF45FA">
            <w:pPr>
              <w:pStyle w:val="Tableunitsrow"/>
              <w:jc w:val="right"/>
            </w:pPr>
            <w:r>
              <w:rPr>
                <w:lang w:val="en-US"/>
              </w:rPr>
              <w:t>22%</w:t>
            </w:r>
            <w:r>
              <w:rPr>
                <w:vertAlign w:val="superscript"/>
                <w:lang w:val="en-US"/>
              </w:rPr>
              <w:t>c</w:t>
            </w:r>
          </w:p>
        </w:tc>
      </w:tr>
      <w:tr w:rsidR="00676882" w14:paraId="5C6A6BAF" w14:textId="77777777" w:rsidTr="00DF45FA">
        <w:trPr>
          <w:gridBefore w:val="1"/>
          <w:wBefore w:w="454" w:type="dxa"/>
        </w:trPr>
        <w:tc>
          <w:tcPr>
            <w:tcW w:w="7936" w:type="dxa"/>
            <w:gridSpan w:val="3"/>
            <w:tcBorders>
              <w:bottom w:val="single" w:sz="4" w:space="0" w:color="646464"/>
            </w:tcBorders>
            <w:shd w:val="clear" w:color="auto" w:fill="auto"/>
          </w:tcPr>
          <w:p w14:paraId="2278CC0E" w14:textId="77777777" w:rsidR="00676882" w:rsidRDefault="00676882" w:rsidP="00DF45FA">
            <w:pPr>
              <w:pStyle w:val="Note"/>
            </w:pPr>
            <w:r w:rsidRPr="00BB7857">
              <w:rPr>
                <w:rStyle w:val="Notelabel"/>
              </w:rPr>
              <w:t>a</w:t>
            </w:r>
            <w:r>
              <w:rPr>
                <w:rStyle w:val="Notelabel"/>
              </w:rPr>
              <w:t xml:space="preserve"> </w:t>
            </w:r>
            <w:r w:rsidRPr="00BB7857">
              <w:t>Largely</w:t>
            </w:r>
            <w:r>
              <w:t xml:space="preserve"> </w:t>
            </w:r>
            <w:r w:rsidRPr="00BB7857">
              <w:t>based</w:t>
            </w:r>
            <w:r>
              <w:t xml:space="preserve"> </w:t>
            </w:r>
            <w:r w:rsidRPr="00BB7857">
              <w:t>on</w:t>
            </w:r>
            <w:r>
              <w:t xml:space="preserve"> </w:t>
            </w:r>
            <w:r w:rsidRPr="00BB7857">
              <w:t>ABS</w:t>
            </w:r>
            <w:r>
              <w:t xml:space="preserve"> </w:t>
            </w:r>
            <w:r w:rsidRPr="00BB7857">
              <w:t>survey</w:t>
            </w:r>
            <w:r>
              <w:t xml:space="preserve"> </w:t>
            </w:r>
            <w:r w:rsidRPr="00BB7857">
              <w:t>estimates</w:t>
            </w:r>
            <w:r>
              <w:t xml:space="preserve"> </w:t>
            </w:r>
            <w:r w:rsidRPr="00BB7857">
              <w:t>of</w:t>
            </w:r>
            <w:r>
              <w:t xml:space="preserve"> </w:t>
            </w:r>
            <w:r w:rsidRPr="00BB7857">
              <w:t>ceilings</w:t>
            </w:r>
            <w:r>
              <w:t xml:space="preserve"> </w:t>
            </w:r>
            <w:r w:rsidRPr="00BB7857">
              <w:t>with</w:t>
            </w:r>
            <w:r>
              <w:t xml:space="preserve"> </w:t>
            </w:r>
            <w:r w:rsidRPr="00BB7857">
              <w:t>no</w:t>
            </w:r>
            <w:r>
              <w:t xml:space="preserve"> </w:t>
            </w:r>
            <w:r w:rsidRPr="00BB7857">
              <w:t>ceiling</w:t>
            </w:r>
            <w:r>
              <w:t xml:space="preserve"> </w:t>
            </w:r>
            <w:r w:rsidRPr="00BB7857">
              <w:t>insulation</w:t>
            </w:r>
            <w:r>
              <w:t>.</w:t>
            </w:r>
          </w:p>
          <w:p w14:paraId="0F38EA83" w14:textId="77777777" w:rsidR="00676882" w:rsidRDefault="00676882" w:rsidP="00DF45FA">
            <w:pPr>
              <w:pStyle w:val="Note"/>
            </w:pPr>
            <w:r>
              <w:rPr>
                <w:rStyle w:val="Notelabel"/>
              </w:rPr>
              <w:t xml:space="preserve">b </w:t>
            </w:r>
            <w:r w:rsidRPr="00BB7857">
              <w:t>Includes</w:t>
            </w:r>
            <w:r>
              <w:t xml:space="preserve"> </w:t>
            </w:r>
            <w:r w:rsidRPr="00BB7857">
              <w:t>all</w:t>
            </w:r>
            <w:r>
              <w:t xml:space="preserve"> </w:t>
            </w:r>
            <w:r w:rsidRPr="00BB7857">
              <w:t>housing</w:t>
            </w:r>
            <w:r>
              <w:t xml:space="preserve"> </w:t>
            </w:r>
            <w:r w:rsidRPr="00BB7857">
              <w:t>built</w:t>
            </w:r>
            <w:r>
              <w:t xml:space="preserve"> </w:t>
            </w:r>
            <w:r w:rsidRPr="00BB7857">
              <w:t>pre</w:t>
            </w:r>
            <w:r>
              <w:t xml:space="preserve"> </w:t>
            </w:r>
            <w:r w:rsidRPr="00BB7857">
              <w:t>1992</w:t>
            </w:r>
            <w:r>
              <w:t xml:space="preserve"> </w:t>
            </w:r>
            <w:r w:rsidRPr="00BB7857">
              <w:t>(53%),</w:t>
            </w:r>
            <w:r>
              <w:t xml:space="preserve"> </w:t>
            </w:r>
            <w:r w:rsidRPr="00BB7857">
              <w:t>less</w:t>
            </w:r>
            <w:r>
              <w:t xml:space="preserve"> </w:t>
            </w:r>
            <w:r w:rsidRPr="00BB7857">
              <w:t>those</w:t>
            </w:r>
            <w:r>
              <w:t xml:space="preserve"> </w:t>
            </w:r>
            <w:r w:rsidRPr="00BB7857">
              <w:t>with</w:t>
            </w:r>
            <w:r>
              <w:t xml:space="preserve"> </w:t>
            </w:r>
            <w:r w:rsidRPr="00BB7857">
              <w:t>no</w:t>
            </w:r>
            <w:r>
              <w:t xml:space="preserve"> </w:t>
            </w:r>
            <w:r w:rsidRPr="00BB7857">
              <w:t>insulation</w:t>
            </w:r>
            <w:r>
              <w:t xml:space="preserve"> </w:t>
            </w:r>
            <w:r w:rsidRPr="00BB7857">
              <w:t>at</w:t>
            </w:r>
            <w:r>
              <w:t xml:space="preserve"> </w:t>
            </w:r>
            <w:r w:rsidRPr="00BB7857">
              <w:t>all</w:t>
            </w:r>
            <w:r>
              <w:t xml:space="preserve"> </w:t>
            </w:r>
            <w:r w:rsidRPr="00BB7857">
              <w:t>(10%) multiplied</w:t>
            </w:r>
            <w:r>
              <w:t xml:space="preserve"> </w:t>
            </w:r>
            <w:r w:rsidRPr="00BB7857">
              <w:t>by</w:t>
            </w:r>
            <w:r>
              <w:t xml:space="preserve"> </w:t>
            </w:r>
            <w:r w:rsidRPr="00BB7857">
              <w:t>approximately</w:t>
            </w:r>
            <w:r>
              <w:t xml:space="preserve"> </w:t>
            </w:r>
            <w:r w:rsidRPr="00BB7857">
              <w:t>70% for</w:t>
            </w:r>
            <w:r>
              <w:t xml:space="preserve"> </w:t>
            </w:r>
            <w:r w:rsidRPr="00BB7857">
              <w:t>an</w:t>
            </w:r>
            <w:r>
              <w:t xml:space="preserve"> </w:t>
            </w:r>
            <w:r w:rsidRPr="00BB7857">
              <w:t>assumed</w:t>
            </w:r>
            <w:r>
              <w:t xml:space="preserve"> </w:t>
            </w:r>
            <w:r w:rsidRPr="00BB7857">
              <w:t>BAU</w:t>
            </w:r>
            <w:r>
              <w:t xml:space="preserve"> </w:t>
            </w:r>
            <w:r w:rsidRPr="00BB7857">
              <w:t>rate</w:t>
            </w:r>
            <w:r>
              <w:t xml:space="preserve"> </w:t>
            </w:r>
            <w:r w:rsidRPr="00BB7857">
              <w:t>of</w:t>
            </w:r>
            <w:r>
              <w:t xml:space="preserve"> </w:t>
            </w:r>
            <w:r w:rsidRPr="00BB7857">
              <w:t>upgrade</w:t>
            </w:r>
            <w:r>
              <w:t xml:space="preserve"> </w:t>
            </w:r>
            <w:r w:rsidRPr="00BB7857">
              <w:t>of</w:t>
            </w:r>
            <w:r>
              <w:t xml:space="preserve"> </w:t>
            </w:r>
            <w:r w:rsidRPr="00BB7857">
              <w:t>approximately</w:t>
            </w:r>
            <w:r>
              <w:t xml:space="preserve"> </w:t>
            </w:r>
            <w:r w:rsidRPr="00BB7857">
              <w:t>1% per</w:t>
            </w:r>
            <w:r>
              <w:t xml:space="preserve"> </w:t>
            </w:r>
            <w:r w:rsidRPr="00BB7857">
              <w:t>annum</w:t>
            </w:r>
            <w:r>
              <w:t xml:space="preserve"> </w:t>
            </w:r>
            <w:r w:rsidRPr="00BB7857">
              <w:t>since</w:t>
            </w:r>
            <w:r>
              <w:t xml:space="preserve"> </w:t>
            </w:r>
            <w:r w:rsidRPr="00BB7857">
              <w:t>1992</w:t>
            </w:r>
            <w:r>
              <w:t xml:space="preserve"> </w:t>
            </w:r>
            <w:r w:rsidRPr="00BB7857">
              <w:t>when</w:t>
            </w:r>
            <w:r>
              <w:t xml:space="preserve"> </w:t>
            </w:r>
            <w:r w:rsidRPr="00BB7857">
              <w:t>ceiling</w:t>
            </w:r>
            <w:r>
              <w:t xml:space="preserve"> </w:t>
            </w:r>
            <w:r w:rsidRPr="00BB7857">
              <w:t>insulation</w:t>
            </w:r>
            <w:r>
              <w:t xml:space="preserve"> </w:t>
            </w:r>
            <w:r w:rsidRPr="00BB7857">
              <w:t>regulations</w:t>
            </w:r>
            <w:r>
              <w:t xml:space="preserve"> </w:t>
            </w:r>
            <w:r w:rsidRPr="00BB7857">
              <w:t>were</w:t>
            </w:r>
            <w:r>
              <w:t xml:space="preserve"> </w:t>
            </w:r>
            <w:r w:rsidRPr="00BB7857">
              <w:t>first</w:t>
            </w:r>
            <w:r>
              <w:t xml:space="preserve"> </w:t>
            </w:r>
            <w:r w:rsidRPr="00BB7857">
              <w:t>introduced</w:t>
            </w:r>
            <w:r>
              <w:t xml:space="preserve"> </w:t>
            </w:r>
            <w:r w:rsidRPr="00BB7857">
              <w:t>in</w:t>
            </w:r>
            <w:r>
              <w:t xml:space="preserve"> </w:t>
            </w:r>
            <w:r w:rsidRPr="00BB7857">
              <w:t>the</w:t>
            </w:r>
            <w:r>
              <w:t xml:space="preserve"> </w:t>
            </w:r>
            <w:r w:rsidRPr="00BB7857">
              <w:t>ACT</w:t>
            </w:r>
            <w:r>
              <w:t>.</w:t>
            </w:r>
          </w:p>
          <w:p w14:paraId="15896AA0" w14:textId="77777777" w:rsidR="00676882" w:rsidRDefault="00676882" w:rsidP="00DF45FA">
            <w:pPr>
              <w:pStyle w:val="Note"/>
            </w:pPr>
            <w:r>
              <w:rPr>
                <w:rStyle w:val="Notelabel"/>
              </w:rPr>
              <w:t xml:space="preserve">c </w:t>
            </w:r>
            <w:r w:rsidRPr="00BB7857">
              <w:t>Based</w:t>
            </w:r>
            <w:r>
              <w:t xml:space="preserve"> </w:t>
            </w:r>
            <w:r w:rsidRPr="00BB7857">
              <w:t>on</w:t>
            </w:r>
            <w:r>
              <w:t xml:space="preserve"> </w:t>
            </w:r>
            <w:r w:rsidRPr="00BB7857">
              <w:t>the</w:t>
            </w:r>
            <w:r>
              <w:t xml:space="preserve"> </w:t>
            </w:r>
            <w:r w:rsidRPr="00BB7857">
              <w:t>number</w:t>
            </w:r>
            <w:r>
              <w:t xml:space="preserve"> </w:t>
            </w:r>
            <w:r w:rsidRPr="00BB7857">
              <w:t>of</w:t>
            </w:r>
            <w:r>
              <w:t xml:space="preserve"> </w:t>
            </w:r>
            <w:r w:rsidRPr="00BB7857">
              <w:t>dwellings</w:t>
            </w:r>
            <w:r>
              <w:t xml:space="preserve"> </w:t>
            </w:r>
            <w:r w:rsidRPr="00BB7857">
              <w:t>built</w:t>
            </w:r>
            <w:r>
              <w:t xml:space="preserve"> </w:t>
            </w:r>
            <w:r w:rsidRPr="00BB7857">
              <w:t>in</w:t>
            </w:r>
            <w:r>
              <w:t xml:space="preserve"> </w:t>
            </w:r>
            <w:r w:rsidRPr="00BB7857">
              <w:t>that</w:t>
            </w:r>
            <w:r>
              <w:t xml:space="preserve"> </w:t>
            </w:r>
            <w:r w:rsidRPr="00BB7857">
              <w:t>era</w:t>
            </w:r>
            <w:r>
              <w:t>.</w:t>
            </w:r>
          </w:p>
          <w:p w14:paraId="53CC3718" w14:textId="77777777" w:rsidR="00676882" w:rsidRDefault="00676882" w:rsidP="00DF45FA">
            <w:pPr>
              <w:pStyle w:val="Source"/>
            </w:pPr>
            <w:r>
              <w:t>Source: Energy Efficient Strategies</w:t>
            </w:r>
          </w:p>
        </w:tc>
      </w:tr>
      <w:tr w:rsidR="00676882" w14:paraId="3C17CDE3" w14:textId="77777777" w:rsidTr="00DF45FA">
        <w:trPr>
          <w:gridBefore w:val="1"/>
          <w:wBefore w:w="454" w:type="dxa"/>
          <w:trHeight w:hRule="exact" w:val="160"/>
        </w:trPr>
        <w:tc>
          <w:tcPr>
            <w:tcW w:w="7936" w:type="dxa"/>
            <w:gridSpan w:val="3"/>
            <w:tcBorders>
              <w:top w:val="single" w:sz="4" w:space="0" w:color="646464"/>
              <w:bottom w:val="nil"/>
            </w:tcBorders>
            <w:shd w:val="clear" w:color="auto" w:fill="auto"/>
          </w:tcPr>
          <w:p w14:paraId="79B1FBDA" w14:textId="77777777" w:rsidR="00676882" w:rsidRDefault="00676882" w:rsidP="00DF45FA">
            <w:pPr>
              <w:pStyle w:val="spacer"/>
            </w:pPr>
          </w:p>
        </w:tc>
      </w:tr>
    </w:tbl>
    <w:p w14:paraId="78424252" w14:textId="77777777" w:rsidR="00676882" w:rsidRDefault="00676882" w:rsidP="00676882">
      <w:pPr>
        <w:pStyle w:val="BodyText"/>
      </w:pPr>
      <w:r>
        <w:t>The expected thermal performance characteristics of housing is based on analysis undertaken for the ACT EEIS scheme for detached dwellings.</w:t>
      </w:r>
    </w:p>
    <w:p w14:paraId="20F74139" w14:textId="77777777" w:rsidR="00676882" w:rsidRDefault="00676882" w:rsidP="00676882">
      <w:pPr>
        <w:pStyle w:val="BodyText"/>
      </w:pPr>
      <w:r>
        <w:lastRenderedPageBreak/>
        <w:t>For class 2 dwellings reference was made to The Victorian Housing Stock Performance Model</w:t>
      </w:r>
      <w:sdt>
        <w:sdtPr>
          <w:id w:val="1069158733"/>
          <w:citation/>
        </w:sdtPr>
        <w:sdtContent>
          <w:r>
            <w:fldChar w:fldCharType="begin"/>
          </w:r>
          <w:r>
            <w:instrText xml:space="preserve"> CITATION DEW18 \l 3081 </w:instrText>
          </w:r>
          <w:r>
            <w:fldChar w:fldCharType="separate"/>
          </w:r>
          <w:r>
            <w:rPr>
              <w:noProof/>
            </w:rPr>
            <w:t xml:space="preserve"> (DEWLP, 2018)</w:t>
          </w:r>
          <w:r>
            <w:fldChar w:fldCharType="end"/>
          </w:r>
        </w:sdtContent>
      </w:sdt>
      <w:r>
        <w:t>. This model includes a comparison for the performance of detached and flats in the Canberra climate zone (NatHERS CZ 24 which is also found in select parts of Victoria). Comparing the average heating and cooling loads of detached dwellings with flats for climate zone 24 it was found that the heating loads associated with flats was 90 per cent of that of detached dwellings and the cooling loads 66 per cent. These percentage reduction factors were applied to the detached dwelling performance levels as developed for the ACT EEIS scheme.</w:t>
      </w:r>
    </w:p>
    <w:p w14:paraId="488DDDE1" w14:textId="77777777" w:rsidR="00676882" w:rsidRPr="00BB7857" w:rsidRDefault="00676882" w:rsidP="00676882">
      <w:pPr>
        <w:pStyle w:val="BodyText"/>
      </w:pPr>
      <w:r>
        <w:t xml:space="preserve">The impact of reduced heating and cooling loads stemming from the retrofit of insulation will depend to a large degree on the type and efficiency of space conditioning equipment installed in ACT dwellings. For the analysis of the impacts of insulation upgrades on actual heating and cooling energy consumption a </w:t>
      </w:r>
      <w:r w:rsidRPr="00023FD2">
        <w:t xml:space="preserve">heating and cooling equipment profile as described in section </w:t>
      </w:r>
      <w:r w:rsidRPr="009E4AB1">
        <w:fldChar w:fldCharType="begin"/>
      </w:r>
      <w:r w:rsidRPr="009E4AB1">
        <w:instrText xml:space="preserve"> REF _Ref80301301 \r \h  \* MERGEFORMAT </w:instrText>
      </w:r>
      <w:r w:rsidRPr="009E4AB1">
        <w:fldChar w:fldCharType="separate"/>
      </w:r>
      <w:r>
        <w:t>C.4.3</w:t>
      </w:r>
      <w:r w:rsidRPr="009E4AB1">
        <w:fldChar w:fldCharType="end"/>
      </w:r>
      <w:r w:rsidRPr="00023FD2">
        <w:t xml:space="preserve"> and </w:t>
      </w:r>
      <w:r w:rsidRPr="009E4AB1">
        <w:fldChar w:fldCharType="begin"/>
      </w:r>
      <w:r w:rsidRPr="009E4AB1">
        <w:instrText xml:space="preserve"> REF _Ref80301318 \r \h  \* MERGEFORMAT </w:instrText>
      </w:r>
      <w:r w:rsidRPr="009E4AB1">
        <w:fldChar w:fldCharType="separate"/>
      </w:r>
      <w:r>
        <w:t>C.4.4</w:t>
      </w:r>
      <w:r w:rsidRPr="009E4AB1">
        <w:fldChar w:fldCharType="end"/>
      </w:r>
      <w:r w:rsidRPr="00023FD2">
        <w:t xml:space="preserve"> was used.</w:t>
      </w:r>
    </w:p>
    <w:p w14:paraId="0585E718" w14:textId="77777777" w:rsidR="00676882" w:rsidRDefault="00676882" w:rsidP="00676882">
      <w:pPr>
        <w:pStyle w:val="Caption"/>
        <w:ind w:left="-784"/>
      </w:pPr>
      <w:bookmarkStart w:id="435" w:name="_Toc80719348"/>
      <w:r w:rsidRPr="00BB7857">
        <w:rPr>
          <w:rStyle w:val="CaptionLabel"/>
        </w:rPr>
        <w:t>Table </w:t>
      </w:r>
      <w:r w:rsidRPr="00BB7857">
        <w:rPr>
          <w:rStyle w:val="CaptionLabel"/>
        </w:rPr>
        <w:fldChar w:fldCharType="begin"/>
      </w:r>
      <w:r w:rsidRPr="00BB7857">
        <w:rPr>
          <w:rStyle w:val="CaptionLabel"/>
        </w:rPr>
        <w:instrText xml:space="preserve"> STYLEREF 9 \S \* MERGEFORMAT </w:instrText>
      </w:r>
      <w:r w:rsidRPr="00BB7857">
        <w:rPr>
          <w:rStyle w:val="CaptionLabel"/>
        </w:rPr>
        <w:fldChar w:fldCharType="separate"/>
      </w:r>
      <w:r>
        <w:rPr>
          <w:rStyle w:val="CaptionLabel"/>
          <w:noProof/>
        </w:rPr>
        <w:t>C</w:t>
      </w:r>
      <w:r w:rsidRPr="00BB7857">
        <w:rPr>
          <w:rStyle w:val="CaptionLabel"/>
        </w:rPr>
        <w:fldChar w:fldCharType="end"/>
      </w:r>
      <w:r w:rsidRPr="00BB7857">
        <w:rPr>
          <w:rStyle w:val="CaptionLabel"/>
        </w:rPr>
        <w:t>.</w:t>
      </w:r>
      <w:r w:rsidRPr="00BB7857">
        <w:rPr>
          <w:rStyle w:val="CaptionLabel"/>
        </w:rPr>
        <w:fldChar w:fldCharType="begin"/>
      </w:r>
      <w:r w:rsidRPr="00BB7857">
        <w:rPr>
          <w:rStyle w:val="CaptionLabel"/>
        </w:rPr>
        <w:instrText xml:space="preserve"> SEQ Table_AP \* ARABIC \S 9 \* MERGEFORMAT </w:instrText>
      </w:r>
      <w:r w:rsidRPr="00BB7857">
        <w:rPr>
          <w:rStyle w:val="CaptionLabel"/>
        </w:rPr>
        <w:fldChar w:fldCharType="separate"/>
      </w:r>
      <w:r>
        <w:rPr>
          <w:rStyle w:val="CaptionLabel"/>
          <w:noProof/>
        </w:rPr>
        <w:t>3</w:t>
      </w:r>
      <w:r w:rsidRPr="00BB7857">
        <w:rPr>
          <w:rStyle w:val="CaptionLabel"/>
        </w:rPr>
        <w:fldChar w:fldCharType="end"/>
      </w:r>
      <w:r>
        <w:tab/>
      </w:r>
      <w:r w:rsidRPr="00BB7857">
        <w:t>Thermal</w:t>
      </w:r>
      <w:r>
        <w:t xml:space="preserve"> </w:t>
      </w:r>
      <w:r w:rsidRPr="00BB7857">
        <w:t>Performance</w:t>
      </w:r>
      <w:r>
        <w:t xml:space="preserve"> </w:t>
      </w:r>
      <w:r w:rsidRPr="00BB7857">
        <w:t>Characteristics</w:t>
      </w:r>
      <w:r>
        <w:t xml:space="preserve"> of </w:t>
      </w:r>
      <w:r w:rsidRPr="00BB7857">
        <w:t>Ceiling</w:t>
      </w:r>
      <w:r>
        <w:t xml:space="preserve"> </w:t>
      </w:r>
      <w:r w:rsidRPr="00BB7857">
        <w:t>Insulation</w:t>
      </w:r>
      <w:r>
        <w:t xml:space="preserve"> </w:t>
      </w:r>
      <w:r w:rsidRPr="00BB7857">
        <w:t>Type</w:t>
      </w:r>
      <w:r>
        <w:t xml:space="preserve">, </w:t>
      </w:r>
      <w:r w:rsidRPr="00BB7857">
        <w:t>MJ/m</w:t>
      </w:r>
      <w:r w:rsidRPr="00BB7857">
        <w:rPr>
          <w:vertAlign w:val="superscript"/>
        </w:rPr>
        <w:t>2</w:t>
      </w:r>
      <w:r w:rsidRPr="00BB7857">
        <w:t>/yr</w:t>
      </w:r>
      <w:bookmarkEnd w:id="435"/>
    </w:p>
    <w:tbl>
      <w:tblPr>
        <w:tblW w:w="10352" w:type="dxa"/>
        <w:tblInd w:w="-2417"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3"/>
        <w:tblDescription w:val="Thermal Performance Characteristics of Ceiling Insulation Type, MJ/m2/yr"/>
      </w:tblPr>
      <w:tblGrid>
        <w:gridCol w:w="454"/>
        <w:gridCol w:w="1414"/>
        <w:gridCol w:w="1414"/>
        <w:gridCol w:w="1414"/>
        <w:gridCol w:w="1414"/>
        <w:gridCol w:w="1414"/>
        <w:gridCol w:w="1414"/>
        <w:gridCol w:w="1414"/>
      </w:tblGrid>
      <w:tr w:rsidR="00676882" w14:paraId="4CF9CC26" w14:textId="77777777" w:rsidTr="00DF45FA">
        <w:trPr>
          <w:tblHeader/>
        </w:trPr>
        <w:tc>
          <w:tcPr>
            <w:tcW w:w="1868" w:type="dxa"/>
            <w:gridSpan w:val="2"/>
            <w:tcBorders>
              <w:top w:val="nil"/>
              <w:bottom w:val="nil"/>
            </w:tcBorders>
            <w:shd w:val="clear" w:color="auto" w:fill="140034"/>
            <w:tcMar>
              <w:left w:w="454" w:type="dxa"/>
            </w:tcMar>
          </w:tcPr>
          <w:p w14:paraId="7CFF3BD6" w14:textId="77777777" w:rsidR="00676882" w:rsidRDefault="00676882" w:rsidP="00DF45FA">
            <w:pPr>
              <w:pStyle w:val="Tablecolumnheadings"/>
            </w:pPr>
          </w:p>
        </w:tc>
        <w:tc>
          <w:tcPr>
            <w:tcW w:w="4242" w:type="dxa"/>
            <w:gridSpan w:val="3"/>
            <w:tcBorders>
              <w:top w:val="nil"/>
              <w:bottom w:val="nil"/>
            </w:tcBorders>
            <w:shd w:val="clear" w:color="auto" w:fill="140034"/>
            <w:vAlign w:val="center"/>
          </w:tcPr>
          <w:p w14:paraId="66A782D1" w14:textId="77777777" w:rsidR="00676882" w:rsidRDefault="00676882" w:rsidP="00DF45FA">
            <w:pPr>
              <w:pStyle w:val="Tablecolumnheadings"/>
              <w:jc w:val="center"/>
            </w:pPr>
            <w:r>
              <w:t>Class 1</w:t>
            </w:r>
          </w:p>
        </w:tc>
        <w:tc>
          <w:tcPr>
            <w:tcW w:w="4242" w:type="dxa"/>
            <w:gridSpan w:val="3"/>
            <w:tcBorders>
              <w:top w:val="nil"/>
              <w:bottom w:val="nil"/>
              <w:right w:val="single" w:sz="6" w:space="0" w:color="140034"/>
            </w:tcBorders>
            <w:shd w:val="clear" w:color="auto" w:fill="140034"/>
            <w:vAlign w:val="center"/>
          </w:tcPr>
          <w:p w14:paraId="4352725A" w14:textId="77777777" w:rsidR="00676882" w:rsidRDefault="00676882" w:rsidP="00DF45FA">
            <w:pPr>
              <w:pStyle w:val="Tablecolumnheadings"/>
              <w:jc w:val="center"/>
            </w:pPr>
            <w:r>
              <w:t>Class 2</w:t>
            </w:r>
          </w:p>
        </w:tc>
      </w:tr>
      <w:tr w:rsidR="00676882" w14:paraId="5870953F" w14:textId="77777777" w:rsidTr="00DF45FA">
        <w:trPr>
          <w:gridBefore w:val="1"/>
          <w:wBefore w:w="454" w:type="dxa"/>
        </w:trPr>
        <w:tc>
          <w:tcPr>
            <w:tcW w:w="1414" w:type="dxa"/>
            <w:tcBorders>
              <w:top w:val="nil"/>
            </w:tcBorders>
            <w:shd w:val="clear" w:color="auto" w:fill="C8C8C8"/>
            <w:vAlign w:val="bottom"/>
          </w:tcPr>
          <w:p w14:paraId="2619A566" w14:textId="77777777" w:rsidR="00676882" w:rsidRDefault="00676882" w:rsidP="00DF45FA">
            <w:pPr>
              <w:pStyle w:val="Tableunitsrow"/>
            </w:pPr>
            <w:r>
              <w:rPr>
                <w:lang w:val="en-US" w:eastAsia="en-AU"/>
              </w:rPr>
              <w:t>Ceiling Insulation</w:t>
            </w:r>
          </w:p>
        </w:tc>
        <w:tc>
          <w:tcPr>
            <w:tcW w:w="1414" w:type="dxa"/>
            <w:tcBorders>
              <w:top w:val="nil"/>
            </w:tcBorders>
            <w:shd w:val="clear" w:color="auto" w:fill="C8C8C8"/>
            <w:vAlign w:val="center"/>
          </w:tcPr>
          <w:p w14:paraId="40EAFA7E" w14:textId="77777777" w:rsidR="00676882" w:rsidRDefault="00676882" w:rsidP="00DF45FA">
            <w:pPr>
              <w:pStyle w:val="Tableunitsrow"/>
              <w:jc w:val="center"/>
            </w:pPr>
            <w:r>
              <w:rPr>
                <w:lang w:val="en-US"/>
              </w:rPr>
              <w:t>Heating</w:t>
            </w:r>
          </w:p>
        </w:tc>
        <w:tc>
          <w:tcPr>
            <w:tcW w:w="1414" w:type="dxa"/>
            <w:tcBorders>
              <w:top w:val="nil"/>
            </w:tcBorders>
            <w:shd w:val="clear" w:color="auto" w:fill="C8C8C8"/>
            <w:vAlign w:val="center"/>
          </w:tcPr>
          <w:p w14:paraId="119895B5" w14:textId="77777777" w:rsidR="00676882" w:rsidRDefault="00676882" w:rsidP="00DF45FA">
            <w:pPr>
              <w:pStyle w:val="Tableunitsrow"/>
              <w:jc w:val="center"/>
            </w:pPr>
            <w:r>
              <w:rPr>
                <w:lang w:val="en-US"/>
              </w:rPr>
              <w:t>Cooling</w:t>
            </w:r>
          </w:p>
        </w:tc>
        <w:tc>
          <w:tcPr>
            <w:tcW w:w="1414" w:type="dxa"/>
            <w:tcBorders>
              <w:top w:val="nil"/>
            </w:tcBorders>
            <w:shd w:val="clear" w:color="auto" w:fill="C8C8C8"/>
            <w:vAlign w:val="center"/>
          </w:tcPr>
          <w:p w14:paraId="25B403BE" w14:textId="77777777" w:rsidR="00676882" w:rsidRPr="00BB7857" w:rsidRDefault="00676882" w:rsidP="00DF45FA">
            <w:pPr>
              <w:pStyle w:val="Tableunitsrow"/>
              <w:jc w:val="center"/>
              <w:rPr>
                <w:b/>
                <w:bCs/>
              </w:rPr>
            </w:pPr>
            <w:r w:rsidRPr="00BB7857">
              <w:rPr>
                <w:b/>
                <w:bCs/>
                <w:lang w:val="en-US"/>
              </w:rPr>
              <w:t>Total</w:t>
            </w:r>
          </w:p>
        </w:tc>
        <w:tc>
          <w:tcPr>
            <w:tcW w:w="1414" w:type="dxa"/>
            <w:tcBorders>
              <w:top w:val="nil"/>
            </w:tcBorders>
            <w:shd w:val="clear" w:color="auto" w:fill="C8C8C8"/>
            <w:vAlign w:val="center"/>
          </w:tcPr>
          <w:p w14:paraId="06005257" w14:textId="77777777" w:rsidR="00676882" w:rsidRDefault="00676882" w:rsidP="00DF45FA">
            <w:pPr>
              <w:pStyle w:val="Tableunitsrow"/>
              <w:jc w:val="center"/>
            </w:pPr>
            <w:r>
              <w:rPr>
                <w:lang w:val="en-US"/>
              </w:rPr>
              <w:t>Heating</w:t>
            </w:r>
          </w:p>
        </w:tc>
        <w:tc>
          <w:tcPr>
            <w:tcW w:w="1414" w:type="dxa"/>
            <w:tcBorders>
              <w:top w:val="nil"/>
            </w:tcBorders>
            <w:shd w:val="clear" w:color="auto" w:fill="C8C8C8"/>
            <w:vAlign w:val="center"/>
          </w:tcPr>
          <w:p w14:paraId="55637D90" w14:textId="77777777" w:rsidR="00676882" w:rsidRDefault="00676882" w:rsidP="00DF45FA">
            <w:pPr>
              <w:pStyle w:val="Tableunitsrow"/>
              <w:jc w:val="center"/>
            </w:pPr>
            <w:r>
              <w:rPr>
                <w:lang w:val="en-US"/>
              </w:rPr>
              <w:t>Cooling</w:t>
            </w:r>
          </w:p>
        </w:tc>
        <w:tc>
          <w:tcPr>
            <w:tcW w:w="1414" w:type="dxa"/>
            <w:tcBorders>
              <w:top w:val="nil"/>
            </w:tcBorders>
            <w:shd w:val="clear" w:color="auto" w:fill="C8C8C8"/>
            <w:vAlign w:val="center"/>
          </w:tcPr>
          <w:p w14:paraId="64D4F2B9" w14:textId="77777777" w:rsidR="00676882" w:rsidRPr="00BB7857" w:rsidRDefault="00676882" w:rsidP="00DF45FA">
            <w:pPr>
              <w:pStyle w:val="Tableunitsrow"/>
              <w:jc w:val="center"/>
              <w:rPr>
                <w:b/>
                <w:bCs/>
              </w:rPr>
            </w:pPr>
            <w:r w:rsidRPr="00BB7857">
              <w:rPr>
                <w:b/>
                <w:bCs/>
                <w:lang w:val="en-US"/>
              </w:rPr>
              <w:t>Total</w:t>
            </w:r>
          </w:p>
        </w:tc>
      </w:tr>
      <w:tr w:rsidR="00676882" w14:paraId="274E510A" w14:textId="77777777" w:rsidTr="00DF45FA">
        <w:trPr>
          <w:gridBefore w:val="1"/>
          <w:wBefore w:w="454" w:type="dxa"/>
        </w:trPr>
        <w:tc>
          <w:tcPr>
            <w:tcW w:w="1414" w:type="dxa"/>
            <w:shd w:val="clear" w:color="auto" w:fill="auto"/>
          </w:tcPr>
          <w:p w14:paraId="721A7D42" w14:textId="77777777" w:rsidR="00676882" w:rsidRDefault="00676882" w:rsidP="00DF45FA">
            <w:pPr>
              <w:pStyle w:val="Tabletext"/>
            </w:pPr>
            <w:r w:rsidRPr="0069781A">
              <w:t>R0</w:t>
            </w:r>
          </w:p>
        </w:tc>
        <w:tc>
          <w:tcPr>
            <w:tcW w:w="1414" w:type="dxa"/>
            <w:shd w:val="clear" w:color="auto" w:fill="auto"/>
            <w:vAlign w:val="center"/>
          </w:tcPr>
          <w:p w14:paraId="7D4431FA" w14:textId="77777777" w:rsidR="00676882" w:rsidRDefault="00676882" w:rsidP="00DF45FA">
            <w:pPr>
              <w:pStyle w:val="Tabletext"/>
              <w:jc w:val="right"/>
            </w:pPr>
            <w:r w:rsidRPr="0069781A">
              <w:t>763.0</w:t>
            </w:r>
          </w:p>
        </w:tc>
        <w:tc>
          <w:tcPr>
            <w:tcW w:w="1414" w:type="dxa"/>
            <w:shd w:val="clear" w:color="auto" w:fill="auto"/>
            <w:vAlign w:val="center"/>
          </w:tcPr>
          <w:p w14:paraId="3C3E3E54" w14:textId="77777777" w:rsidR="00676882" w:rsidRDefault="00676882" w:rsidP="00DF45FA">
            <w:pPr>
              <w:pStyle w:val="Tabletext"/>
              <w:jc w:val="right"/>
            </w:pPr>
            <w:r w:rsidRPr="0069781A">
              <w:t>168.8</w:t>
            </w:r>
          </w:p>
        </w:tc>
        <w:tc>
          <w:tcPr>
            <w:tcW w:w="1414" w:type="dxa"/>
            <w:shd w:val="clear" w:color="auto" w:fill="auto"/>
            <w:vAlign w:val="center"/>
          </w:tcPr>
          <w:p w14:paraId="3AE9F5C1" w14:textId="77777777" w:rsidR="00676882" w:rsidRPr="00BB7857" w:rsidRDefault="00676882" w:rsidP="00DF45FA">
            <w:pPr>
              <w:pStyle w:val="Tabletext"/>
              <w:jc w:val="right"/>
              <w:rPr>
                <w:b/>
                <w:bCs/>
              </w:rPr>
            </w:pPr>
            <w:r w:rsidRPr="00BB7857">
              <w:rPr>
                <w:b/>
                <w:bCs/>
              </w:rPr>
              <w:t>931.8</w:t>
            </w:r>
          </w:p>
        </w:tc>
        <w:tc>
          <w:tcPr>
            <w:tcW w:w="1414" w:type="dxa"/>
            <w:shd w:val="clear" w:color="auto" w:fill="auto"/>
            <w:vAlign w:val="center"/>
          </w:tcPr>
          <w:p w14:paraId="3C85D3C4" w14:textId="77777777" w:rsidR="00676882" w:rsidRDefault="00676882" w:rsidP="00DF45FA">
            <w:pPr>
              <w:pStyle w:val="Tabletext"/>
              <w:jc w:val="right"/>
            </w:pPr>
            <w:r w:rsidRPr="0069781A">
              <w:t>689.4</w:t>
            </w:r>
          </w:p>
        </w:tc>
        <w:tc>
          <w:tcPr>
            <w:tcW w:w="1414" w:type="dxa"/>
            <w:shd w:val="clear" w:color="auto" w:fill="auto"/>
            <w:vAlign w:val="center"/>
          </w:tcPr>
          <w:p w14:paraId="7519DA32" w14:textId="77777777" w:rsidR="00676882" w:rsidRDefault="00676882" w:rsidP="00DF45FA">
            <w:pPr>
              <w:pStyle w:val="Tabletext"/>
              <w:jc w:val="right"/>
            </w:pPr>
            <w:r w:rsidRPr="0069781A">
              <w:t>110.9</w:t>
            </w:r>
          </w:p>
        </w:tc>
        <w:tc>
          <w:tcPr>
            <w:tcW w:w="1414" w:type="dxa"/>
            <w:shd w:val="clear" w:color="auto" w:fill="auto"/>
            <w:vAlign w:val="center"/>
          </w:tcPr>
          <w:p w14:paraId="7BD4A1C1" w14:textId="77777777" w:rsidR="00676882" w:rsidRPr="00BB7857" w:rsidRDefault="00676882" w:rsidP="00DF45FA">
            <w:pPr>
              <w:pStyle w:val="Tabletext"/>
              <w:jc w:val="right"/>
              <w:rPr>
                <w:b/>
                <w:bCs/>
              </w:rPr>
            </w:pPr>
            <w:r w:rsidRPr="00BB7857">
              <w:rPr>
                <w:b/>
                <w:bCs/>
              </w:rPr>
              <w:t>800.3</w:t>
            </w:r>
          </w:p>
        </w:tc>
      </w:tr>
      <w:tr w:rsidR="00676882" w14:paraId="23BF7513" w14:textId="77777777" w:rsidTr="00DF45FA">
        <w:trPr>
          <w:gridBefore w:val="1"/>
          <w:wBefore w:w="454" w:type="dxa"/>
        </w:trPr>
        <w:tc>
          <w:tcPr>
            <w:tcW w:w="1414" w:type="dxa"/>
            <w:shd w:val="clear" w:color="auto" w:fill="auto"/>
          </w:tcPr>
          <w:p w14:paraId="0287C414" w14:textId="77777777" w:rsidR="00676882" w:rsidRDefault="00676882" w:rsidP="00DF45FA">
            <w:pPr>
              <w:pStyle w:val="Tabletext"/>
            </w:pPr>
            <w:r w:rsidRPr="0069781A">
              <w:t>0&lt;R&lt;2</w:t>
            </w:r>
            <w:r>
              <w:t xml:space="preserve"> </w:t>
            </w:r>
            <w:r w:rsidRPr="0069781A">
              <w:t>(</w:t>
            </w:r>
            <w:proofErr w:type="gramStart"/>
            <w:r w:rsidRPr="0069781A">
              <w:t>R0.5)</w:t>
            </w:r>
            <w:r w:rsidRPr="00BB7857">
              <w:rPr>
                <w:vertAlign w:val="superscript"/>
              </w:rPr>
              <w:t>a</w:t>
            </w:r>
            <w:proofErr w:type="gramEnd"/>
          </w:p>
        </w:tc>
        <w:tc>
          <w:tcPr>
            <w:tcW w:w="1414" w:type="dxa"/>
            <w:shd w:val="clear" w:color="auto" w:fill="auto"/>
            <w:vAlign w:val="center"/>
          </w:tcPr>
          <w:p w14:paraId="2D79E5C5" w14:textId="77777777" w:rsidR="00676882" w:rsidRDefault="00676882" w:rsidP="00DF45FA">
            <w:pPr>
              <w:pStyle w:val="Tabletext"/>
              <w:jc w:val="right"/>
            </w:pPr>
            <w:r w:rsidRPr="0069781A">
              <w:t>469.0</w:t>
            </w:r>
          </w:p>
        </w:tc>
        <w:tc>
          <w:tcPr>
            <w:tcW w:w="1414" w:type="dxa"/>
            <w:shd w:val="clear" w:color="auto" w:fill="auto"/>
            <w:vAlign w:val="center"/>
          </w:tcPr>
          <w:p w14:paraId="38707A61" w14:textId="77777777" w:rsidR="00676882" w:rsidRDefault="00676882" w:rsidP="00DF45FA">
            <w:pPr>
              <w:pStyle w:val="Tabletext"/>
              <w:jc w:val="right"/>
            </w:pPr>
            <w:r w:rsidRPr="0069781A">
              <w:t>73.0</w:t>
            </w:r>
          </w:p>
        </w:tc>
        <w:tc>
          <w:tcPr>
            <w:tcW w:w="1414" w:type="dxa"/>
            <w:shd w:val="clear" w:color="auto" w:fill="auto"/>
            <w:vAlign w:val="center"/>
          </w:tcPr>
          <w:p w14:paraId="4E13B47A" w14:textId="77777777" w:rsidR="00676882" w:rsidRPr="00BB7857" w:rsidRDefault="00676882" w:rsidP="00DF45FA">
            <w:pPr>
              <w:pStyle w:val="Tabletext"/>
              <w:jc w:val="right"/>
              <w:rPr>
                <w:b/>
                <w:bCs/>
              </w:rPr>
            </w:pPr>
            <w:r w:rsidRPr="00BB7857">
              <w:rPr>
                <w:b/>
                <w:bCs/>
              </w:rPr>
              <w:t>542.0</w:t>
            </w:r>
          </w:p>
        </w:tc>
        <w:tc>
          <w:tcPr>
            <w:tcW w:w="1414" w:type="dxa"/>
            <w:shd w:val="clear" w:color="auto" w:fill="auto"/>
            <w:vAlign w:val="center"/>
          </w:tcPr>
          <w:p w14:paraId="64FF92F8" w14:textId="77777777" w:rsidR="00676882" w:rsidRDefault="00676882" w:rsidP="00DF45FA">
            <w:pPr>
              <w:pStyle w:val="Tabletext"/>
              <w:jc w:val="right"/>
            </w:pPr>
            <w:r w:rsidRPr="0069781A">
              <w:t>423.8</w:t>
            </w:r>
          </w:p>
        </w:tc>
        <w:tc>
          <w:tcPr>
            <w:tcW w:w="1414" w:type="dxa"/>
            <w:shd w:val="clear" w:color="auto" w:fill="auto"/>
            <w:vAlign w:val="center"/>
          </w:tcPr>
          <w:p w14:paraId="3BB62E74" w14:textId="77777777" w:rsidR="00676882" w:rsidRDefault="00676882" w:rsidP="00DF45FA">
            <w:pPr>
              <w:pStyle w:val="Tabletext"/>
              <w:jc w:val="right"/>
            </w:pPr>
            <w:r w:rsidRPr="0069781A">
              <w:t>47.9</w:t>
            </w:r>
          </w:p>
        </w:tc>
        <w:tc>
          <w:tcPr>
            <w:tcW w:w="1414" w:type="dxa"/>
            <w:shd w:val="clear" w:color="auto" w:fill="auto"/>
            <w:vAlign w:val="center"/>
          </w:tcPr>
          <w:p w14:paraId="5720E35E" w14:textId="77777777" w:rsidR="00676882" w:rsidRPr="00BB7857" w:rsidRDefault="00676882" w:rsidP="00DF45FA">
            <w:pPr>
              <w:pStyle w:val="Tabletext"/>
              <w:jc w:val="right"/>
              <w:rPr>
                <w:b/>
                <w:bCs/>
              </w:rPr>
            </w:pPr>
            <w:r w:rsidRPr="00BB7857">
              <w:rPr>
                <w:b/>
                <w:bCs/>
              </w:rPr>
              <w:t>471.7</w:t>
            </w:r>
          </w:p>
        </w:tc>
      </w:tr>
      <w:tr w:rsidR="00676882" w14:paraId="3703C10D" w14:textId="77777777" w:rsidTr="00DF45FA">
        <w:trPr>
          <w:gridBefore w:val="1"/>
          <w:wBefore w:w="454" w:type="dxa"/>
        </w:trPr>
        <w:tc>
          <w:tcPr>
            <w:tcW w:w="1414" w:type="dxa"/>
            <w:shd w:val="clear" w:color="auto" w:fill="auto"/>
          </w:tcPr>
          <w:p w14:paraId="02FB3146" w14:textId="77777777" w:rsidR="00676882" w:rsidRDefault="00676882" w:rsidP="00DF45FA">
            <w:pPr>
              <w:pStyle w:val="Tabletext"/>
            </w:pPr>
            <w:r w:rsidRPr="0069781A">
              <w:t>R3</w:t>
            </w:r>
          </w:p>
        </w:tc>
        <w:tc>
          <w:tcPr>
            <w:tcW w:w="1414" w:type="dxa"/>
            <w:shd w:val="clear" w:color="auto" w:fill="auto"/>
            <w:vAlign w:val="center"/>
          </w:tcPr>
          <w:p w14:paraId="799DF5F6" w14:textId="77777777" w:rsidR="00676882" w:rsidRDefault="00676882" w:rsidP="00DF45FA">
            <w:pPr>
              <w:pStyle w:val="Tabletext"/>
              <w:jc w:val="right"/>
            </w:pPr>
            <w:r w:rsidRPr="0069781A">
              <w:t>410.0</w:t>
            </w:r>
          </w:p>
        </w:tc>
        <w:tc>
          <w:tcPr>
            <w:tcW w:w="1414" w:type="dxa"/>
            <w:shd w:val="clear" w:color="auto" w:fill="auto"/>
            <w:vAlign w:val="center"/>
          </w:tcPr>
          <w:p w14:paraId="3BF1CCAA" w14:textId="77777777" w:rsidR="00676882" w:rsidRDefault="00676882" w:rsidP="00DF45FA">
            <w:pPr>
              <w:pStyle w:val="Tabletext"/>
              <w:jc w:val="right"/>
            </w:pPr>
            <w:r w:rsidRPr="0069781A">
              <w:t>64.4</w:t>
            </w:r>
          </w:p>
        </w:tc>
        <w:tc>
          <w:tcPr>
            <w:tcW w:w="1414" w:type="dxa"/>
            <w:shd w:val="clear" w:color="auto" w:fill="auto"/>
            <w:vAlign w:val="center"/>
          </w:tcPr>
          <w:p w14:paraId="46456EB3" w14:textId="77777777" w:rsidR="00676882" w:rsidRPr="00BB7857" w:rsidRDefault="00676882" w:rsidP="00DF45FA">
            <w:pPr>
              <w:pStyle w:val="Tabletext"/>
              <w:jc w:val="right"/>
              <w:rPr>
                <w:b/>
                <w:bCs/>
              </w:rPr>
            </w:pPr>
            <w:r w:rsidRPr="00BB7857">
              <w:rPr>
                <w:b/>
                <w:bCs/>
              </w:rPr>
              <w:t>474.4</w:t>
            </w:r>
          </w:p>
        </w:tc>
        <w:tc>
          <w:tcPr>
            <w:tcW w:w="1414" w:type="dxa"/>
            <w:shd w:val="clear" w:color="auto" w:fill="auto"/>
            <w:vAlign w:val="center"/>
          </w:tcPr>
          <w:p w14:paraId="70B493CE" w14:textId="77777777" w:rsidR="00676882" w:rsidRDefault="00676882" w:rsidP="00DF45FA">
            <w:pPr>
              <w:pStyle w:val="Tabletext"/>
              <w:jc w:val="right"/>
            </w:pPr>
            <w:r w:rsidRPr="0069781A">
              <w:t>370.4</w:t>
            </w:r>
          </w:p>
        </w:tc>
        <w:tc>
          <w:tcPr>
            <w:tcW w:w="1414" w:type="dxa"/>
            <w:shd w:val="clear" w:color="auto" w:fill="auto"/>
            <w:vAlign w:val="center"/>
          </w:tcPr>
          <w:p w14:paraId="5A972A50" w14:textId="77777777" w:rsidR="00676882" w:rsidRDefault="00676882" w:rsidP="00DF45FA">
            <w:pPr>
              <w:pStyle w:val="Tabletext"/>
              <w:jc w:val="right"/>
            </w:pPr>
            <w:r w:rsidRPr="0069781A">
              <w:t>42.3</w:t>
            </w:r>
          </w:p>
        </w:tc>
        <w:tc>
          <w:tcPr>
            <w:tcW w:w="1414" w:type="dxa"/>
            <w:shd w:val="clear" w:color="auto" w:fill="auto"/>
            <w:vAlign w:val="center"/>
          </w:tcPr>
          <w:p w14:paraId="743F2F3A" w14:textId="77777777" w:rsidR="00676882" w:rsidRPr="00BB7857" w:rsidRDefault="00676882" w:rsidP="00DF45FA">
            <w:pPr>
              <w:pStyle w:val="Tabletext"/>
              <w:jc w:val="right"/>
              <w:rPr>
                <w:b/>
                <w:bCs/>
              </w:rPr>
            </w:pPr>
            <w:r w:rsidRPr="00BB7857">
              <w:rPr>
                <w:b/>
                <w:bCs/>
              </w:rPr>
              <w:t>412.8</w:t>
            </w:r>
          </w:p>
        </w:tc>
      </w:tr>
      <w:tr w:rsidR="00676882" w14:paraId="53BFAB24" w14:textId="77777777" w:rsidTr="00DF45FA">
        <w:trPr>
          <w:gridBefore w:val="1"/>
          <w:wBefore w:w="454" w:type="dxa"/>
        </w:trPr>
        <w:tc>
          <w:tcPr>
            <w:tcW w:w="1414" w:type="dxa"/>
            <w:shd w:val="clear" w:color="auto" w:fill="auto"/>
          </w:tcPr>
          <w:p w14:paraId="2611E8AA" w14:textId="77777777" w:rsidR="00676882" w:rsidRDefault="00676882" w:rsidP="00DF45FA">
            <w:pPr>
              <w:pStyle w:val="Tabletext"/>
            </w:pPr>
            <w:r w:rsidRPr="0069781A">
              <w:t>R4</w:t>
            </w:r>
          </w:p>
        </w:tc>
        <w:tc>
          <w:tcPr>
            <w:tcW w:w="1414" w:type="dxa"/>
            <w:shd w:val="clear" w:color="auto" w:fill="auto"/>
            <w:vAlign w:val="center"/>
          </w:tcPr>
          <w:p w14:paraId="18178C8A" w14:textId="77777777" w:rsidR="00676882" w:rsidRDefault="00676882" w:rsidP="00DF45FA">
            <w:pPr>
              <w:pStyle w:val="Tabletext"/>
              <w:jc w:val="right"/>
            </w:pPr>
            <w:r w:rsidRPr="0069781A">
              <w:t>386.4</w:t>
            </w:r>
          </w:p>
        </w:tc>
        <w:tc>
          <w:tcPr>
            <w:tcW w:w="1414" w:type="dxa"/>
            <w:shd w:val="clear" w:color="auto" w:fill="auto"/>
            <w:vAlign w:val="center"/>
          </w:tcPr>
          <w:p w14:paraId="5A77483F" w14:textId="77777777" w:rsidR="00676882" w:rsidRDefault="00676882" w:rsidP="00DF45FA">
            <w:pPr>
              <w:pStyle w:val="Tabletext"/>
              <w:jc w:val="right"/>
            </w:pPr>
            <w:r w:rsidRPr="0069781A">
              <w:t>61.0</w:t>
            </w:r>
          </w:p>
        </w:tc>
        <w:tc>
          <w:tcPr>
            <w:tcW w:w="1414" w:type="dxa"/>
            <w:shd w:val="clear" w:color="auto" w:fill="auto"/>
            <w:vAlign w:val="center"/>
          </w:tcPr>
          <w:p w14:paraId="2D1B88FB" w14:textId="77777777" w:rsidR="00676882" w:rsidRPr="00BB7857" w:rsidRDefault="00676882" w:rsidP="00DF45FA">
            <w:pPr>
              <w:pStyle w:val="Tabletext"/>
              <w:jc w:val="right"/>
              <w:rPr>
                <w:b/>
                <w:bCs/>
              </w:rPr>
            </w:pPr>
            <w:r w:rsidRPr="00BB7857">
              <w:rPr>
                <w:b/>
                <w:bCs/>
              </w:rPr>
              <w:t>447.4</w:t>
            </w:r>
          </w:p>
        </w:tc>
        <w:tc>
          <w:tcPr>
            <w:tcW w:w="1414" w:type="dxa"/>
            <w:shd w:val="clear" w:color="auto" w:fill="auto"/>
            <w:vAlign w:val="center"/>
          </w:tcPr>
          <w:p w14:paraId="1462D4D6" w14:textId="77777777" w:rsidR="00676882" w:rsidRDefault="00676882" w:rsidP="00DF45FA">
            <w:pPr>
              <w:pStyle w:val="Tabletext"/>
              <w:jc w:val="right"/>
            </w:pPr>
            <w:r w:rsidRPr="0069781A">
              <w:t>349.1</w:t>
            </w:r>
          </w:p>
        </w:tc>
        <w:tc>
          <w:tcPr>
            <w:tcW w:w="1414" w:type="dxa"/>
            <w:shd w:val="clear" w:color="auto" w:fill="auto"/>
            <w:vAlign w:val="center"/>
          </w:tcPr>
          <w:p w14:paraId="2E8BCC71" w14:textId="77777777" w:rsidR="00676882" w:rsidRDefault="00676882" w:rsidP="00DF45FA">
            <w:pPr>
              <w:pStyle w:val="Tabletext"/>
              <w:jc w:val="right"/>
            </w:pPr>
            <w:r w:rsidRPr="0069781A">
              <w:t>40.1</w:t>
            </w:r>
          </w:p>
        </w:tc>
        <w:tc>
          <w:tcPr>
            <w:tcW w:w="1414" w:type="dxa"/>
            <w:shd w:val="clear" w:color="auto" w:fill="auto"/>
            <w:vAlign w:val="center"/>
          </w:tcPr>
          <w:p w14:paraId="442ED574" w14:textId="77777777" w:rsidR="00676882" w:rsidRPr="00BB7857" w:rsidRDefault="00676882" w:rsidP="00DF45FA">
            <w:pPr>
              <w:pStyle w:val="Tabletext"/>
              <w:jc w:val="right"/>
              <w:rPr>
                <w:b/>
                <w:bCs/>
              </w:rPr>
            </w:pPr>
            <w:r w:rsidRPr="00BB7857">
              <w:rPr>
                <w:b/>
                <w:bCs/>
              </w:rPr>
              <w:t>389.2</w:t>
            </w:r>
          </w:p>
        </w:tc>
      </w:tr>
      <w:tr w:rsidR="00676882" w14:paraId="52464B40" w14:textId="77777777" w:rsidTr="00DF45FA">
        <w:trPr>
          <w:gridBefore w:val="1"/>
          <w:wBefore w:w="454" w:type="dxa"/>
        </w:trPr>
        <w:tc>
          <w:tcPr>
            <w:tcW w:w="1414" w:type="dxa"/>
            <w:shd w:val="clear" w:color="auto" w:fill="auto"/>
          </w:tcPr>
          <w:p w14:paraId="7B156269" w14:textId="77777777" w:rsidR="00676882" w:rsidRDefault="00676882" w:rsidP="00DF45FA">
            <w:pPr>
              <w:pStyle w:val="Tabletext"/>
            </w:pPr>
            <w:r w:rsidRPr="0069781A">
              <w:t>R5</w:t>
            </w:r>
          </w:p>
        </w:tc>
        <w:tc>
          <w:tcPr>
            <w:tcW w:w="1414" w:type="dxa"/>
            <w:shd w:val="clear" w:color="auto" w:fill="auto"/>
            <w:vAlign w:val="center"/>
          </w:tcPr>
          <w:p w14:paraId="7E6D4A48" w14:textId="77777777" w:rsidR="00676882" w:rsidRDefault="00676882" w:rsidP="00DF45FA">
            <w:pPr>
              <w:pStyle w:val="Tabletext"/>
              <w:jc w:val="right"/>
            </w:pPr>
            <w:r w:rsidRPr="0069781A">
              <w:t>380.8</w:t>
            </w:r>
          </w:p>
        </w:tc>
        <w:tc>
          <w:tcPr>
            <w:tcW w:w="1414" w:type="dxa"/>
            <w:shd w:val="clear" w:color="auto" w:fill="auto"/>
            <w:vAlign w:val="center"/>
          </w:tcPr>
          <w:p w14:paraId="41C79AFA" w14:textId="77777777" w:rsidR="00676882" w:rsidRDefault="00676882" w:rsidP="00DF45FA">
            <w:pPr>
              <w:pStyle w:val="Tabletext"/>
              <w:jc w:val="right"/>
            </w:pPr>
            <w:r w:rsidRPr="0069781A">
              <w:t>60.1</w:t>
            </w:r>
          </w:p>
        </w:tc>
        <w:tc>
          <w:tcPr>
            <w:tcW w:w="1414" w:type="dxa"/>
            <w:shd w:val="clear" w:color="auto" w:fill="auto"/>
            <w:vAlign w:val="center"/>
          </w:tcPr>
          <w:p w14:paraId="2191352D" w14:textId="77777777" w:rsidR="00676882" w:rsidRPr="00BB7857" w:rsidRDefault="00676882" w:rsidP="00DF45FA">
            <w:pPr>
              <w:pStyle w:val="Tabletext"/>
              <w:jc w:val="right"/>
              <w:rPr>
                <w:b/>
                <w:bCs/>
              </w:rPr>
            </w:pPr>
            <w:r w:rsidRPr="00BB7857">
              <w:rPr>
                <w:b/>
                <w:bCs/>
              </w:rPr>
              <w:t>440.8</w:t>
            </w:r>
          </w:p>
        </w:tc>
        <w:tc>
          <w:tcPr>
            <w:tcW w:w="1414" w:type="dxa"/>
            <w:shd w:val="clear" w:color="auto" w:fill="auto"/>
            <w:vAlign w:val="center"/>
          </w:tcPr>
          <w:p w14:paraId="5AB1B658" w14:textId="77777777" w:rsidR="00676882" w:rsidRDefault="00676882" w:rsidP="00DF45FA">
            <w:pPr>
              <w:pStyle w:val="Tabletext"/>
              <w:jc w:val="right"/>
            </w:pPr>
            <w:r w:rsidRPr="0069781A">
              <w:t>344.0</w:t>
            </w:r>
          </w:p>
        </w:tc>
        <w:tc>
          <w:tcPr>
            <w:tcW w:w="1414" w:type="dxa"/>
            <w:shd w:val="clear" w:color="auto" w:fill="auto"/>
            <w:vAlign w:val="center"/>
          </w:tcPr>
          <w:p w14:paraId="6EAD343E" w14:textId="77777777" w:rsidR="00676882" w:rsidRDefault="00676882" w:rsidP="00DF45FA">
            <w:pPr>
              <w:pStyle w:val="Tabletext"/>
              <w:jc w:val="right"/>
            </w:pPr>
            <w:r w:rsidRPr="0069781A">
              <w:t>39.4</w:t>
            </w:r>
          </w:p>
        </w:tc>
        <w:tc>
          <w:tcPr>
            <w:tcW w:w="1414" w:type="dxa"/>
            <w:shd w:val="clear" w:color="auto" w:fill="auto"/>
            <w:vAlign w:val="center"/>
          </w:tcPr>
          <w:p w14:paraId="05BA2C68" w14:textId="77777777" w:rsidR="00676882" w:rsidRPr="00BB7857" w:rsidRDefault="00676882" w:rsidP="00DF45FA">
            <w:pPr>
              <w:pStyle w:val="Tabletext"/>
              <w:jc w:val="right"/>
              <w:rPr>
                <w:b/>
                <w:bCs/>
              </w:rPr>
            </w:pPr>
            <w:r w:rsidRPr="00BB7857">
              <w:rPr>
                <w:b/>
                <w:bCs/>
              </w:rPr>
              <w:t>383.5</w:t>
            </w:r>
          </w:p>
        </w:tc>
      </w:tr>
      <w:tr w:rsidR="00676882" w14:paraId="0CE73630" w14:textId="77777777" w:rsidTr="00DF45FA">
        <w:trPr>
          <w:gridBefore w:val="1"/>
          <w:wBefore w:w="454" w:type="dxa"/>
        </w:trPr>
        <w:tc>
          <w:tcPr>
            <w:tcW w:w="9898" w:type="dxa"/>
            <w:gridSpan w:val="7"/>
            <w:tcBorders>
              <w:bottom w:val="single" w:sz="4" w:space="0" w:color="646464"/>
            </w:tcBorders>
            <w:shd w:val="clear" w:color="auto" w:fill="auto"/>
          </w:tcPr>
          <w:p w14:paraId="6DC1BC4D" w14:textId="77777777" w:rsidR="00676882" w:rsidRDefault="00676882" w:rsidP="00DF45FA">
            <w:pPr>
              <w:pStyle w:val="Note"/>
            </w:pPr>
            <w:proofErr w:type="gramStart"/>
            <w:r w:rsidRPr="00BB7857">
              <w:rPr>
                <w:rStyle w:val="Notelabel"/>
              </w:rPr>
              <w:t>a</w:t>
            </w:r>
            <w:proofErr w:type="gramEnd"/>
            <w:r>
              <w:rPr>
                <w:rStyle w:val="Notelabel"/>
              </w:rPr>
              <w:t xml:space="preserve"> </w:t>
            </w:r>
            <w:r w:rsidRPr="00BB7857">
              <w:t>Insulation</w:t>
            </w:r>
            <w:r>
              <w:t xml:space="preserve"> </w:t>
            </w:r>
            <w:r w:rsidRPr="00BB7857">
              <w:t>between</w:t>
            </w:r>
            <w:r>
              <w:t xml:space="preserve"> </w:t>
            </w:r>
            <w:r w:rsidRPr="00BB7857">
              <w:t>zero</w:t>
            </w:r>
            <w:r>
              <w:t xml:space="preserve"> </w:t>
            </w:r>
            <w:r w:rsidRPr="00BB7857">
              <w:t>and</w:t>
            </w:r>
            <w:r>
              <w:t xml:space="preserve"> </w:t>
            </w:r>
            <w:r w:rsidRPr="00BB7857">
              <w:t>R2</w:t>
            </w:r>
            <w:r>
              <w:t xml:space="preserve"> </w:t>
            </w:r>
            <w:r w:rsidRPr="00BB7857">
              <w:t>would</w:t>
            </w:r>
            <w:r>
              <w:t xml:space="preserve"> </w:t>
            </w:r>
            <w:r w:rsidRPr="00BB7857">
              <w:t>normally</w:t>
            </w:r>
            <w:r>
              <w:t xml:space="preserve"> </w:t>
            </w:r>
            <w:r w:rsidRPr="00BB7857">
              <w:t>be</w:t>
            </w:r>
            <w:r>
              <w:t xml:space="preserve"> </w:t>
            </w:r>
            <w:r w:rsidRPr="00BB7857">
              <w:t>expected</w:t>
            </w:r>
            <w:r>
              <w:t xml:space="preserve"> </w:t>
            </w:r>
            <w:r w:rsidRPr="00BB7857">
              <w:t>to</w:t>
            </w:r>
            <w:r>
              <w:t xml:space="preserve"> </w:t>
            </w:r>
            <w:r w:rsidRPr="00BB7857">
              <w:t>average</w:t>
            </w:r>
            <w:r>
              <w:t xml:space="preserve"> </w:t>
            </w:r>
            <w:r w:rsidRPr="00BB7857">
              <w:t>a</w:t>
            </w:r>
            <w:r>
              <w:t xml:space="preserve"> </w:t>
            </w:r>
            <w:r w:rsidRPr="00BB7857">
              <w:t>level</w:t>
            </w:r>
            <w:r>
              <w:t xml:space="preserve"> </w:t>
            </w:r>
            <w:r w:rsidRPr="00BB7857">
              <w:t>of</w:t>
            </w:r>
            <w:r>
              <w:t xml:space="preserve"> </w:t>
            </w:r>
            <w:r w:rsidRPr="00BB7857">
              <w:t>R1.</w:t>
            </w:r>
            <w:r>
              <w:t xml:space="preserve"> </w:t>
            </w:r>
            <w:r w:rsidRPr="00BB7857">
              <w:t>However,</w:t>
            </w:r>
            <w:r>
              <w:t xml:space="preserve"> </w:t>
            </w:r>
            <w:r w:rsidRPr="00BB7857">
              <w:t>in</w:t>
            </w:r>
            <w:r>
              <w:t xml:space="preserve"> </w:t>
            </w:r>
            <w:r w:rsidRPr="00BB7857">
              <w:t>line</w:t>
            </w:r>
            <w:r>
              <w:t xml:space="preserve"> </w:t>
            </w:r>
            <w:r w:rsidRPr="00BB7857">
              <w:t>with</w:t>
            </w:r>
            <w:r>
              <w:t xml:space="preserve"> </w:t>
            </w:r>
            <w:r w:rsidRPr="00BB7857">
              <w:t>the</w:t>
            </w:r>
            <w:r>
              <w:t xml:space="preserve"> </w:t>
            </w:r>
            <w:r w:rsidRPr="00BB7857">
              <w:t>approach</w:t>
            </w:r>
            <w:r>
              <w:t xml:space="preserve"> </w:t>
            </w:r>
            <w:r w:rsidRPr="00BB7857">
              <w:t>taken</w:t>
            </w:r>
            <w:r>
              <w:t xml:space="preserve"> </w:t>
            </w:r>
            <w:r w:rsidRPr="00BB7857">
              <w:t>in</w:t>
            </w:r>
            <w:r>
              <w:t xml:space="preserve"> </w:t>
            </w:r>
            <w:r w:rsidRPr="00BB7857">
              <w:t>the</w:t>
            </w:r>
            <w:r>
              <w:t xml:space="preserve"> </w:t>
            </w:r>
            <w:r w:rsidRPr="00BB7857">
              <w:t>EEIS</w:t>
            </w:r>
            <w:r>
              <w:t xml:space="preserve"> </w:t>
            </w:r>
            <w:r w:rsidRPr="00BB7857">
              <w:t>scheme</w:t>
            </w:r>
            <w:r>
              <w:t xml:space="preserve"> </w:t>
            </w:r>
            <w:r w:rsidRPr="00BB7857">
              <w:t>the</w:t>
            </w:r>
            <w:r>
              <w:t xml:space="preserve"> </w:t>
            </w:r>
            <w:r w:rsidRPr="00BB7857">
              <w:t>actual</w:t>
            </w:r>
            <w:r>
              <w:t xml:space="preserve"> </w:t>
            </w:r>
            <w:r w:rsidRPr="00BB7857">
              <w:t>performance</w:t>
            </w:r>
            <w:r>
              <w:t xml:space="preserve"> </w:t>
            </w:r>
            <w:r w:rsidRPr="00BB7857">
              <w:t>level</w:t>
            </w:r>
            <w:r>
              <w:t xml:space="preserve"> </w:t>
            </w:r>
            <w:r w:rsidRPr="00BB7857">
              <w:t>for</w:t>
            </w:r>
            <w:r>
              <w:t xml:space="preserve"> </w:t>
            </w:r>
            <w:r w:rsidRPr="00BB7857">
              <w:t>this</w:t>
            </w:r>
            <w:r>
              <w:t xml:space="preserve"> </w:t>
            </w:r>
            <w:r w:rsidRPr="00BB7857">
              <w:t>cohort</w:t>
            </w:r>
            <w:r>
              <w:t xml:space="preserve"> </w:t>
            </w:r>
            <w:r w:rsidRPr="00BB7857">
              <w:t>was</w:t>
            </w:r>
            <w:r>
              <w:t xml:space="preserve"> </w:t>
            </w:r>
            <w:r w:rsidRPr="00BB7857">
              <w:t>assumed</w:t>
            </w:r>
            <w:r>
              <w:t xml:space="preserve"> </w:t>
            </w:r>
            <w:r w:rsidRPr="00BB7857">
              <w:t>to</w:t>
            </w:r>
            <w:r>
              <w:t xml:space="preserve"> </w:t>
            </w:r>
            <w:r w:rsidRPr="00BB7857">
              <w:t>be</w:t>
            </w:r>
            <w:r>
              <w:t xml:space="preserve"> </w:t>
            </w:r>
            <w:r w:rsidRPr="00BB7857">
              <w:t>R0.5.</w:t>
            </w:r>
            <w:r>
              <w:t xml:space="preserve"> </w:t>
            </w:r>
            <w:r w:rsidRPr="00BB7857">
              <w:t>This</w:t>
            </w:r>
            <w:r>
              <w:t xml:space="preserve"> </w:t>
            </w:r>
            <w:r w:rsidRPr="00BB7857">
              <w:t>de</w:t>
            </w:r>
            <w:r>
              <w:t xml:space="preserve"> </w:t>
            </w:r>
            <w:r w:rsidRPr="00BB7857">
              <w:t>rating</w:t>
            </w:r>
            <w:r>
              <w:t xml:space="preserve"> </w:t>
            </w:r>
            <w:r w:rsidRPr="00BB7857">
              <w:t>is</w:t>
            </w:r>
            <w:r>
              <w:t xml:space="preserve"> </w:t>
            </w:r>
            <w:r w:rsidRPr="00BB7857">
              <w:t>predicated</w:t>
            </w:r>
            <w:r>
              <w:t xml:space="preserve"> </w:t>
            </w:r>
            <w:r w:rsidRPr="00BB7857">
              <w:t>on</w:t>
            </w:r>
            <w:r>
              <w:t xml:space="preserve"> </w:t>
            </w:r>
            <w:r w:rsidRPr="00BB7857">
              <w:t>the</w:t>
            </w:r>
            <w:r>
              <w:t xml:space="preserve"> </w:t>
            </w:r>
            <w:r w:rsidRPr="00BB7857">
              <w:t>basis</w:t>
            </w:r>
            <w:r>
              <w:t xml:space="preserve"> </w:t>
            </w:r>
            <w:r w:rsidRPr="00BB7857">
              <w:t>that</w:t>
            </w:r>
            <w:r>
              <w:t xml:space="preserve"> </w:t>
            </w:r>
            <w:r w:rsidRPr="00BB7857">
              <w:t>these</w:t>
            </w:r>
            <w:r>
              <w:t xml:space="preserve"> </w:t>
            </w:r>
            <w:r w:rsidRPr="00BB7857">
              <w:t>installations</w:t>
            </w:r>
            <w:r>
              <w:t xml:space="preserve"> </w:t>
            </w:r>
            <w:r w:rsidRPr="00BB7857">
              <w:t>would</w:t>
            </w:r>
            <w:r>
              <w:t xml:space="preserve"> </w:t>
            </w:r>
            <w:r w:rsidRPr="00BB7857">
              <w:t>all</w:t>
            </w:r>
            <w:r>
              <w:t xml:space="preserve"> </w:t>
            </w:r>
            <w:r w:rsidRPr="00BB7857">
              <w:t>be</w:t>
            </w:r>
            <w:r>
              <w:t xml:space="preserve"> </w:t>
            </w:r>
            <w:r w:rsidRPr="00BB7857">
              <w:t>at</w:t>
            </w:r>
            <w:r>
              <w:t xml:space="preserve"> </w:t>
            </w:r>
            <w:r w:rsidRPr="00BB7857">
              <w:t>least</w:t>
            </w:r>
            <w:r>
              <w:t xml:space="preserve"> </w:t>
            </w:r>
            <w:r w:rsidRPr="00BB7857">
              <w:t>30</w:t>
            </w:r>
            <w:r>
              <w:t xml:space="preserve"> </w:t>
            </w:r>
            <w:r w:rsidRPr="00BB7857">
              <w:t>years</w:t>
            </w:r>
            <w:r>
              <w:t xml:space="preserve"> </w:t>
            </w:r>
            <w:r w:rsidRPr="00BB7857">
              <w:t>old</w:t>
            </w:r>
            <w:r>
              <w:t xml:space="preserve"> </w:t>
            </w:r>
            <w:r w:rsidRPr="00BB7857">
              <w:t>and</w:t>
            </w:r>
            <w:r>
              <w:t xml:space="preserve">, in many cases, </w:t>
            </w:r>
            <w:r w:rsidRPr="00BB7857">
              <w:t>would</w:t>
            </w:r>
            <w:r>
              <w:t xml:space="preserve"> </w:t>
            </w:r>
            <w:r w:rsidRPr="00BB7857">
              <w:t>be</w:t>
            </w:r>
            <w:r>
              <w:t xml:space="preserve"> </w:t>
            </w:r>
            <w:r w:rsidRPr="00BB7857">
              <w:t>expected</w:t>
            </w:r>
            <w:r>
              <w:t xml:space="preserve"> </w:t>
            </w:r>
            <w:r w:rsidRPr="00BB7857">
              <w:t>to</w:t>
            </w:r>
            <w:r>
              <w:t xml:space="preserve"> </w:t>
            </w:r>
            <w:r w:rsidRPr="00BB7857">
              <w:t>no</w:t>
            </w:r>
            <w:r>
              <w:t xml:space="preserve"> </w:t>
            </w:r>
            <w:r w:rsidRPr="00BB7857">
              <w:t>longer</w:t>
            </w:r>
            <w:r>
              <w:t xml:space="preserve"> </w:t>
            </w:r>
            <w:r w:rsidRPr="00BB7857">
              <w:t>be</w:t>
            </w:r>
            <w:r>
              <w:t xml:space="preserve"> </w:t>
            </w:r>
            <w:r w:rsidRPr="00BB7857">
              <w:t>continuous</w:t>
            </w:r>
            <w:r>
              <w:t xml:space="preserve"> </w:t>
            </w:r>
            <w:r w:rsidRPr="00BB7857">
              <w:t>over</w:t>
            </w:r>
            <w:r>
              <w:t xml:space="preserve"> </w:t>
            </w:r>
            <w:r w:rsidRPr="00BB7857">
              <w:t>the</w:t>
            </w:r>
            <w:r>
              <w:t xml:space="preserve"> </w:t>
            </w:r>
            <w:r w:rsidRPr="00BB7857">
              <w:t>entire</w:t>
            </w:r>
            <w:r>
              <w:t xml:space="preserve"> </w:t>
            </w:r>
            <w:r w:rsidRPr="00BB7857">
              <w:t>ceiling</w:t>
            </w:r>
            <w:r>
              <w:t xml:space="preserve"> </w:t>
            </w:r>
            <w:r w:rsidRPr="00BB7857">
              <w:t>space.</w:t>
            </w:r>
            <w:r>
              <w:t xml:space="preserve"> </w:t>
            </w:r>
            <w:r w:rsidRPr="00BB7857">
              <w:t>Such</w:t>
            </w:r>
            <w:r>
              <w:t xml:space="preserve"> </w:t>
            </w:r>
            <w:r w:rsidRPr="00BB7857">
              <w:t>discontinuity</w:t>
            </w:r>
            <w:r>
              <w:t xml:space="preserve"> </w:t>
            </w:r>
            <w:r w:rsidRPr="00BB7857">
              <w:t>would</w:t>
            </w:r>
            <w:r>
              <w:t xml:space="preserve"> </w:t>
            </w:r>
            <w:r w:rsidRPr="00BB7857">
              <w:t>arise</w:t>
            </w:r>
            <w:r>
              <w:t xml:space="preserve"> </w:t>
            </w:r>
            <w:r w:rsidRPr="00BB7857">
              <w:t>due</w:t>
            </w:r>
            <w:r>
              <w:t xml:space="preserve"> </w:t>
            </w:r>
            <w:r w:rsidRPr="00BB7857">
              <w:t>to</w:t>
            </w:r>
            <w:r>
              <w:t xml:space="preserve"> </w:t>
            </w:r>
            <w:r w:rsidRPr="00BB7857">
              <w:t>poor</w:t>
            </w:r>
            <w:r>
              <w:t xml:space="preserve"> </w:t>
            </w:r>
            <w:r w:rsidRPr="00BB7857">
              <w:t>initial</w:t>
            </w:r>
            <w:r>
              <w:t xml:space="preserve"> </w:t>
            </w:r>
            <w:r w:rsidRPr="00BB7857">
              <w:t>installation</w:t>
            </w:r>
            <w:r>
              <w:t xml:space="preserve"> </w:t>
            </w:r>
            <w:r w:rsidRPr="00BB7857">
              <w:t>practice,</w:t>
            </w:r>
            <w:r>
              <w:t xml:space="preserve"> </w:t>
            </w:r>
            <w:r w:rsidRPr="00BB7857">
              <w:t>disturbance</w:t>
            </w:r>
            <w:r>
              <w:t xml:space="preserve"> </w:t>
            </w:r>
            <w:r w:rsidRPr="00BB7857">
              <w:t>of</w:t>
            </w:r>
            <w:r>
              <w:t xml:space="preserve"> </w:t>
            </w:r>
            <w:r w:rsidRPr="00BB7857">
              <w:t>the</w:t>
            </w:r>
            <w:r>
              <w:t xml:space="preserve"> </w:t>
            </w:r>
            <w:r w:rsidRPr="00BB7857">
              <w:t>insulation</w:t>
            </w:r>
            <w:r>
              <w:t xml:space="preserve"> </w:t>
            </w:r>
            <w:r w:rsidRPr="00BB7857">
              <w:t>layer</w:t>
            </w:r>
            <w:r>
              <w:t xml:space="preserve"> </w:t>
            </w:r>
            <w:r w:rsidRPr="00BB7857">
              <w:t>due</w:t>
            </w:r>
            <w:r>
              <w:t xml:space="preserve"> </w:t>
            </w:r>
            <w:r w:rsidRPr="00BB7857">
              <w:t>to</w:t>
            </w:r>
            <w:r>
              <w:t xml:space="preserve"> </w:t>
            </w:r>
            <w:r w:rsidRPr="00BB7857">
              <w:t>retrofit</w:t>
            </w:r>
            <w:r>
              <w:t xml:space="preserve"> </w:t>
            </w:r>
            <w:r w:rsidRPr="00BB7857">
              <w:t>of</w:t>
            </w:r>
            <w:r>
              <w:t xml:space="preserve"> </w:t>
            </w:r>
            <w:proofErr w:type="gramStart"/>
            <w:r w:rsidRPr="00BB7857">
              <w:t>down-lighting</w:t>
            </w:r>
            <w:proofErr w:type="gramEnd"/>
            <w:r>
              <w:t xml:space="preserve"> </w:t>
            </w:r>
            <w:r w:rsidRPr="00BB7857">
              <w:t>and</w:t>
            </w:r>
            <w:r>
              <w:t xml:space="preserve"> </w:t>
            </w:r>
            <w:r w:rsidRPr="00BB7857">
              <w:t>other</w:t>
            </w:r>
            <w:r>
              <w:t xml:space="preserve"> </w:t>
            </w:r>
            <w:r w:rsidRPr="00BB7857">
              <w:t>forms</w:t>
            </w:r>
            <w:r>
              <w:t xml:space="preserve"> </w:t>
            </w:r>
            <w:r w:rsidRPr="00BB7857">
              <w:t>of</w:t>
            </w:r>
            <w:r>
              <w:t xml:space="preserve"> </w:t>
            </w:r>
            <w:r w:rsidRPr="00BB7857">
              <w:t>minor</w:t>
            </w:r>
            <w:r>
              <w:t xml:space="preserve"> </w:t>
            </w:r>
            <w:r w:rsidRPr="00BB7857">
              <w:t>renovation</w:t>
            </w:r>
            <w:r>
              <w:t xml:space="preserve"> </w:t>
            </w:r>
            <w:r w:rsidRPr="00BB7857">
              <w:t>involving</w:t>
            </w:r>
            <w:r>
              <w:t xml:space="preserve"> </w:t>
            </w:r>
            <w:r w:rsidRPr="00BB7857">
              <w:t>the</w:t>
            </w:r>
            <w:r>
              <w:t xml:space="preserve"> </w:t>
            </w:r>
            <w:r w:rsidRPr="00BB7857">
              <w:t>ceiling</w:t>
            </w:r>
            <w:r>
              <w:t xml:space="preserve"> </w:t>
            </w:r>
            <w:r w:rsidRPr="00BB7857">
              <w:t>area</w:t>
            </w:r>
            <w:r>
              <w:t xml:space="preserve"> </w:t>
            </w:r>
            <w:r w:rsidRPr="00BB7857">
              <w:t>and</w:t>
            </w:r>
            <w:r>
              <w:t xml:space="preserve"> </w:t>
            </w:r>
            <w:r w:rsidRPr="00BB7857">
              <w:t>the</w:t>
            </w:r>
            <w:r>
              <w:t xml:space="preserve"> </w:t>
            </w:r>
            <w:r w:rsidRPr="00BB7857">
              <w:t>impact</w:t>
            </w:r>
            <w:r>
              <w:t xml:space="preserve"> </w:t>
            </w:r>
            <w:r w:rsidRPr="00BB7857">
              <w:t>of</w:t>
            </w:r>
            <w:r>
              <w:t xml:space="preserve"> </w:t>
            </w:r>
            <w:r w:rsidRPr="00BB7857">
              <w:t>vermin.</w:t>
            </w:r>
          </w:p>
          <w:p w14:paraId="3C61BEF3" w14:textId="77777777" w:rsidR="00676882" w:rsidRDefault="00676882" w:rsidP="00DF45FA">
            <w:pPr>
              <w:pStyle w:val="Source"/>
            </w:pPr>
            <w:r>
              <w:t>Source: Energy Efficient Strategies</w:t>
            </w:r>
          </w:p>
        </w:tc>
      </w:tr>
      <w:tr w:rsidR="00676882" w14:paraId="065DDD84" w14:textId="77777777" w:rsidTr="00DF45FA">
        <w:trPr>
          <w:gridBefore w:val="1"/>
          <w:wBefore w:w="454" w:type="dxa"/>
          <w:trHeight w:hRule="exact" w:val="160"/>
        </w:trPr>
        <w:tc>
          <w:tcPr>
            <w:tcW w:w="9898" w:type="dxa"/>
            <w:gridSpan w:val="7"/>
            <w:tcBorders>
              <w:top w:val="single" w:sz="4" w:space="0" w:color="646464"/>
              <w:bottom w:val="nil"/>
            </w:tcBorders>
            <w:shd w:val="clear" w:color="auto" w:fill="auto"/>
          </w:tcPr>
          <w:p w14:paraId="1D1694F9" w14:textId="77777777" w:rsidR="00676882" w:rsidRDefault="00676882" w:rsidP="00DF45FA">
            <w:pPr>
              <w:pStyle w:val="spacer"/>
            </w:pPr>
          </w:p>
        </w:tc>
      </w:tr>
    </w:tbl>
    <w:p w14:paraId="5A07C840" w14:textId="77777777" w:rsidR="00676882" w:rsidRDefault="00676882" w:rsidP="00676882">
      <w:pPr>
        <w:pStyle w:val="Heading3AP"/>
      </w:pPr>
      <w:r>
        <w:t>Costs</w:t>
      </w:r>
    </w:p>
    <w:p w14:paraId="779A1B09" w14:textId="77777777" w:rsidR="00676882" w:rsidRDefault="00676882" w:rsidP="00676882">
      <w:pPr>
        <w:pStyle w:val="BodyText"/>
      </w:pPr>
      <w:r w:rsidRPr="00BB7857">
        <w:t>To</w:t>
      </w:r>
      <w:r>
        <w:t xml:space="preserve"> </w:t>
      </w:r>
      <w:r w:rsidRPr="00BB7857">
        <w:t>establish</w:t>
      </w:r>
      <w:r>
        <w:t xml:space="preserve"> </w:t>
      </w:r>
      <w:r w:rsidRPr="00BB7857">
        <w:t>likely</w:t>
      </w:r>
      <w:r>
        <w:t xml:space="preserve"> </w:t>
      </w:r>
      <w:r w:rsidRPr="00BB7857">
        <w:t>costs</w:t>
      </w:r>
      <w:r>
        <w:t xml:space="preserve"> </w:t>
      </w:r>
      <w:r w:rsidRPr="00BB7857">
        <w:t>or</w:t>
      </w:r>
      <w:r>
        <w:t xml:space="preserve"> </w:t>
      </w:r>
      <w:r w:rsidRPr="00BB7857">
        <w:t>ceiling</w:t>
      </w:r>
      <w:r>
        <w:t xml:space="preserve"> </w:t>
      </w:r>
      <w:r w:rsidRPr="00BB7857">
        <w:t>insulation</w:t>
      </w:r>
      <w:r>
        <w:t xml:space="preserve"> </w:t>
      </w:r>
      <w:r w:rsidRPr="00BB7857">
        <w:t>retrofit</w:t>
      </w:r>
      <w:r>
        <w:t xml:space="preserve"> </w:t>
      </w:r>
      <w:r w:rsidRPr="00BB7857">
        <w:t>a</w:t>
      </w:r>
      <w:r>
        <w:t xml:space="preserve"> </w:t>
      </w:r>
      <w:r w:rsidRPr="00BB7857">
        <w:t>limited</w:t>
      </w:r>
      <w:r>
        <w:t xml:space="preserve"> </w:t>
      </w:r>
      <w:r w:rsidRPr="00BB7857">
        <w:t>survey</w:t>
      </w:r>
      <w:r>
        <w:t xml:space="preserve"> </w:t>
      </w:r>
      <w:r w:rsidRPr="00BB7857">
        <w:t>was</w:t>
      </w:r>
      <w:r>
        <w:t xml:space="preserve"> </w:t>
      </w:r>
      <w:r w:rsidRPr="00BB7857">
        <w:t>undertaken</w:t>
      </w:r>
      <w:r>
        <w:t xml:space="preserve"> </w:t>
      </w:r>
      <w:r w:rsidRPr="00BB7857">
        <w:t>of</w:t>
      </w:r>
      <w:r>
        <w:t xml:space="preserve"> </w:t>
      </w:r>
      <w:r w:rsidRPr="00BB7857">
        <w:t>three</w:t>
      </w:r>
      <w:r>
        <w:t xml:space="preserve"> </w:t>
      </w:r>
      <w:r w:rsidRPr="00BB7857">
        <w:t>suppliers</w:t>
      </w:r>
      <w:r>
        <w:t xml:space="preserve"> </w:t>
      </w:r>
      <w:r w:rsidRPr="00BB7857">
        <w:t>– Bunnings,</w:t>
      </w:r>
      <w:r>
        <w:t xml:space="preserve"> </w:t>
      </w:r>
      <w:r w:rsidRPr="00BB7857">
        <w:t>Insulation</w:t>
      </w:r>
      <w:r>
        <w:t xml:space="preserve"> </w:t>
      </w:r>
      <w:r w:rsidRPr="00BB7857">
        <w:t>Depot</w:t>
      </w:r>
      <w:r>
        <w:t xml:space="preserve"> </w:t>
      </w:r>
      <w:r w:rsidRPr="00BB7857">
        <w:t>and</w:t>
      </w:r>
      <w:r>
        <w:t xml:space="preserve"> </w:t>
      </w:r>
      <w:r w:rsidRPr="00BB7857">
        <w:t>Pricewise.</w:t>
      </w:r>
      <w:r>
        <w:t xml:space="preserve"> </w:t>
      </w:r>
      <w:r w:rsidRPr="00BB7857">
        <w:t>The</w:t>
      </w:r>
      <w:r>
        <w:t xml:space="preserve"> </w:t>
      </w:r>
      <w:r w:rsidRPr="00BB7857">
        <w:t>result</w:t>
      </w:r>
      <w:r>
        <w:t xml:space="preserve"> </w:t>
      </w:r>
      <w:r w:rsidRPr="00BB7857">
        <w:t>of</w:t>
      </w:r>
      <w:r>
        <w:t xml:space="preserve"> </w:t>
      </w:r>
      <w:r w:rsidRPr="00BB7857">
        <w:t>that</w:t>
      </w:r>
      <w:r>
        <w:t xml:space="preserve"> </w:t>
      </w:r>
      <w:r w:rsidRPr="00BB7857">
        <w:t>survey</w:t>
      </w:r>
      <w:r>
        <w:t xml:space="preserve"> </w:t>
      </w:r>
      <w:r w:rsidRPr="00BB7857">
        <w:t>is</w:t>
      </w:r>
      <w:r>
        <w:t xml:space="preserve"> </w:t>
      </w:r>
      <w:r w:rsidRPr="00BB7857">
        <w:t>shown</w:t>
      </w:r>
      <w:r>
        <w:t xml:space="preserve"> </w:t>
      </w:r>
      <w:r w:rsidRPr="00BB7857">
        <w:t>in</w:t>
      </w:r>
      <w:r>
        <w:t xml:space="preserve"> </w:t>
      </w:r>
      <w:r w:rsidRPr="009E4AB1">
        <w:fldChar w:fldCharType="begin"/>
      </w:r>
      <w:r w:rsidRPr="009E4AB1">
        <w:instrText xml:space="preserve"> REF _Ref76305527 \h  \* MERGEFORMAT </w:instrText>
      </w:r>
      <w:r w:rsidRPr="009E4AB1">
        <w:fldChar w:fldCharType="separate"/>
      </w:r>
      <w:r w:rsidRPr="00F32FCC">
        <w:t>Table C.4</w:t>
      </w:r>
      <w:r w:rsidRPr="009E4AB1">
        <w:fldChar w:fldCharType="end"/>
      </w:r>
      <w:r w:rsidRPr="00BB7857">
        <w:t>.</w:t>
      </w:r>
    </w:p>
    <w:p w14:paraId="6E0C15AA" w14:textId="77777777" w:rsidR="00676882" w:rsidRDefault="00676882" w:rsidP="00676882">
      <w:pPr>
        <w:pStyle w:val="Caption"/>
      </w:pPr>
      <w:bookmarkStart w:id="436" w:name="_Ref76305527"/>
      <w:bookmarkStart w:id="437" w:name="_Toc80719349"/>
      <w:r w:rsidRPr="00827462">
        <w:rPr>
          <w:rStyle w:val="CaptionLabel"/>
        </w:rPr>
        <w:t>Table </w:t>
      </w:r>
      <w:r w:rsidRPr="00827462">
        <w:rPr>
          <w:rStyle w:val="CaptionLabel"/>
        </w:rPr>
        <w:fldChar w:fldCharType="begin"/>
      </w:r>
      <w:r w:rsidRPr="00827462">
        <w:rPr>
          <w:rStyle w:val="CaptionLabel"/>
        </w:rPr>
        <w:instrText xml:space="preserve"> STYLEREF 9 \S \* MERGEFORMAT </w:instrText>
      </w:r>
      <w:r w:rsidRPr="00827462">
        <w:rPr>
          <w:rStyle w:val="CaptionLabel"/>
        </w:rPr>
        <w:fldChar w:fldCharType="separate"/>
      </w:r>
      <w:r>
        <w:rPr>
          <w:rStyle w:val="CaptionLabel"/>
          <w:noProof/>
        </w:rPr>
        <w:t>C</w:t>
      </w:r>
      <w:r w:rsidRPr="00827462">
        <w:rPr>
          <w:rStyle w:val="CaptionLabel"/>
        </w:rPr>
        <w:fldChar w:fldCharType="end"/>
      </w:r>
      <w:r w:rsidRPr="00827462">
        <w:rPr>
          <w:rStyle w:val="CaptionLabel"/>
        </w:rPr>
        <w:t>.</w:t>
      </w:r>
      <w:r w:rsidRPr="00827462">
        <w:rPr>
          <w:rStyle w:val="CaptionLabel"/>
        </w:rPr>
        <w:fldChar w:fldCharType="begin"/>
      </w:r>
      <w:r w:rsidRPr="00827462">
        <w:rPr>
          <w:rStyle w:val="CaptionLabel"/>
        </w:rPr>
        <w:instrText xml:space="preserve"> SEQ Table_AP \* ARABIC \S 9 \* MERGEFORMAT </w:instrText>
      </w:r>
      <w:r w:rsidRPr="00827462">
        <w:rPr>
          <w:rStyle w:val="CaptionLabel"/>
        </w:rPr>
        <w:fldChar w:fldCharType="separate"/>
      </w:r>
      <w:r>
        <w:rPr>
          <w:rStyle w:val="CaptionLabel"/>
          <w:noProof/>
        </w:rPr>
        <w:t>4</w:t>
      </w:r>
      <w:r w:rsidRPr="00827462">
        <w:rPr>
          <w:rStyle w:val="CaptionLabel"/>
        </w:rPr>
        <w:fldChar w:fldCharType="end"/>
      </w:r>
      <w:bookmarkEnd w:id="436"/>
      <w:r>
        <w:tab/>
      </w:r>
      <w:r w:rsidRPr="00827462">
        <w:t>Insulation</w:t>
      </w:r>
      <w:r>
        <w:t xml:space="preserve"> c</w:t>
      </w:r>
      <w:r w:rsidRPr="00827462">
        <w:t>osts</w:t>
      </w:r>
      <w:r>
        <w:t xml:space="preserve"> </w:t>
      </w:r>
      <w:r w:rsidRPr="00827462">
        <w:t xml:space="preserve">– </w:t>
      </w:r>
      <w:r>
        <w:t>v</w:t>
      </w:r>
      <w:r w:rsidRPr="00827462">
        <w:t>arious</w:t>
      </w:r>
      <w:r>
        <w:t xml:space="preserve"> </w:t>
      </w:r>
      <w:r w:rsidRPr="00827462">
        <w:t>sources</w:t>
      </w:r>
      <w:bookmarkEnd w:id="437"/>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4"/>
        <w:tblDescription w:val="Insulation costs – various sources"/>
      </w:tblPr>
      <w:tblGrid>
        <w:gridCol w:w="454"/>
        <w:gridCol w:w="1984"/>
        <w:gridCol w:w="1984"/>
        <w:gridCol w:w="1984"/>
        <w:gridCol w:w="1984"/>
      </w:tblGrid>
      <w:tr w:rsidR="00676882" w14:paraId="6E9CFFB5" w14:textId="77777777" w:rsidTr="00DF45FA">
        <w:trPr>
          <w:tblHeader/>
        </w:trPr>
        <w:tc>
          <w:tcPr>
            <w:tcW w:w="2438" w:type="dxa"/>
            <w:gridSpan w:val="2"/>
            <w:tcBorders>
              <w:top w:val="nil"/>
              <w:bottom w:val="nil"/>
            </w:tcBorders>
            <w:shd w:val="clear" w:color="auto" w:fill="140034"/>
            <w:tcMar>
              <w:left w:w="454" w:type="dxa"/>
            </w:tcMar>
          </w:tcPr>
          <w:p w14:paraId="60A7FC17" w14:textId="77777777" w:rsidR="00676882" w:rsidRDefault="00676882" w:rsidP="00DF45FA">
            <w:pPr>
              <w:pStyle w:val="Tablecolumnheadings"/>
            </w:pPr>
            <w:r w:rsidRPr="003675BF">
              <w:t>R</w:t>
            </w:r>
            <w:r>
              <w:t xml:space="preserve"> </w:t>
            </w:r>
            <w:r w:rsidRPr="003675BF">
              <w:t>Rating</w:t>
            </w:r>
          </w:p>
        </w:tc>
        <w:tc>
          <w:tcPr>
            <w:tcW w:w="1984" w:type="dxa"/>
            <w:tcBorders>
              <w:top w:val="nil"/>
              <w:bottom w:val="nil"/>
            </w:tcBorders>
            <w:shd w:val="clear" w:color="auto" w:fill="140034"/>
          </w:tcPr>
          <w:p w14:paraId="277ED666" w14:textId="77777777" w:rsidR="00676882" w:rsidRDefault="00676882" w:rsidP="00DF45FA">
            <w:pPr>
              <w:pStyle w:val="Tablecolumnheadings"/>
            </w:pPr>
            <w:r w:rsidRPr="003675BF">
              <w:t>Coverage</w:t>
            </w:r>
          </w:p>
        </w:tc>
        <w:tc>
          <w:tcPr>
            <w:tcW w:w="1984" w:type="dxa"/>
            <w:tcBorders>
              <w:top w:val="nil"/>
              <w:bottom w:val="nil"/>
            </w:tcBorders>
            <w:shd w:val="clear" w:color="auto" w:fill="140034"/>
          </w:tcPr>
          <w:p w14:paraId="47F3CAF1" w14:textId="77777777" w:rsidR="00676882" w:rsidRDefault="00676882" w:rsidP="00DF45FA">
            <w:pPr>
              <w:pStyle w:val="Tablecolumnheadings"/>
            </w:pPr>
            <w:r w:rsidRPr="003675BF">
              <w:t>Price</w:t>
            </w:r>
            <w:r>
              <w:t xml:space="preserve"> </w:t>
            </w:r>
            <w:r w:rsidRPr="003675BF">
              <w:t>($)</w:t>
            </w:r>
          </w:p>
        </w:tc>
        <w:tc>
          <w:tcPr>
            <w:tcW w:w="1984" w:type="dxa"/>
            <w:tcBorders>
              <w:top w:val="nil"/>
              <w:bottom w:val="nil"/>
              <w:right w:val="single" w:sz="6" w:space="0" w:color="140034"/>
            </w:tcBorders>
            <w:shd w:val="clear" w:color="auto" w:fill="140034"/>
          </w:tcPr>
          <w:p w14:paraId="6EBD48C1" w14:textId="77777777" w:rsidR="00676882" w:rsidRDefault="00676882" w:rsidP="00DF45FA">
            <w:pPr>
              <w:pStyle w:val="Tablecolumnheadings"/>
            </w:pPr>
            <w:r w:rsidRPr="003675BF">
              <w:t>$/m</w:t>
            </w:r>
            <w:r w:rsidRPr="00827462">
              <w:rPr>
                <w:vertAlign w:val="superscript"/>
              </w:rPr>
              <w:t>2</w:t>
            </w:r>
          </w:p>
        </w:tc>
      </w:tr>
      <w:tr w:rsidR="00676882" w14:paraId="3D3970AB" w14:textId="77777777" w:rsidTr="00DF45FA">
        <w:trPr>
          <w:gridBefore w:val="1"/>
          <w:wBefore w:w="454" w:type="dxa"/>
        </w:trPr>
        <w:tc>
          <w:tcPr>
            <w:tcW w:w="1984" w:type="dxa"/>
            <w:tcBorders>
              <w:top w:val="nil"/>
            </w:tcBorders>
            <w:shd w:val="clear" w:color="auto" w:fill="auto"/>
          </w:tcPr>
          <w:p w14:paraId="180ABCAA" w14:textId="77777777" w:rsidR="00676882" w:rsidRPr="00827462" w:rsidRDefault="00676882" w:rsidP="00DF45FA">
            <w:pPr>
              <w:pStyle w:val="Tabletext"/>
              <w:rPr>
                <w:b/>
                <w:bCs/>
              </w:rPr>
            </w:pPr>
            <w:r w:rsidRPr="00827462">
              <w:rPr>
                <w:b/>
                <w:bCs/>
              </w:rPr>
              <w:t>3</w:t>
            </w:r>
          </w:p>
        </w:tc>
        <w:tc>
          <w:tcPr>
            <w:tcW w:w="1984" w:type="dxa"/>
            <w:tcBorders>
              <w:top w:val="nil"/>
            </w:tcBorders>
            <w:shd w:val="clear" w:color="auto" w:fill="auto"/>
            <w:vAlign w:val="center"/>
          </w:tcPr>
          <w:p w14:paraId="6EF48D9D" w14:textId="77777777" w:rsidR="00676882" w:rsidRPr="00827462" w:rsidRDefault="00676882" w:rsidP="00DF45FA">
            <w:pPr>
              <w:pStyle w:val="Tabletext"/>
              <w:jc w:val="right"/>
              <w:rPr>
                <w:b/>
                <w:bCs/>
              </w:rPr>
            </w:pPr>
            <w:r w:rsidRPr="00827462">
              <w:rPr>
                <w:b/>
                <w:bCs/>
              </w:rPr>
              <w:t>70.7</w:t>
            </w:r>
          </w:p>
        </w:tc>
        <w:tc>
          <w:tcPr>
            <w:tcW w:w="1984" w:type="dxa"/>
            <w:tcBorders>
              <w:top w:val="nil"/>
            </w:tcBorders>
            <w:shd w:val="clear" w:color="auto" w:fill="auto"/>
            <w:vAlign w:val="center"/>
          </w:tcPr>
          <w:p w14:paraId="36E9A14B" w14:textId="77777777" w:rsidR="00676882" w:rsidRPr="00827462" w:rsidRDefault="00676882" w:rsidP="00DF45FA">
            <w:pPr>
              <w:pStyle w:val="Tabletext"/>
              <w:jc w:val="right"/>
              <w:rPr>
                <w:b/>
                <w:bCs/>
              </w:rPr>
            </w:pPr>
            <w:r w:rsidRPr="00827462">
              <w:rPr>
                <w:b/>
                <w:bCs/>
              </w:rPr>
              <w:t>15.47</w:t>
            </w:r>
          </w:p>
        </w:tc>
        <w:tc>
          <w:tcPr>
            <w:tcW w:w="1984" w:type="dxa"/>
            <w:tcBorders>
              <w:top w:val="nil"/>
            </w:tcBorders>
            <w:shd w:val="clear" w:color="auto" w:fill="auto"/>
            <w:vAlign w:val="center"/>
          </w:tcPr>
          <w:p w14:paraId="3BDD8B65" w14:textId="77777777" w:rsidR="00676882" w:rsidRPr="00827462" w:rsidRDefault="00676882" w:rsidP="00DF45FA">
            <w:pPr>
              <w:pStyle w:val="Tabletext"/>
              <w:jc w:val="right"/>
              <w:rPr>
                <w:b/>
                <w:bCs/>
              </w:rPr>
            </w:pPr>
            <w:r w:rsidRPr="00827462">
              <w:rPr>
                <w:b/>
                <w:bCs/>
              </w:rPr>
              <w:t xml:space="preserve"> $4.57</w:t>
            </w:r>
            <w:r>
              <w:rPr>
                <w:b/>
                <w:bCs/>
              </w:rPr>
              <w:t xml:space="preserve"> </w:t>
            </w:r>
          </w:p>
        </w:tc>
      </w:tr>
      <w:tr w:rsidR="00676882" w14:paraId="3ECF4C7A" w14:textId="77777777" w:rsidTr="00DF45FA">
        <w:trPr>
          <w:gridBefore w:val="1"/>
          <w:wBefore w:w="454" w:type="dxa"/>
        </w:trPr>
        <w:tc>
          <w:tcPr>
            <w:tcW w:w="1984" w:type="dxa"/>
            <w:shd w:val="clear" w:color="auto" w:fill="auto"/>
          </w:tcPr>
          <w:p w14:paraId="5FA414D4" w14:textId="77777777" w:rsidR="00676882" w:rsidRDefault="00676882" w:rsidP="00DF45FA">
            <w:pPr>
              <w:pStyle w:val="Tabletext"/>
            </w:pPr>
            <w:r w:rsidRPr="00D31489">
              <w:t>3</w:t>
            </w:r>
          </w:p>
        </w:tc>
        <w:tc>
          <w:tcPr>
            <w:tcW w:w="1984" w:type="dxa"/>
            <w:shd w:val="clear" w:color="auto" w:fill="auto"/>
            <w:vAlign w:val="center"/>
          </w:tcPr>
          <w:p w14:paraId="34BFF883" w14:textId="77777777" w:rsidR="00676882" w:rsidRDefault="00676882" w:rsidP="00DF45FA">
            <w:pPr>
              <w:pStyle w:val="Tabletext"/>
              <w:jc w:val="right"/>
            </w:pPr>
            <w:r w:rsidRPr="00D31489">
              <w:t>55.81</w:t>
            </w:r>
          </w:p>
        </w:tc>
        <w:tc>
          <w:tcPr>
            <w:tcW w:w="1984" w:type="dxa"/>
            <w:shd w:val="clear" w:color="auto" w:fill="auto"/>
            <w:vAlign w:val="center"/>
          </w:tcPr>
          <w:p w14:paraId="43AD77DB" w14:textId="77777777" w:rsidR="00676882" w:rsidRDefault="00676882" w:rsidP="00DF45FA">
            <w:pPr>
              <w:pStyle w:val="Tabletext"/>
              <w:jc w:val="right"/>
            </w:pPr>
            <w:r w:rsidRPr="00D31489">
              <w:t>10.8</w:t>
            </w:r>
          </w:p>
        </w:tc>
        <w:tc>
          <w:tcPr>
            <w:tcW w:w="1984" w:type="dxa"/>
            <w:shd w:val="clear" w:color="auto" w:fill="auto"/>
            <w:vAlign w:val="center"/>
          </w:tcPr>
          <w:p w14:paraId="70DBE439" w14:textId="77777777" w:rsidR="00676882" w:rsidRDefault="00676882" w:rsidP="00DF45FA">
            <w:pPr>
              <w:pStyle w:val="Tabletext"/>
              <w:jc w:val="right"/>
            </w:pPr>
            <w:r w:rsidRPr="00D31489">
              <w:t xml:space="preserve"> $5.17</w:t>
            </w:r>
            <w:r>
              <w:t xml:space="preserve"> </w:t>
            </w:r>
          </w:p>
        </w:tc>
      </w:tr>
      <w:tr w:rsidR="00676882" w14:paraId="6CC47B3E" w14:textId="77777777" w:rsidTr="00DF45FA">
        <w:trPr>
          <w:gridBefore w:val="1"/>
          <w:wBefore w:w="454" w:type="dxa"/>
        </w:trPr>
        <w:tc>
          <w:tcPr>
            <w:tcW w:w="1984" w:type="dxa"/>
            <w:shd w:val="clear" w:color="auto" w:fill="auto"/>
          </w:tcPr>
          <w:p w14:paraId="31B5C235" w14:textId="77777777" w:rsidR="00676882" w:rsidRPr="00827462" w:rsidRDefault="00676882" w:rsidP="00DF45FA">
            <w:pPr>
              <w:pStyle w:val="Tabletext"/>
              <w:rPr>
                <w:b/>
                <w:bCs/>
              </w:rPr>
            </w:pPr>
            <w:r w:rsidRPr="00827462">
              <w:rPr>
                <w:b/>
                <w:bCs/>
              </w:rPr>
              <w:t>5</w:t>
            </w:r>
          </w:p>
        </w:tc>
        <w:tc>
          <w:tcPr>
            <w:tcW w:w="1984" w:type="dxa"/>
            <w:shd w:val="clear" w:color="auto" w:fill="auto"/>
            <w:vAlign w:val="center"/>
          </w:tcPr>
          <w:p w14:paraId="24E83596" w14:textId="77777777" w:rsidR="00676882" w:rsidRPr="00827462" w:rsidRDefault="00676882" w:rsidP="00DF45FA">
            <w:pPr>
              <w:pStyle w:val="Tabletext"/>
              <w:jc w:val="right"/>
              <w:rPr>
                <w:b/>
                <w:bCs/>
              </w:rPr>
            </w:pPr>
            <w:r w:rsidRPr="00827462">
              <w:rPr>
                <w:b/>
                <w:bCs/>
              </w:rPr>
              <w:t>45.72</w:t>
            </w:r>
          </w:p>
        </w:tc>
        <w:tc>
          <w:tcPr>
            <w:tcW w:w="1984" w:type="dxa"/>
            <w:shd w:val="clear" w:color="auto" w:fill="auto"/>
            <w:vAlign w:val="center"/>
          </w:tcPr>
          <w:p w14:paraId="7B5C7628" w14:textId="77777777" w:rsidR="00676882" w:rsidRPr="00827462" w:rsidRDefault="00676882" w:rsidP="00DF45FA">
            <w:pPr>
              <w:pStyle w:val="Tabletext"/>
              <w:jc w:val="right"/>
              <w:rPr>
                <w:b/>
                <w:bCs/>
              </w:rPr>
            </w:pPr>
            <w:r w:rsidRPr="00827462">
              <w:rPr>
                <w:b/>
                <w:bCs/>
              </w:rPr>
              <w:t>5.4</w:t>
            </w:r>
          </w:p>
        </w:tc>
        <w:tc>
          <w:tcPr>
            <w:tcW w:w="1984" w:type="dxa"/>
            <w:shd w:val="clear" w:color="auto" w:fill="auto"/>
            <w:vAlign w:val="center"/>
          </w:tcPr>
          <w:p w14:paraId="252DE55A" w14:textId="77777777" w:rsidR="00676882" w:rsidRPr="00827462" w:rsidRDefault="00676882" w:rsidP="00DF45FA">
            <w:pPr>
              <w:pStyle w:val="Tabletext"/>
              <w:jc w:val="right"/>
              <w:rPr>
                <w:b/>
                <w:bCs/>
              </w:rPr>
            </w:pPr>
            <w:r w:rsidRPr="00827462">
              <w:rPr>
                <w:b/>
                <w:bCs/>
              </w:rPr>
              <w:t xml:space="preserve"> $8.47</w:t>
            </w:r>
            <w:r>
              <w:rPr>
                <w:b/>
                <w:bCs/>
              </w:rPr>
              <w:t xml:space="preserve"> </w:t>
            </w:r>
          </w:p>
        </w:tc>
      </w:tr>
      <w:tr w:rsidR="00676882" w14:paraId="700F8E53" w14:textId="77777777" w:rsidTr="00DF45FA">
        <w:trPr>
          <w:gridBefore w:val="1"/>
          <w:wBefore w:w="454" w:type="dxa"/>
        </w:trPr>
        <w:tc>
          <w:tcPr>
            <w:tcW w:w="1984" w:type="dxa"/>
            <w:shd w:val="clear" w:color="auto" w:fill="auto"/>
          </w:tcPr>
          <w:p w14:paraId="48B8F9A7" w14:textId="77777777" w:rsidR="00676882" w:rsidRDefault="00676882" w:rsidP="00DF45FA">
            <w:pPr>
              <w:pStyle w:val="Tabletext"/>
            </w:pPr>
            <w:r w:rsidRPr="00D31489">
              <w:t>5</w:t>
            </w:r>
          </w:p>
        </w:tc>
        <w:tc>
          <w:tcPr>
            <w:tcW w:w="1984" w:type="dxa"/>
            <w:shd w:val="clear" w:color="auto" w:fill="auto"/>
            <w:vAlign w:val="center"/>
          </w:tcPr>
          <w:p w14:paraId="7B4E4685" w14:textId="77777777" w:rsidR="00676882" w:rsidRDefault="00676882" w:rsidP="00DF45FA">
            <w:pPr>
              <w:pStyle w:val="Tabletext"/>
              <w:jc w:val="right"/>
            </w:pPr>
            <w:r w:rsidRPr="00D31489">
              <w:t>71.3</w:t>
            </w:r>
          </w:p>
        </w:tc>
        <w:tc>
          <w:tcPr>
            <w:tcW w:w="1984" w:type="dxa"/>
            <w:shd w:val="clear" w:color="auto" w:fill="auto"/>
            <w:vAlign w:val="center"/>
          </w:tcPr>
          <w:p w14:paraId="04F447C4" w14:textId="77777777" w:rsidR="00676882" w:rsidRDefault="00676882" w:rsidP="00DF45FA">
            <w:pPr>
              <w:pStyle w:val="Tabletext"/>
              <w:jc w:val="right"/>
            </w:pPr>
            <w:r w:rsidRPr="00D31489">
              <w:t>7.4</w:t>
            </w:r>
          </w:p>
        </w:tc>
        <w:tc>
          <w:tcPr>
            <w:tcW w:w="1984" w:type="dxa"/>
            <w:shd w:val="clear" w:color="auto" w:fill="auto"/>
            <w:vAlign w:val="center"/>
          </w:tcPr>
          <w:p w14:paraId="2A71EFF7" w14:textId="77777777" w:rsidR="00676882" w:rsidRDefault="00676882" w:rsidP="00DF45FA">
            <w:pPr>
              <w:pStyle w:val="Tabletext"/>
              <w:jc w:val="right"/>
            </w:pPr>
            <w:r w:rsidRPr="00D31489">
              <w:t xml:space="preserve"> $9.64</w:t>
            </w:r>
            <w:r>
              <w:t xml:space="preserve"> </w:t>
            </w:r>
          </w:p>
        </w:tc>
      </w:tr>
      <w:tr w:rsidR="00676882" w14:paraId="7B888420" w14:textId="77777777" w:rsidTr="00DF45FA">
        <w:trPr>
          <w:gridBefore w:val="1"/>
          <w:wBefore w:w="454" w:type="dxa"/>
        </w:trPr>
        <w:tc>
          <w:tcPr>
            <w:tcW w:w="1984" w:type="dxa"/>
            <w:shd w:val="clear" w:color="auto" w:fill="auto"/>
          </w:tcPr>
          <w:p w14:paraId="1FD3FDD1" w14:textId="77777777" w:rsidR="00676882" w:rsidRDefault="00676882" w:rsidP="00DF45FA">
            <w:pPr>
              <w:pStyle w:val="Tabletext"/>
            </w:pPr>
            <w:r w:rsidRPr="00D31489">
              <w:t>5</w:t>
            </w:r>
          </w:p>
        </w:tc>
        <w:tc>
          <w:tcPr>
            <w:tcW w:w="1984" w:type="dxa"/>
            <w:shd w:val="clear" w:color="auto" w:fill="auto"/>
            <w:vAlign w:val="center"/>
          </w:tcPr>
          <w:p w14:paraId="22BCF18D" w14:textId="77777777" w:rsidR="00676882" w:rsidRDefault="00676882" w:rsidP="00DF45FA">
            <w:pPr>
              <w:pStyle w:val="Tabletext"/>
              <w:jc w:val="right"/>
            </w:pPr>
            <w:r w:rsidRPr="00D31489">
              <w:t>75</w:t>
            </w:r>
          </w:p>
        </w:tc>
        <w:tc>
          <w:tcPr>
            <w:tcW w:w="1984" w:type="dxa"/>
            <w:shd w:val="clear" w:color="auto" w:fill="auto"/>
            <w:vAlign w:val="center"/>
          </w:tcPr>
          <w:p w14:paraId="458B71A8" w14:textId="77777777" w:rsidR="00676882" w:rsidRDefault="00676882" w:rsidP="00DF45FA">
            <w:pPr>
              <w:pStyle w:val="Tabletext"/>
              <w:jc w:val="right"/>
            </w:pPr>
            <w:r w:rsidRPr="00D31489">
              <w:t>7.5</w:t>
            </w:r>
          </w:p>
        </w:tc>
        <w:tc>
          <w:tcPr>
            <w:tcW w:w="1984" w:type="dxa"/>
            <w:shd w:val="clear" w:color="auto" w:fill="auto"/>
            <w:vAlign w:val="center"/>
          </w:tcPr>
          <w:p w14:paraId="11942628" w14:textId="77777777" w:rsidR="00676882" w:rsidRDefault="00676882" w:rsidP="00DF45FA">
            <w:pPr>
              <w:pStyle w:val="Tabletext"/>
              <w:jc w:val="right"/>
            </w:pPr>
            <w:r w:rsidRPr="00D31489">
              <w:t xml:space="preserve"> $10.00</w:t>
            </w:r>
            <w:r>
              <w:t xml:space="preserve"> </w:t>
            </w:r>
          </w:p>
        </w:tc>
      </w:tr>
      <w:tr w:rsidR="00676882" w14:paraId="0D5C9EEB" w14:textId="77777777" w:rsidTr="00DF45FA">
        <w:trPr>
          <w:gridBefore w:val="1"/>
          <w:wBefore w:w="454" w:type="dxa"/>
        </w:trPr>
        <w:tc>
          <w:tcPr>
            <w:tcW w:w="1984" w:type="dxa"/>
            <w:shd w:val="clear" w:color="auto" w:fill="auto"/>
          </w:tcPr>
          <w:p w14:paraId="3F41B749" w14:textId="77777777" w:rsidR="00676882" w:rsidRDefault="00676882" w:rsidP="00DF45FA">
            <w:pPr>
              <w:pStyle w:val="Tabletext"/>
            </w:pPr>
            <w:r w:rsidRPr="00D31489">
              <w:t>5</w:t>
            </w:r>
          </w:p>
        </w:tc>
        <w:tc>
          <w:tcPr>
            <w:tcW w:w="1984" w:type="dxa"/>
            <w:shd w:val="clear" w:color="auto" w:fill="auto"/>
            <w:vAlign w:val="center"/>
          </w:tcPr>
          <w:p w14:paraId="57214881" w14:textId="77777777" w:rsidR="00676882" w:rsidRDefault="00676882" w:rsidP="00DF45FA">
            <w:pPr>
              <w:pStyle w:val="Tabletext"/>
              <w:jc w:val="right"/>
            </w:pPr>
            <w:r w:rsidRPr="00D31489">
              <w:t>55</w:t>
            </w:r>
          </w:p>
        </w:tc>
        <w:tc>
          <w:tcPr>
            <w:tcW w:w="1984" w:type="dxa"/>
            <w:shd w:val="clear" w:color="auto" w:fill="auto"/>
            <w:vAlign w:val="center"/>
          </w:tcPr>
          <w:p w14:paraId="32E766AA" w14:textId="77777777" w:rsidR="00676882" w:rsidRDefault="00676882" w:rsidP="00DF45FA">
            <w:pPr>
              <w:pStyle w:val="Tabletext"/>
              <w:jc w:val="right"/>
            </w:pPr>
            <w:r w:rsidRPr="00D31489">
              <w:t>5.49</w:t>
            </w:r>
          </w:p>
        </w:tc>
        <w:tc>
          <w:tcPr>
            <w:tcW w:w="1984" w:type="dxa"/>
            <w:shd w:val="clear" w:color="auto" w:fill="auto"/>
            <w:vAlign w:val="center"/>
          </w:tcPr>
          <w:p w14:paraId="725A4D83" w14:textId="77777777" w:rsidR="00676882" w:rsidRDefault="00676882" w:rsidP="00DF45FA">
            <w:pPr>
              <w:pStyle w:val="Tabletext"/>
              <w:jc w:val="right"/>
            </w:pPr>
            <w:r w:rsidRPr="00D31489">
              <w:t xml:space="preserve"> $10.02</w:t>
            </w:r>
            <w:r>
              <w:t xml:space="preserve"> </w:t>
            </w:r>
          </w:p>
        </w:tc>
      </w:tr>
      <w:tr w:rsidR="00676882" w14:paraId="19F86588" w14:textId="77777777" w:rsidTr="00DF45FA">
        <w:trPr>
          <w:gridBefore w:val="1"/>
          <w:wBefore w:w="454" w:type="dxa"/>
        </w:trPr>
        <w:tc>
          <w:tcPr>
            <w:tcW w:w="1984" w:type="dxa"/>
            <w:shd w:val="clear" w:color="auto" w:fill="auto"/>
          </w:tcPr>
          <w:p w14:paraId="35494875" w14:textId="77777777" w:rsidR="00676882" w:rsidRDefault="00676882" w:rsidP="00DF45FA">
            <w:pPr>
              <w:pStyle w:val="Tabletext"/>
            </w:pPr>
            <w:r w:rsidRPr="00D31489">
              <w:t>5</w:t>
            </w:r>
          </w:p>
        </w:tc>
        <w:tc>
          <w:tcPr>
            <w:tcW w:w="1984" w:type="dxa"/>
            <w:shd w:val="clear" w:color="auto" w:fill="auto"/>
            <w:vAlign w:val="center"/>
          </w:tcPr>
          <w:p w14:paraId="576D74FD" w14:textId="77777777" w:rsidR="00676882" w:rsidRDefault="00676882" w:rsidP="00DF45FA">
            <w:pPr>
              <w:pStyle w:val="Tabletext"/>
              <w:jc w:val="right"/>
            </w:pPr>
            <w:r w:rsidRPr="00D31489">
              <w:t>62.88</w:t>
            </w:r>
          </w:p>
        </w:tc>
        <w:tc>
          <w:tcPr>
            <w:tcW w:w="1984" w:type="dxa"/>
            <w:shd w:val="clear" w:color="auto" w:fill="auto"/>
            <w:vAlign w:val="center"/>
          </w:tcPr>
          <w:p w14:paraId="1D2DE880" w14:textId="77777777" w:rsidR="00676882" w:rsidRDefault="00676882" w:rsidP="00DF45FA">
            <w:pPr>
              <w:pStyle w:val="Tabletext"/>
              <w:jc w:val="right"/>
            </w:pPr>
            <w:r w:rsidRPr="00D31489">
              <w:t>6.1</w:t>
            </w:r>
          </w:p>
        </w:tc>
        <w:tc>
          <w:tcPr>
            <w:tcW w:w="1984" w:type="dxa"/>
            <w:shd w:val="clear" w:color="auto" w:fill="auto"/>
            <w:vAlign w:val="center"/>
          </w:tcPr>
          <w:p w14:paraId="053D4122" w14:textId="77777777" w:rsidR="00676882" w:rsidRDefault="00676882" w:rsidP="00DF45FA">
            <w:pPr>
              <w:pStyle w:val="Tabletext"/>
              <w:jc w:val="right"/>
            </w:pPr>
            <w:r w:rsidRPr="00D31489">
              <w:t xml:space="preserve"> $10.31</w:t>
            </w:r>
            <w:r>
              <w:t xml:space="preserve"> </w:t>
            </w:r>
          </w:p>
        </w:tc>
      </w:tr>
      <w:tr w:rsidR="00676882" w14:paraId="77D53162" w14:textId="77777777" w:rsidTr="00DF45FA">
        <w:trPr>
          <w:gridBefore w:val="1"/>
          <w:wBefore w:w="454" w:type="dxa"/>
        </w:trPr>
        <w:tc>
          <w:tcPr>
            <w:tcW w:w="1984" w:type="dxa"/>
            <w:shd w:val="clear" w:color="auto" w:fill="auto"/>
          </w:tcPr>
          <w:p w14:paraId="695BE460" w14:textId="77777777" w:rsidR="00676882" w:rsidRDefault="00676882" w:rsidP="00DF45FA">
            <w:pPr>
              <w:pStyle w:val="Tabletext"/>
            </w:pPr>
            <w:r w:rsidRPr="00D31489">
              <w:t>5</w:t>
            </w:r>
          </w:p>
        </w:tc>
        <w:tc>
          <w:tcPr>
            <w:tcW w:w="1984" w:type="dxa"/>
            <w:shd w:val="clear" w:color="auto" w:fill="auto"/>
            <w:vAlign w:val="center"/>
          </w:tcPr>
          <w:p w14:paraId="05552C24" w14:textId="77777777" w:rsidR="00676882" w:rsidRDefault="00676882" w:rsidP="00DF45FA">
            <w:pPr>
              <w:pStyle w:val="Tabletext"/>
              <w:jc w:val="right"/>
            </w:pPr>
            <w:r w:rsidRPr="00D31489">
              <w:t>46.66</w:t>
            </w:r>
          </w:p>
        </w:tc>
        <w:tc>
          <w:tcPr>
            <w:tcW w:w="1984" w:type="dxa"/>
            <w:shd w:val="clear" w:color="auto" w:fill="auto"/>
            <w:vAlign w:val="center"/>
          </w:tcPr>
          <w:p w14:paraId="2F8B1ED2" w14:textId="77777777" w:rsidR="00676882" w:rsidRDefault="00676882" w:rsidP="00DF45FA">
            <w:pPr>
              <w:pStyle w:val="Tabletext"/>
              <w:jc w:val="right"/>
            </w:pPr>
            <w:r w:rsidRPr="00D31489">
              <w:t>4.5</w:t>
            </w:r>
          </w:p>
        </w:tc>
        <w:tc>
          <w:tcPr>
            <w:tcW w:w="1984" w:type="dxa"/>
            <w:shd w:val="clear" w:color="auto" w:fill="auto"/>
            <w:vAlign w:val="center"/>
          </w:tcPr>
          <w:p w14:paraId="072A2B8B" w14:textId="77777777" w:rsidR="00676882" w:rsidRDefault="00676882" w:rsidP="00DF45FA">
            <w:pPr>
              <w:pStyle w:val="Tabletext"/>
              <w:jc w:val="right"/>
            </w:pPr>
            <w:r w:rsidRPr="00D31489">
              <w:t xml:space="preserve"> $10.37</w:t>
            </w:r>
            <w:r>
              <w:t xml:space="preserve"> </w:t>
            </w:r>
          </w:p>
        </w:tc>
      </w:tr>
      <w:tr w:rsidR="00676882" w14:paraId="1AF87A42" w14:textId="77777777" w:rsidTr="00DF45FA">
        <w:trPr>
          <w:gridBefore w:val="1"/>
          <w:wBefore w:w="454" w:type="dxa"/>
        </w:trPr>
        <w:tc>
          <w:tcPr>
            <w:tcW w:w="7936" w:type="dxa"/>
            <w:gridSpan w:val="4"/>
            <w:tcBorders>
              <w:bottom w:val="single" w:sz="4" w:space="0" w:color="646464"/>
            </w:tcBorders>
            <w:shd w:val="clear" w:color="auto" w:fill="auto"/>
          </w:tcPr>
          <w:p w14:paraId="48D47E27" w14:textId="77777777" w:rsidR="00676882" w:rsidRDefault="00676882" w:rsidP="00DF45FA">
            <w:pPr>
              <w:pStyle w:val="Source"/>
            </w:pPr>
            <w:r>
              <w:t>Source: Energy Efficient Strategies</w:t>
            </w:r>
          </w:p>
        </w:tc>
      </w:tr>
      <w:tr w:rsidR="00676882" w14:paraId="7342A929"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4976F285" w14:textId="77777777" w:rsidR="00676882" w:rsidRDefault="00676882" w:rsidP="00DF45FA">
            <w:pPr>
              <w:pStyle w:val="spacer"/>
            </w:pPr>
          </w:p>
        </w:tc>
      </w:tr>
    </w:tbl>
    <w:p w14:paraId="5F6089B8" w14:textId="77777777" w:rsidR="00676882" w:rsidRDefault="00676882" w:rsidP="00676882">
      <w:pPr>
        <w:pStyle w:val="BodyText"/>
        <w:rPr>
          <w:rFonts w:asciiTheme="minorHAnsi" w:hAnsiTheme="minorHAnsi" w:cstheme="minorBidi"/>
        </w:rPr>
      </w:pPr>
      <w:r>
        <w:t>Lowest available costs from the survey were taken and added to this was a $5/m</w:t>
      </w:r>
      <w:r w:rsidRPr="00827462">
        <w:rPr>
          <w:vertAlign w:val="superscript"/>
        </w:rPr>
        <w:t>2</w:t>
      </w:r>
      <w:r>
        <w:rPr>
          <w:vertAlign w:val="superscript"/>
        </w:rPr>
        <w:t xml:space="preserve"> </w:t>
      </w:r>
      <w:r>
        <w:t>installation cost giving total installed costs as follows:</w:t>
      </w:r>
    </w:p>
    <w:p w14:paraId="1590538E" w14:textId="77777777" w:rsidR="00676882" w:rsidRDefault="00676882" w:rsidP="00676882">
      <w:pPr>
        <w:pStyle w:val="ListBullet"/>
      </w:pPr>
      <w:r>
        <w:t>R3 = $4.57 + $5.00 = $9.57</w:t>
      </w:r>
    </w:p>
    <w:p w14:paraId="5CE21DCA" w14:textId="77777777" w:rsidR="00676882" w:rsidRDefault="00676882" w:rsidP="00676882">
      <w:pPr>
        <w:pStyle w:val="ListBullet"/>
      </w:pPr>
      <w:r>
        <w:lastRenderedPageBreak/>
        <w:t>R5 = $8.47 + $ 5.00 = $13.47</w:t>
      </w:r>
    </w:p>
    <w:p w14:paraId="699DB8DB" w14:textId="77777777" w:rsidR="00676882" w:rsidRDefault="00676882" w:rsidP="00676882">
      <w:pPr>
        <w:pStyle w:val="BodyText"/>
      </w:pPr>
      <w:r>
        <w:t xml:space="preserve">Note: For under insulated ceiling spaces it may be possible to re-use the existing insulation and lay new insulation over the top (top up insulation). In this way it may be possible to use lower grade insulation e.g., if the existing insulation was rated at R1.0 and the target insulation level was R5.0 then top up insulation would only need to be rated at R4.0 rather than R5.0. </w:t>
      </w:r>
      <w:proofErr w:type="gramStart"/>
      <w:r>
        <w:t>In reality however</w:t>
      </w:r>
      <w:proofErr w:type="gramEnd"/>
      <w:r>
        <w:t>, often the pre-existing insulation is in poor condition and non-continuous over the ceiling area, in which case the old insulation is either typically removed first, or if left in place is covered by insulation that is rated at the target level.</w:t>
      </w:r>
    </w:p>
    <w:p w14:paraId="62C987AB" w14:textId="77777777" w:rsidR="00676882" w:rsidRDefault="00676882" w:rsidP="00676882">
      <w:pPr>
        <w:pStyle w:val="Heading2AP"/>
      </w:pPr>
      <w:bookmarkStart w:id="438" w:name="_Ref76307712"/>
      <w:bookmarkStart w:id="439" w:name="_Toc80712622"/>
      <w:r>
        <w:t>Heating upgrades</w:t>
      </w:r>
      <w:bookmarkEnd w:id="438"/>
      <w:bookmarkEnd w:id="439"/>
    </w:p>
    <w:p w14:paraId="68668A5A" w14:textId="77777777" w:rsidR="00676882" w:rsidRDefault="00676882" w:rsidP="00676882">
      <w:pPr>
        <w:pStyle w:val="Heading3AP"/>
      </w:pPr>
      <w:r>
        <w:t>Overview</w:t>
      </w:r>
    </w:p>
    <w:p w14:paraId="40D699BA" w14:textId="77777777" w:rsidR="00676882" w:rsidRDefault="00676882" w:rsidP="00676882">
      <w:pPr>
        <w:pStyle w:val="Heading4AP"/>
      </w:pPr>
      <w:r>
        <w:t>Proposed regulatory requirement</w:t>
      </w:r>
    </w:p>
    <w:p w14:paraId="03D45827" w14:textId="77777777" w:rsidR="00676882" w:rsidRDefault="00676882" w:rsidP="00676882">
      <w:pPr>
        <w:pStyle w:val="BodyText"/>
      </w:pPr>
      <w:r>
        <w:t>Rental homes without a fixed heater must install a minimum 1.5 star fixed electric heat pump heater that can heat the living area with a phase-in period.</w:t>
      </w:r>
    </w:p>
    <w:p w14:paraId="04469302" w14:textId="77777777" w:rsidR="00676882" w:rsidRDefault="00676882" w:rsidP="00676882">
      <w:pPr>
        <w:pStyle w:val="BodyText"/>
      </w:pPr>
      <w:r>
        <w:t>Rental homes with fixed resistance electric heater/s or a resistance electric concrete slab heater must be replaced with a minimum 1.5 star fixed electric heat pump heater that can heat the living area with a phase in period.</w:t>
      </w:r>
    </w:p>
    <w:p w14:paraId="2282681B" w14:textId="77777777" w:rsidR="00676882" w:rsidRDefault="00676882" w:rsidP="00676882">
      <w:pPr>
        <w:pStyle w:val="BodyText"/>
      </w:pPr>
      <w:r>
        <w:t>Other heaters in rental homes must be replaced at end of life or, if demonstrably older than 20 years, within the phase in period, by a minimum 1.5 star fixed electric heat pump heater electric that can heat the living area.</w:t>
      </w:r>
    </w:p>
    <w:p w14:paraId="7FE08602" w14:textId="77777777" w:rsidR="00676882" w:rsidRPr="00827462" w:rsidRDefault="00676882" w:rsidP="00676882">
      <w:pPr>
        <w:pStyle w:val="BodyText"/>
      </w:pPr>
      <w:r>
        <w:t>It is assumed that in class 1 type dwellings there would be no limitation on the installation of a heat pump type heater. However, it is recognised that in class 2 type dwellings such an installation may be unfeasible due to physical constraints (</w:t>
      </w:r>
      <w:proofErr w:type="gramStart"/>
      <w:r>
        <w:t>e.g.</w:t>
      </w:r>
      <w:proofErr w:type="gramEnd"/>
      <w:r>
        <w:t xml:space="preserve"> no space to locate an external unit of a heat pump type heater or due to limitations imposed by a body corporate). A limitation of 90 per cent upgradable was placed on Class 2 dwellings, this is an estimate only as no data source on this aspect is readily available.</w:t>
      </w:r>
    </w:p>
    <w:p w14:paraId="6381EF63" w14:textId="77777777" w:rsidR="00676882" w:rsidRDefault="00676882" w:rsidP="00676882">
      <w:pPr>
        <w:pStyle w:val="Heading3AP"/>
      </w:pPr>
      <w:r>
        <w:t>Stock categorisation</w:t>
      </w:r>
    </w:p>
    <w:p w14:paraId="0AC9A221" w14:textId="77777777" w:rsidR="00676882" w:rsidRDefault="00676882" w:rsidP="00676882">
      <w:pPr>
        <w:pStyle w:val="BodyText"/>
        <w:rPr>
          <w:rFonts w:asciiTheme="minorHAnsi" w:hAnsiTheme="minorHAnsi" w:cstheme="minorBidi"/>
        </w:rPr>
      </w:pPr>
      <w:r>
        <w:t xml:space="preserve">To undertake modelling of this </w:t>
      </w:r>
      <w:proofErr w:type="gramStart"/>
      <w:r>
        <w:t>particular upgrade</w:t>
      </w:r>
      <w:proofErr w:type="gramEnd"/>
      <w:r>
        <w:t xml:space="preserve"> activity the existing stock of heating equipment within the ACT was divided into eight main types known to exist in the housing stock. These were:</w:t>
      </w:r>
    </w:p>
    <w:p w14:paraId="745D7472" w14:textId="77777777" w:rsidR="00676882" w:rsidRDefault="00676882" w:rsidP="00676882">
      <w:pPr>
        <w:pStyle w:val="ListBullet"/>
      </w:pPr>
      <w:r>
        <w:t>central gas (primarily ducted gas)</w:t>
      </w:r>
    </w:p>
    <w:p w14:paraId="40493CEA" w14:textId="77777777" w:rsidR="00676882" w:rsidRDefault="00676882" w:rsidP="00676882">
      <w:pPr>
        <w:pStyle w:val="ListBullet"/>
      </w:pPr>
      <w:r>
        <w:t>central heat pump (primarily ducted heat pump)</w:t>
      </w:r>
    </w:p>
    <w:p w14:paraId="54B2AE74" w14:textId="77777777" w:rsidR="00676882" w:rsidRDefault="00676882" w:rsidP="00676882">
      <w:pPr>
        <w:pStyle w:val="ListBullet"/>
      </w:pPr>
      <w:r>
        <w:t>room gas</w:t>
      </w:r>
    </w:p>
    <w:p w14:paraId="65DB82FD" w14:textId="77777777" w:rsidR="00676882" w:rsidRDefault="00676882" w:rsidP="00676882">
      <w:pPr>
        <w:pStyle w:val="ListBullet"/>
      </w:pPr>
      <w:r>
        <w:t>room heat pump (primarily reverse cycle split systems)</w:t>
      </w:r>
    </w:p>
    <w:p w14:paraId="313CFE80" w14:textId="77777777" w:rsidR="00676882" w:rsidRDefault="00676882" w:rsidP="00676882">
      <w:pPr>
        <w:pStyle w:val="ListBullet"/>
      </w:pPr>
      <w:r>
        <w:t>central electric resistance panel heaters</w:t>
      </w:r>
    </w:p>
    <w:p w14:paraId="0BFC3F22" w14:textId="77777777" w:rsidR="00676882" w:rsidRDefault="00676882" w:rsidP="00676882">
      <w:pPr>
        <w:pStyle w:val="ListBullet"/>
      </w:pPr>
      <w:r>
        <w:t>firewood (primarily closed combustion type heaters)</w:t>
      </w:r>
    </w:p>
    <w:p w14:paraId="670EAB87" w14:textId="77777777" w:rsidR="00676882" w:rsidRDefault="00676882" w:rsidP="00676882">
      <w:pPr>
        <w:pStyle w:val="ListBullet"/>
      </w:pPr>
      <w:r>
        <w:t>electric floor slab heating</w:t>
      </w:r>
    </w:p>
    <w:p w14:paraId="38D75261" w14:textId="77777777" w:rsidR="00676882" w:rsidRDefault="00676882" w:rsidP="00676882">
      <w:pPr>
        <w:pStyle w:val="ListBullet"/>
      </w:pPr>
      <w:r>
        <w:t>no heating (i.e., no fixed heating).</w:t>
      </w:r>
    </w:p>
    <w:p w14:paraId="37802223" w14:textId="77777777" w:rsidR="00676882" w:rsidRDefault="00676882" w:rsidP="00676882">
      <w:pPr>
        <w:pStyle w:val="BodyText"/>
      </w:pPr>
      <w:r>
        <w:t>Each of these categories was divided into two parts, units less than 20 years old and units more than 20 years old. Gas, heat pump and firewood heaters of 20 years of age or more are tracked separately in the model because they must be upgraded in the phase in period. Each year a portion of the existing stock will turn 20 years old and at that point in time will be required to be replaced</w:t>
      </w:r>
    </w:p>
    <w:p w14:paraId="49AA7CD2" w14:textId="77777777" w:rsidR="00676882" w:rsidRDefault="00676882" w:rsidP="00676882">
      <w:pPr>
        <w:pStyle w:val="BodyText"/>
      </w:pPr>
      <w:r>
        <w:t>Four further categories of heat pump were also modelled:</w:t>
      </w:r>
    </w:p>
    <w:p w14:paraId="2C83518B" w14:textId="77777777" w:rsidR="00676882" w:rsidRDefault="00676882" w:rsidP="00676882">
      <w:pPr>
        <w:pStyle w:val="ListBullet"/>
      </w:pPr>
      <w:r>
        <w:t>new central heat pumps (separate from regulations)</w:t>
      </w:r>
    </w:p>
    <w:p w14:paraId="44DBFF63" w14:textId="77777777" w:rsidR="00676882" w:rsidRDefault="00676882" w:rsidP="00676882">
      <w:pPr>
        <w:pStyle w:val="ListBullet"/>
      </w:pPr>
      <w:r>
        <w:lastRenderedPageBreak/>
        <w:t>new room heat pumps (separate from regulations)</w:t>
      </w:r>
    </w:p>
    <w:p w14:paraId="46E15427" w14:textId="77777777" w:rsidR="00676882" w:rsidRDefault="00676882" w:rsidP="00676882">
      <w:pPr>
        <w:pStyle w:val="ListBullet"/>
      </w:pPr>
      <w:r>
        <w:t xml:space="preserve">replacement central heat pumps (replaced </w:t>
      </w:r>
      <w:proofErr w:type="gramStart"/>
      <w:r>
        <w:t>as a consequence of</w:t>
      </w:r>
      <w:proofErr w:type="gramEnd"/>
      <w:r>
        <w:t xml:space="preserve"> the regulations)</w:t>
      </w:r>
    </w:p>
    <w:p w14:paraId="4D66382E" w14:textId="77777777" w:rsidR="00676882" w:rsidRDefault="00676882" w:rsidP="00676882">
      <w:pPr>
        <w:pStyle w:val="ListBullet"/>
      </w:pPr>
      <w:r>
        <w:t xml:space="preserve">replacement room heat pumps (replaced </w:t>
      </w:r>
      <w:proofErr w:type="gramStart"/>
      <w:r>
        <w:t>as a consequence of</w:t>
      </w:r>
      <w:proofErr w:type="gramEnd"/>
      <w:r>
        <w:t xml:space="preserve"> the regulations).</w:t>
      </w:r>
    </w:p>
    <w:p w14:paraId="658618A5" w14:textId="77777777" w:rsidR="00676882" w:rsidRDefault="00676882" w:rsidP="00676882">
      <w:pPr>
        <w:pStyle w:val="BodyText"/>
      </w:pPr>
      <w:r>
        <w:t>New central and new room heat pumps are those installed in newly built rental properties or those installed as part of the natural trend away from gas heating to heat pump heating. This trend is assumed to be approximately 3 per cent per annum (</w:t>
      </w:r>
      <w:proofErr w:type="gramStart"/>
      <w:r>
        <w:t>i.e.</w:t>
      </w:r>
      <w:proofErr w:type="gramEnd"/>
      <w:r>
        <w:t xml:space="preserve"> full change over by approximately 2050). These installations are assumed to meet the regulatory requirement.</w:t>
      </w:r>
    </w:p>
    <w:p w14:paraId="646C6D45" w14:textId="77777777" w:rsidR="00676882" w:rsidRDefault="00676882" w:rsidP="00676882">
      <w:pPr>
        <w:pStyle w:val="BodyText"/>
      </w:pPr>
      <w:r>
        <w:t xml:space="preserve">Replacement central and replacement room heat pumps represent the heat pumps installed </w:t>
      </w:r>
      <w:proofErr w:type="gramStart"/>
      <w:r>
        <w:t>as a consequence of</w:t>
      </w:r>
      <w:proofErr w:type="gramEnd"/>
      <w:r>
        <w:t xml:space="preserve"> the proposed regulations.</w:t>
      </w:r>
    </w:p>
    <w:p w14:paraId="2EA8EF85" w14:textId="77777777" w:rsidR="00676882" w:rsidRDefault="00676882" w:rsidP="00676882">
      <w:pPr>
        <w:pStyle w:val="Heading3AP"/>
      </w:pPr>
      <w:bookmarkStart w:id="440" w:name="_Ref80301301"/>
      <w:r>
        <w:t>Stock profile</w:t>
      </w:r>
      <w:bookmarkEnd w:id="440"/>
    </w:p>
    <w:p w14:paraId="21F99A09" w14:textId="77777777" w:rsidR="00676882" w:rsidRDefault="00676882" w:rsidP="00676882">
      <w:pPr>
        <w:pStyle w:val="BodyText"/>
      </w:pPr>
      <w:r>
        <w:t>A stock profile of the propensity of each of the heater types modelled was developed based on research undertaken for the Victorian Scorecard extension into the ACT by the Department of Environment, Land, Water and Planning in Victoria. These values are shown in the second column of Table C.5. The third and fourth columns indicate the propensities of heater types going into new housing in the ACT based on recent analysis undertaken by EES for the NCC 2022 update. Heaters going into new housing are however generally of limited interest as they would not be upgraded under this program (</w:t>
      </w:r>
      <w:proofErr w:type="gramStart"/>
      <w:r>
        <w:t>i.e.</w:t>
      </w:r>
      <w:proofErr w:type="gramEnd"/>
      <w:r>
        <w:t xml:space="preserve"> neither 20 years old or of the types required to be upgraded).</w:t>
      </w:r>
    </w:p>
    <w:p w14:paraId="7F970124" w14:textId="77777777" w:rsidR="00676882" w:rsidRDefault="00676882" w:rsidP="00676882">
      <w:pPr>
        <w:pStyle w:val="BodyText"/>
      </w:pPr>
      <w:r>
        <w:t xml:space="preserve">The estimates in respect to the cohort of 20 year </w:t>
      </w:r>
      <w:proofErr w:type="gramStart"/>
      <w:r>
        <w:t>old  stock</w:t>
      </w:r>
      <w:proofErr w:type="gramEnd"/>
      <w:r>
        <w:t xml:space="preserve"> is made on the basis of an assumed average life of 12 years for space heating equipment (as per EEIS assumptions). Given a normal distribution about the mean average life of 6 years, the proportion of the stock expected to be of 20 years of age or more would be approximately 1 per cent of the total of that type of heater.</w:t>
      </w:r>
    </w:p>
    <w:p w14:paraId="5F13B2EB" w14:textId="77777777" w:rsidR="00676882" w:rsidRDefault="00676882" w:rsidP="00676882">
      <w:pPr>
        <w:pStyle w:val="Caption"/>
      </w:pPr>
      <w:bookmarkStart w:id="441" w:name="_Toc80719350"/>
      <w:r w:rsidRPr="00827462">
        <w:rPr>
          <w:rStyle w:val="CaptionLabel"/>
        </w:rPr>
        <w:t>Table </w:t>
      </w:r>
      <w:r w:rsidRPr="00827462">
        <w:rPr>
          <w:rStyle w:val="CaptionLabel"/>
        </w:rPr>
        <w:fldChar w:fldCharType="begin"/>
      </w:r>
      <w:r w:rsidRPr="00827462">
        <w:rPr>
          <w:rStyle w:val="CaptionLabel"/>
        </w:rPr>
        <w:instrText xml:space="preserve"> STYLEREF 9 \S \* MERGEFORMAT </w:instrText>
      </w:r>
      <w:r w:rsidRPr="00827462">
        <w:rPr>
          <w:rStyle w:val="CaptionLabel"/>
        </w:rPr>
        <w:fldChar w:fldCharType="separate"/>
      </w:r>
      <w:r>
        <w:rPr>
          <w:rStyle w:val="CaptionLabel"/>
          <w:noProof/>
        </w:rPr>
        <w:t>C</w:t>
      </w:r>
      <w:r w:rsidRPr="00827462">
        <w:rPr>
          <w:rStyle w:val="CaptionLabel"/>
        </w:rPr>
        <w:fldChar w:fldCharType="end"/>
      </w:r>
      <w:r w:rsidRPr="00827462">
        <w:rPr>
          <w:rStyle w:val="CaptionLabel"/>
        </w:rPr>
        <w:t>.</w:t>
      </w:r>
      <w:r w:rsidRPr="00827462">
        <w:rPr>
          <w:rStyle w:val="CaptionLabel"/>
        </w:rPr>
        <w:fldChar w:fldCharType="begin"/>
      </w:r>
      <w:r w:rsidRPr="00827462">
        <w:rPr>
          <w:rStyle w:val="CaptionLabel"/>
        </w:rPr>
        <w:instrText xml:space="preserve"> SEQ Table_AP \* ARABIC \S 9 \* MERGEFORMAT </w:instrText>
      </w:r>
      <w:r w:rsidRPr="00827462">
        <w:rPr>
          <w:rStyle w:val="CaptionLabel"/>
        </w:rPr>
        <w:fldChar w:fldCharType="separate"/>
      </w:r>
      <w:r>
        <w:rPr>
          <w:rStyle w:val="CaptionLabel"/>
          <w:noProof/>
        </w:rPr>
        <w:t>5</w:t>
      </w:r>
      <w:r w:rsidRPr="00827462">
        <w:rPr>
          <w:rStyle w:val="CaptionLabel"/>
        </w:rPr>
        <w:fldChar w:fldCharType="end"/>
      </w:r>
      <w:r>
        <w:tab/>
      </w:r>
      <w:r w:rsidRPr="00827462">
        <w:t>Propensity</w:t>
      </w:r>
      <w:r>
        <w:t xml:space="preserve"> </w:t>
      </w:r>
      <w:r w:rsidRPr="00827462">
        <w:t>of</w:t>
      </w:r>
      <w:r>
        <w:t xml:space="preserve"> </w:t>
      </w:r>
      <w:r w:rsidRPr="00827462">
        <w:t>Heating</w:t>
      </w:r>
      <w:r>
        <w:t xml:space="preserve"> </w:t>
      </w:r>
      <w:r w:rsidRPr="00827462">
        <w:t>and</w:t>
      </w:r>
      <w:r>
        <w:t xml:space="preserve"> </w:t>
      </w:r>
      <w:r w:rsidRPr="00827462">
        <w:t>Cooling</w:t>
      </w:r>
      <w:r>
        <w:t xml:space="preserve"> </w:t>
      </w:r>
      <w:r w:rsidRPr="00827462">
        <w:t>Types</w:t>
      </w:r>
      <w:r>
        <w:t xml:space="preserve"> –</w:t>
      </w:r>
      <w:r w:rsidRPr="00827462">
        <w:t xml:space="preserve"> ACT</w:t>
      </w:r>
      <w:bookmarkEnd w:id="441"/>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5"/>
        <w:tblDescription w:val="Propensity of Heating and Cooling Types – ACT"/>
      </w:tblPr>
      <w:tblGrid>
        <w:gridCol w:w="454"/>
        <w:gridCol w:w="1984"/>
        <w:gridCol w:w="1984"/>
        <w:gridCol w:w="1984"/>
        <w:gridCol w:w="1984"/>
      </w:tblGrid>
      <w:tr w:rsidR="00676882" w14:paraId="4DA1CC94" w14:textId="77777777" w:rsidTr="00DF45FA">
        <w:trPr>
          <w:tblHeader/>
        </w:trPr>
        <w:tc>
          <w:tcPr>
            <w:tcW w:w="2438" w:type="dxa"/>
            <w:gridSpan w:val="2"/>
            <w:tcBorders>
              <w:top w:val="nil"/>
              <w:bottom w:val="nil"/>
            </w:tcBorders>
            <w:shd w:val="clear" w:color="auto" w:fill="140034"/>
            <w:tcMar>
              <w:left w:w="454" w:type="dxa"/>
            </w:tcMar>
          </w:tcPr>
          <w:p w14:paraId="11C3D07E" w14:textId="77777777" w:rsidR="00676882" w:rsidRDefault="00676882" w:rsidP="00DF45FA">
            <w:pPr>
              <w:pStyle w:val="Tablecolumnheadings"/>
            </w:pPr>
            <w:r>
              <w:t>Type</w:t>
            </w:r>
          </w:p>
        </w:tc>
        <w:tc>
          <w:tcPr>
            <w:tcW w:w="1984" w:type="dxa"/>
            <w:tcBorders>
              <w:top w:val="nil"/>
              <w:bottom w:val="nil"/>
            </w:tcBorders>
            <w:shd w:val="clear" w:color="auto" w:fill="140034"/>
          </w:tcPr>
          <w:p w14:paraId="20223390" w14:textId="77777777" w:rsidR="00676882" w:rsidRDefault="00676882" w:rsidP="00DF45FA">
            <w:pPr>
              <w:pStyle w:val="Tablecolumnheadings"/>
            </w:pPr>
            <w:r>
              <w:t>Stock</w:t>
            </w:r>
          </w:p>
        </w:tc>
        <w:tc>
          <w:tcPr>
            <w:tcW w:w="1984" w:type="dxa"/>
            <w:tcBorders>
              <w:top w:val="nil"/>
              <w:bottom w:val="nil"/>
            </w:tcBorders>
            <w:shd w:val="clear" w:color="auto" w:fill="140034"/>
          </w:tcPr>
          <w:p w14:paraId="5B20E138" w14:textId="77777777" w:rsidR="00676882" w:rsidRDefault="00676882" w:rsidP="00DF45FA">
            <w:pPr>
              <w:pStyle w:val="Tablecolumnheadings"/>
            </w:pPr>
            <w:r>
              <w:t>New Class 1</w:t>
            </w:r>
          </w:p>
        </w:tc>
        <w:tc>
          <w:tcPr>
            <w:tcW w:w="1984" w:type="dxa"/>
            <w:tcBorders>
              <w:top w:val="nil"/>
              <w:bottom w:val="nil"/>
              <w:right w:val="single" w:sz="6" w:space="0" w:color="140034"/>
            </w:tcBorders>
            <w:shd w:val="clear" w:color="auto" w:fill="140034"/>
          </w:tcPr>
          <w:p w14:paraId="176D0D3E" w14:textId="77777777" w:rsidR="00676882" w:rsidRDefault="00676882" w:rsidP="00DF45FA">
            <w:pPr>
              <w:pStyle w:val="Tablecolumnheadings"/>
            </w:pPr>
            <w:r>
              <w:t>New Class 2</w:t>
            </w:r>
          </w:p>
        </w:tc>
      </w:tr>
      <w:tr w:rsidR="00676882" w14:paraId="5381A50F" w14:textId="77777777" w:rsidTr="00676882">
        <w:trPr>
          <w:gridBefore w:val="1"/>
          <w:wBefore w:w="454" w:type="dxa"/>
        </w:trPr>
        <w:tc>
          <w:tcPr>
            <w:tcW w:w="1984" w:type="dxa"/>
            <w:tcBorders>
              <w:top w:val="nil"/>
            </w:tcBorders>
            <w:shd w:val="clear" w:color="auto" w:fill="E1D5ED"/>
          </w:tcPr>
          <w:p w14:paraId="5332276D" w14:textId="77777777" w:rsidR="00676882" w:rsidRPr="00827462" w:rsidRDefault="00676882" w:rsidP="00DF45FA">
            <w:pPr>
              <w:pStyle w:val="Tableunitsrow"/>
              <w:rPr>
                <w:b/>
                <w:bCs/>
              </w:rPr>
            </w:pPr>
            <w:r w:rsidRPr="00827462">
              <w:rPr>
                <w:b/>
                <w:bCs/>
              </w:rPr>
              <w:t>Heating</w:t>
            </w:r>
          </w:p>
        </w:tc>
        <w:tc>
          <w:tcPr>
            <w:tcW w:w="1984" w:type="dxa"/>
            <w:tcBorders>
              <w:top w:val="nil"/>
            </w:tcBorders>
            <w:shd w:val="clear" w:color="auto" w:fill="E1D5ED"/>
          </w:tcPr>
          <w:p w14:paraId="461F5C63" w14:textId="77777777" w:rsidR="00676882" w:rsidRDefault="00676882" w:rsidP="00DF45FA">
            <w:pPr>
              <w:pStyle w:val="Tableunitsrow"/>
            </w:pPr>
          </w:p>
        </w:tc>
        <w:tc>
          <w:tcPr>
            <w:tcW w:w="1984" w:type="dxa"/>
            <w:tcBorders>
              <w:top w:val="nil"/>
            </w:tcBorders>
            <w:shd w:val="clear" w:color="auto" w:fill="E1D5ED"/>
          </w:tcPr>
          <w:p w14:paraId="3C2808FF" w14:textId="77777777" w:rsidR="00676882" w:rsidRDefault="00676882" w:rsidP="00DF45FA">
            <w:pPr>
              <w:pStyle w:val="Tableunitsrow"/>
            </w:pPr>
          </w:p>
        </w:tc>
        <w:tc>
          <w:tcPr>
            <w:tcW w:w="1984" w:type="dxa"/>
            <w:tcBorders>
              <w:top w:val="nil"/>
            </w:tcBorders>
            <w:shd w:val="clear" w:color="auto" w:fill="E1D5ED"/>
          </w:tcPr>
          <w:p w14:paraId="66EDFFF7" w14:textId="77777777" w:rsidR="00676882" w:rsidRDefault="00676882" w:rsidP="00DF45FA">
            <w:pPr>
              <w:pStyle w:val="Tableunitsrow"/>
            </w:pPr>
          </w:p>
        </w:tc>
      </w:tr>
      <w:tr w:rsidR="00676882" w14:paraId="76707B9A" w14:textId="77777777" w:rsidTr="00DF45FA">
        <w:trPr>
          <w:gridBefore w:val="1"/>
          <w:wBefore w:w="454" w:type="dxa"/>
        </w:trPr>
        <w:tc>
          <w:tcPr>
            <w:tcW w:w="1984" w:type="dxa"/>
            <w:shd w:val="clear" w:color="auto" w:fill="auto"/>
          </w:tcPr>
          <w:p w14:paraId="2FA613BB" w14:textId="77777777" w:rsidR="00676882" w:rsidRDefault="00676882" w:rsidP="00DF45FA">
            <w:pPr>
              <w:pStyle w:val="Tabletext"/>
            </w:pPr>
            <w:r w:rsidRPr="00AD66D8">
              <w:t>Central</w:t>
            </w:r>
            <w:r>
              <w:t xml:space="preserve"> </w:t>
            </w:r>
            <w:r w:rsidRPr="00AD66D8">
              <w:t>Gas</w:t>
            </w:r>
          </w:p>
        </w:tc>
        <w:tc>
          <w:tcPr>
            <w:tcW w:w="1984" w:type="dxa"/>
            <w:shd w:val="clear" w:color="auto" w:fill="auto"/>
          </w:tcPr>
          <w:p w14:paraId="114FBA43" w14:textId="77777777" w:rsidR="00676882" w:rsidRDefault="00676882" w:rsidP="00DF45FA">
            <w:pPr>
              <w:pStyle w:val="Tabletext"/>
              <w:jc w:val="center"/>
            </w:pPr>
            <w:r w:rsidRPr="00AD66D8">
              <w:t>28.2%</w:t>
            </w:r>
          </w:p>
        </w:tc>
        <w:tc>
          <w:tcPr>
            <w:tcW w:w="1984" w:type="dxa"/>
            <w:shd w:val="clear" w:color="auto" w:fill="auto"/>
          </w:tcPr>
          <w:p w14:paraId="3AA96133" w14:textId="77777777" w:rsidR="00676882" w:rsidRDefault="00676882" w:rsidP="00DF45FA">
            <w:pPr>
              <w:pStyle w:val="Tabletext"/>
              <w:jc w:val="center"/>
            </w:pPr>
            <w:r w:rsidRPr="00AD66D8">
              <w:t>5.6%</w:t>
            </w:r>
          </w:p>
        </w:tc>
        <w:tc>
          <w:tcPr>
            <w:tcW w:w="1984" w:type="dxa"/>
            <w:shd w:val="clear" w:color="auto" w:fill="auto"/>
          </w:tcPr>
          <w:p w14:paraId="0F02B899" w14:textId="77777777" w:rsidR="00676882" w:rsidRDefault="00676882" w:rsidP="00DF45FA">
            <w:pPr>
              <w:pStyle w:val="Tabletext"/>
              <w:jc w:val="center"/>
            </w:pPr>
            <w:r w:rsidRPr="00AD66D8">
              <w:t>2.0%</w:t>
            </w:r>
          </w:p>
        </w:tc>
      </w:tr>
      <w:tr w:rsidR="00676882" w14:paraId="5129EEC9" w14:textId="77777777" w:rsidTr="00DF45FA">
        <w:trPr>
          <w:gridBefore w:val="1"/>
          <w:wBefore w:w="454" w:type="dxa"/>
        </w:trPr>
        <w:tc>
          <w:tcPr>
            <w:tcW w:w="1984" w:type="dxa"/>
            <w:shd w:val="clear" w:color="auto" w:fill="auto"/>
          </w:tcPr>
          <w:p w14:paraId="5442C1B9" w14:textId="77777777" w:rsidR="00676882" w:rsidRDefault="00676882" w:rsidP="00DF45FA">
            <w:pPr>
              <w:pStyle w:val="Tabletext"/>
            </w:pPr>
            <w:r w:rsidRPr="00AD66D8">
              <w:t>Central</w:t>
            </w:r>
            <w:r>
              <w:t xml:space="preserve"> </w:t>
            </w:r>
            <w:r w:rsidRPr="00AD66D8">
              <w:t>HP</w:t>
            </w:r>
          </w:p>
        </w:tc>
        <w:tc>
          <w:tcPr>
            <w:tcW w:w="1984" w:type="dxa"/>
            <w:shd w:val="clear" w:color="auto" w:fill="auto"/>
          </w:tcPr>
          <w:p w14:paraId="200EBCF0" w14:textId="77777777" w:rsidR="00676882" w:rsidRDefault="00676882" w:rsidP="00DF45FA">
            <w:pPr>
              <w:pStyle w:val="Tabletext"/>
              <w:jc w:val="center"/>
            </w:pPr>
            <w:r w:rsidRPr="00AD66D8">
              <w:t>10.5%</w:t>
            </w:r>
          </w:p>
        </w:tc>
        <w:tc>
          <w:tcPr>
            <w:tcW w:w="1984" w:type="dxa"/>
            <w:shd w:val="clear" w:color="auto" w:fill="auto"/>
          </w:tcPr>
          <w:p w14:paraId="7072F7C9" w14:textId="77777777" w:rsidR="00676882" w:rsidRDefault="00676882" w:rsidP="00DF45FA">
            <w:pPr>
              <w:pStyle w:val="Tabletext"/>
              <w:jc w:val="center"/>
            </w:pPr>
            <w:r w:rsidRPr="00AD66D8">
              <w:t>0.0%</w:t>
            </w:r>
          </w:p>
        </w:tc>
        <w:tc>
          <w:tcPr>
            <w:tcW w:w="1984" w:type="dxa"/>
            <w:shd w:val="clear" w:color="auto" w:fill="auto"/>
          </w:tcPr>
          <w:p w14:paraId="0598C77E" w14:textId="77777777" w:rsidR="00676882" w:rsidRDefault="00676882" w:rsidP="00DF45FA">
            <w:pPr>
              <w:pStyle w:val="Tabletext"/>
              <w:jc w:val="center"/>
            </w:pPr>
            <w:r w:rsidRPr="00AD66D8">
              <w:t>0.0%</w:t>
            </w:r>
          </w:p>
        </w:tc>
      </w:tr>
      <w:tr w:rsidR="00676882" w14:paraId="4ACE442E" w14:textId="77777777" w:rsidTr="00DF45FA">
        <w:trPr>
          <w:gridBefore w:val="1"/>
          <w:wBefore w:w="454" w:type="dxa"/>
        </w:trPr>
        <w:tc>
          <w:tcPr>
            <w:tcW w:w="1984" w:type="dxa"/>
            <w:shd w:val="clear" w:color="auto" w:fill="auto"/>
          </w:tcPr>
          <w:p w14:paraId="50BA6FD5" w14:textId="77777777" w:rsidR="00676882" w:rsidRDefault="00676882" w:rsidP="00DF45FA">
            <w:pPr>
              <w:pStyle w:val="Tabletext"/>
            </w:pPr>
            <w:r w:rsidRPr="00AD66D8">
              <w:t>Room</w:t>
            </w:r>
            <w:r>
              <w:t xml:space="preserve"> </w:t>
            </w:r>
            <w:r w:rsidRPr="00AD66D8">
              <w:t>Gas</w:t>
            </w:r>
          </w:p>
        </w:tc>
        <w:tc>
          <w:tcPr>
            <w:tcW w:w="1984" w:type="dxa"/>
            <w:shd w:val="clear" w:color="auto" w:fill="auto"/>
          </w:tcPr>
          <w:p w14:paraId="1B611DEA" w14:textId="77777777" w:rsidR="00676882" w:rsidRDefault="00676882" w:rsidP="00DF45FA">
            <w:pPr>
              <w:pStyle w:val="Tabletext"/>
              <w:jc w:val="center"/>
            </w:pPr>
            <w:r w:rsidRPr="00AD66D8">
              <w:t>8.4%</w:t>
            </w:r>
          </w:p>
        </w:tc>
        <w:tc>
          <w:tcPr>
            <w:tcW w:w="1984" w:type="dxa"/>
            <w:shd w:val="clear" w:color="auto" w:fill="auto"/>
          </w:tcPr>
          <w:p w14:paraId="77C5642F" w14:textId="77777777" w:rsidR="00676882" w:rsidRDefault="00676882" w:rsidP="00DF45FA">
            <w:pPr>
              <w:pStyle w:val="Tabletext"/>
              <w:jc w:val="center"/>
            </w:pPr>
            <w:r w:rsidRPr="00AD66D8">
              <w:t>1.4%</w:t>
            </w:r>
          </w:p>
        </w:tc>
        <w:tc>
          <w:tcPr>
            <w:tcW w:w="1984" w:type="dxa"/>
            <w:shd w:val="clear" w:color="auto" w:fill="auto"/>
          </w:tcPr>
          <w:p w14:paraId="6AA15888" w14:textId="77777777" w:rsidR="00676882" w:rsidRDefault="00676882" w:rsidP="00DF45FA">
            <w:pPr>
              <w:pStyle w:val="Tabletext"/>
              <w:jc w:val="center"/>
            </w:pPr>
            <w:r w:rsidRPr="00AD66D8">
              <w:t>2.0%</w:t>
            </w:r>
          </w:p>
        </w:tc>
      </w:tr>
      <w:tr w:rsidR="00676882" w14:paraId="49FCBB42" w14:textId="77777777" w:rsidTr="00DF45FA">
        <w:trPr>
          <w:gridBefore w:val="1"/>
          <w:wBefore w:w="454" w:type="dxa"/>
        </w:trPr>
        <w:tc>
          <w:tcPr>
            <w:tcW w:w="1984" w:type="dxa"/>
            <w:shd w:val="clear" w:color="auto" w:fill="auto"/>
          </w:tcPr>
          <w:p w14:paraId="661A6C54" w14:textId="77777777" w:rsidR="00676882" w:rsidRDefault="00676882" w:rsidP="00DF45FA">
            <w:pPr>
              <w:pStyle w:val="Tabletext"/>
            </w:pPr>
            <w:r w:rsidRPr="00AD66D8">
              <w:t>Room</w:t>
            </w:r>
            <w:r>
              <w:t xml:space="preserve"> </w:t>
            </w:r>
            <w:r w:rsidRPr="00AD66D8">
              <w:t>HP</w:t>
            </w:r>
          </w:p>
        </w:tc>
        <w:tc>
          <w:tcPr>
            <w:tcW w:w="1984" w:type="dxa"/>
            <w:shd w:val="clear" w:color="auto" w:fill="auto"/>
          </w:tcPr>
          <w:p w14:paraId="1EBAC7A2" w14:textId="77777777" w:rsidR="00676882" w:rsidRDefault="00676882" w:rsidP="00DF45FA">
            <w:pPr>
              <w:pStyle w:val="Tabletext"/>
              <w:jc w:val="center"/>
            </w:pPr>
            <w:r w:rsidRPr="00AD66D8">
              <w:t>42.2%</w:t>
            </w:r>
          </w:p>
        </w:tc>
        <w:tc>
          <w:tcPr>
            <w:tcW w:w="1984" w:type="dxa"/>
            <w:shd w:val="clear" w:color="auto" w:fill="auto"/>
          </w:tcPr>
          <w:p w14:paraId="7E8941A7" w14:textId="77777777" w:rsidR="00676882" w:rsidRDefault="00676882" w:rsidP="00DF45FA">
            <w:pPr>
              <w:pStyle w:val="Tabletext"/>
              <w:jc w:val="center"/>
            </w:pPr>
            <w:r w:rsidRPr="00AD66D8">
              <w:t>0.0%</w:t>
            </w:r>
          </w:p>
        </w:tc>
        <w:tc>
          <w:tcPr>
            <w:tcW w:w="1984" w:type="dxa"/>
            <w:shd w:val="clear" w:color="auto" w:fill="auto"/>
          </w:tcPr>
          <w:p w14:paraId="72A89F86" w14:textId="77777777" w:rsidR="00676882" w:rsidRDefault="00676882" w:rsidP="00DF45FA">
            <w:pPr>
              <w:pStyle w:val="Tabletext"/>
              <w:jc w:val="center"/>
            </w:pPr>
            <w:r w:rsidRPr="00AD66D8">
              <w:t>0.0%</w:t>
            </w:r>
          </w:p>
        </w:tc>
      </w:tr>
      <w:tr w:rsidR="00676882" w14:paraId="269ECA57" w14:textId="77777777" w:rsidTr="00DF45FA">
        <w:trPr>
          <w:gridBefore w:val="1"/>
          <w:wBefore w:w="454" w:type="dxa"/>
        </w:trPr>
        <w:tc>
          <w:tcPr>
            <w:tcW w:w="1984" w:type="dxa"/>
            <w:shd w:val="clear" w:color="auto" w:fill="auto"/>
          </w:tcPr>
          <w:p w14:paraId="7FA8BC3F" w14:textId="77777777" w:rsidR="00676882" w:rsidRDefault="00676882" w:rsidP="00DF45FA">
            <w:pPr>
              <w:pStyle w:val="Tabletext"/>
            </w:pPr>
            <w:r w:rsidRPr="00AD66D8">
              <w:t>Central</w:t>
            </w:r>
            <w:r>
              <w:t xml:space="preserve"> </w:t>
            </w:r>
            <w:r w:rsidRPr="00AD66D8">
              <w:t>Elec</w:t>
            </w:r>
            <w:r>
              <w:t xml:space="preserve"> </w:t>
            </w:r>
            <w:r w:rsidRPr="00AD66D8">
              <w:t>Panels</w:t>
            </w:r>
          </w:p>
        </w:tc>
        <w:tc>
          <w:tcPr>
            <w:tcW w:w="1984" w:type="dxa"/>
            <w:shd w:val="clear" w:color="auto" w:fill="auto"/>
          </w:tcPr>
          <w:p w14:paraId="074AC4F6" w14:textId="77777777" w:rsidR="00676882" w:rsidRDefault="00676882" w:rsidP="00DF45FA">
            <w:pPr>
              <w:pStyle w:val="Tabletext"/>
              <w:jc w:val="center"/>
            </w:pPr>
            <w:r w:rsidRPr="00AD66D8">
              <w:t>2.6%</w:t>
            </w:r>
          </w:p>
        </w:tc>
        <w:tc>
          <w:tcPr>
            <w:tcW w:w="1984" w:type="dxa"/>
            <w:shd w:val="clear" w:color="auto" w:fill="auto"/>
          </w:tcPr>
          <w:p w14:paraId="5A72BF72" w14:textId="77777777" w:rsidR="00676882" w:rsidRDefault="00676882" w:rsidP="00DF45FA">
            <w:pPr>
              <w:pStyle w:val="Tabletext"/>
              <w:jc w:val="center"/>
            </w:pPr>
            <w:r w:rsidRPr="00AD66D8">
              <w:t>0.0%</w:t>
            </w:r>
          </w:p>
        </w:tc>
        <w:tc>
          <w:tcPr>
            <w:tcW w:w="1984" w:type="dxa"/>
            <w:shd w:val="clear" w:color="auto" w:fill="auto"/>
          </w:tcPr>
          <w:p w14:paraId="7F276D73" w14:textId="77777777" w:rsidR="00676882" w:rsidRDefault="00676882" w:rsidP="00DF45FA">
            <w:pPr>
              <w:pStyle w:val="Tabletext"/>
              <w:jc w:val="center"/>
            </w:pPr>
            <w:r w:rsidRPr="00AD66D8">
              <w:t>0.0%</w:t>
            </w:r>
          </w:p>
        </w:tc>
      </w:tr>
      <w:tr w:rsidR="00676882" w14:paraId="1E513008" w14:textId="77777777" w:rsidTr="00DF45FA">
        <w:trPr>
          <w:gridBefore w:val="1"/>
          <w:wBefore w:w="454" w:type="dxa"/>
        </w:trPr>
        <w:tc>
          <w:tcPr>
            <w:tcW w:w="1984" w:type="dxa"/>
            <w:shd w:val="clear" w:color="auto" w:fill="auto"/>
          </w:tcPr>
          <w:p w14:paraId="34C5454C" w14:textId="77777777" w:rsidR="00676882" w:rsidRDefault="00676882" w:rsidP="00DF45FA">
            <w:pPr>
              <w:pStyle w:val="Tabletext"/>
            </w:pPr>
            <w:r w:rsidRPr="00AD66D8">
              <w:t>Firewood</w:t>
            </w:r>
          </w:p>
        </w:tc>
        <w:tc>
          <w:tcPr>
            <w:tcW w:w="1984" w:type="dxa"/>
            <w:shd w:val="clear" w:color="auto" w:fill="auto"/>
          </w:tcPr>
          <w:p w14:paraId="0F003859" w14:textId="77777777" w:rsidR="00676882" w:rsidRDefault="00676882" w:rsidP="00DF45FA">
            <w:pPr>
              <w:pStyle w:val="Tabletext"/>
              <w:jc w:val="center"/>
            </w:pPr>
            <w:r w:rsidRPr="00AD66D8">
              <w:t>3.5%</w:t>
            </w:r>
          </w:p>
        </w:tc>
        <w:tc>
          <w:tcPr>
            <w:tcW w:w="1984" w:type="dxa"/>
            <w:shd w:val="clear" w:color="auto" w:fill="auto"/>
          </w:tcPr>
          <w:p w14:paraId="167E699A" w14:textId="77777777" w:rsidR="00676882" w:rsidRDefault="00676882" w:rsidP="00DF45FA">
            <w:pPr>
              <w:pStyle w:val="Tabletext"/>
              <w:jc w:val="center"/>
            </w:pPr>
            <w:r w:rsidRPr="00AD66D8">
              <w:t>2.5%</w:t>
            </w:r>
          </w:p>
        </w:tc>
        <w:tc>
          <w:tcPr>
            <w:tcW w:w="1984" w:type="dxa"/>
            <w:shd w:val="clear" w:color="auto" w:fill="auto"/>
          </w:tcPr>
          <w:p w14:paraId="0AA6066D" w14:textId="77777777" w:rsidR="00676882" w:rsidRDefault="00676882" w:rsidP="00DF45FA">
            <w:pPr>
              <w:pStyle w:val="Tabletext"/>
              <w:jc w:val="center"/>
            </w:pPr>
            <w:r w:rsidRPr="00AD66D8">
              <w:t>0.0%</w:t>
            </w:r>
          </w:p>
        </w:tc>
      </w:tr>
      <w:tr w:rsidR="00676882" w14:paraId="3F5B5477" w14:textId="77777777" w:rsidTr="00DF45FA">
        <w:trPr>
          <w:gridBefore w:val="1"/>
          <w:wBefore w:w="454" w:type="dxa"/>
        </w:trPr>
        <w:tc>
          <w:tcPr>
            <w:tcW w:w="1984" w:type="dxa"/>
            <w:shd w:val="clear" w:color="auto" w:fill="auto"/>
          </w:tcPr>
          <w:p w14:paraId="2BAC71BB" w14:textId="77777777" w:rsidR="00676882" w:rsidRDefault="00676882" w:rsidP="00DF45FA">
            <w:pPr>
              <w:pStyle w:val="Tabletext"/>
            </w:pPr>
            <w:r w:rsidRPr="00AD66D8">
              <w:t>Slab</w:t>
            </w:r>
          </w:p>
        </w:tc>
        <w:tc>
          <w:tcPr>
            <w:tcW w:w="1984" w:type="dxa"/>
            <w:shd w:val="clear" w:color="auto" w:fill="auto"/>
          </w:tcPr>
          <w:p w14:paraId="1193F013" w14:textId="77777777" w:rsidR="00676882" w:rsidRDefault="00676882" w:rsidP="00DF45FA">
            <w:pPr>
              <w:pStyle w:val="Tabletext"/>
              <w:jc w:val="center"/>
            </w:pPr>
            <w:r w:rsidRPr="00AD66D8">
              <w:t>2.6%</w:t>
            </w:r>
          </w:p>
        </w:tc>
        <w:tc>
          <w:tcPr>
            <w:tcW w:w="1984" w:type="dxa"/>
            <w:shd w:val="clear" w:color="auto" w:fill="auto"/>
          </w:tcPr>
          <w:p w14:paraId="736DB3E9" w14:textId="77777777" w:rsidR="00676882" w:rsidRDefault="00676882" w:rsidP="00DF45FA">
            <w:pPr>
              <w:pStyle w:val="Tabletext"/>
              <w:jc w:val="center"/>
            </w:pPr>
            <w:r w:rsidRPr="00AD66D8">
              <w:t>0.0%</w:t>
            </w:r>
          </w:p>
        </w:tc>
        <w:tc>
          <w:tcPr>
            <w:tcW w:w="1984" w:type="dxa"/>
            <w:shd w:val="clear" w:color="auto" w:fill="auto"/>
          </w:tcPr>
          <w:p w14:paraId="529BD586" w14:textId="77777777" w:rsidR="00676882" w:rsidRDefault="00676882" w:rsidP="00DF45FA">
            <w:pPr>
              <w:pStyle w:val="Tabletext"/>
              <w:jc w:val="center"/>
            </w:pPr>
            <w:r w:rsidRPr="00AD66D8">
              <w:t>0.0%</w:t>
            </w:r>
          </w:p>
        </w:tc>
      </w:tr>
      <w:tr w:rsidR="00676882" w14:paraId="0F0D7EF6" w14:textId="77777777" w:rsidTr="00DF45FA">
        <w:trPr>
          <w:gridBefore w:val="1"/>
          <w:wBefore w:w="454" w:type="dxa"/>
        </w:trPr>
        <w:tc>
          <w:tcPr>
            <w:tcW w:w="1984" w:type="dxa"/>
            <w:shd w:val="clear" w:color="auto" w:fill="auto"/>
          </w:tcPr>
          <w:p w14:paraId="2DC42A74" w14:textId="77777777" w:rsidR="00676882" w:rsidRDefault="00676882" w:rsidP="00DF45FA">
            <w:pPr>
              <w:pStyle w:val="Tabletext"/>
            </w:pPr>
            <w:r w:rsidRPr="00AD66D8">
              <w:t>No</w:t>
            </w:r>
            <w:r>
              <w:t xml:space="preserve"> </w:t>
            </w:r>
            <w:r w:rsidRPr="00AD66D8">
              <w:t>Heating</w:t>
            </w:r>
          </w:p>
        </w:tc>
        <w:tc>
          <w:tcPr>
            <w:tcW w:w="1984" w:type="dxa"/>
            <w:shd w:val="clear" w:color="auto" w:fill="auto"/>
          </w:tcPr>
          <w:p w14:paraId="599D7A15" w14:textId="77777777" w:rsidR="00676882" w:rsidRDefault="00676882" w:rsidP="00DF45FA">
            <w:pPr>
              <w:pStyle w:val="Tabletext"/>
              <w:jc w:val="center"/>
            </w:pPr>
            <w:r w:rsidRPr="00AD66D8">
              <w:t>1.0%</w:t>
            </w:r>
          </w:p>
        </w:tc>
        <w:tc>
          <w:tcPr>
            <w:tcW w:w="1984" w:type="dxa"/>
            <w:shd w:val="clear" w:color="auto" w:fill="auto"/>
          </w:tcPr>
          <w:p w14:paraId="09615E96" w14:textId="77777777" w:rsidR="00676882" w:rsidRDefault="00676882" w:rsidP="00DF45FA">
            <w:pPr>
              <w:pStyle w:val="Tabletext"/>
              <w:jc w:val="center"/>
            </w:pPr>
            <w:r w:rsidRPr="00AD66D8">
              <w:t>0.5%</w:t>
            </w:r>
          </w:p>
        </w:tc>
        <w:tc>
          <w:tcPr>
            <w:tcW w:w="1984" w:type="dxa"/>
            <w:shd w:val="clear" w:color="auto" w:fill="auto"/>
          </w:tcPr>
          <w:p w14:paraId="777643A1" w14:textId="77777777" w:rsidR="00676882" w:rsidRDefault="00676882" w:rsidP="00DF45FA">
            <w:pPr>
              <w:pStyle w:val="Tabletext"/>
              <w:jc w:val="center"/>
            </w:pPr>
            <w:r w:rsidRPr="00AD66D8">
              <w:t>1.0%</w:t>
            </w:r>
          </w:p>
        </w:tc>
      </w:tr>
      <w:tr w:rsidR="00676882" w14:paraId="6AC719CA" w14:textId="77777777" w:rsidTr="00DF45FA">
        <w:trPr>
          <w:gridBefore w:val="1"/>
          <w:wBefore w:w="454" w:type="dxa"/>
        </w:trPr>
        <w:tc>
          <w:tcPr>
            <w:tcW w:w="1984" w:type="dxa"/>
            <w:shd w:val="clear" w:color="auto" w:fill="auto"/>
          </w:tcPr>
          <w:p w14:paraId="13CC666E" w14:textId="77777777" w:rsidR="00676882" w:rsidRDefault="00676882" w:rsidP="00DF45FA">
            <w:pPr>
              <w:pStyle w:val="Tabletext"/>
            </w:pPr>
            <w:r w:rsidRPr="00AD66D8">
              <w:t>Central</w:t>
            </w:r>
            <w:r>
              <w:t xml:space="preserve"> </w:t>
            </w:r>
            <w:r w:rsidRPr="00AD66D8">
              <w:t>Gas</w:t>
            </w:r>
            <w:r>
              <w:t xml:space="preserve"> </w:t>
            </w:r>
            <w:r w:rsidRPr="00AD66D8">
              <w:t>- 20</w:t>
            </w:r>
            <w:r>
              <w:t xml:space="preserve"> </w:t>
            </w:r>
            <w:r w:rsidRPr="00AD66D8">
              <w:t>YO</w:t>
            </w:r>
          </w:p>
        </w:tc>
        <w:tc>
          <w:tcPr>
            <w:tcW w:w="1984" w:type="dxa"/>
            <w:shd w:val="clear" w:color="auto" w:fill="auto"/>
          </w:tcPr>
          <w:p w14:paraId="2382533E" w14:textId="77777777" w:rsidR="00676882" w:rsidRDefault="00676882" w:rsidP="00DF45FA">
            <w:pPr>
              <w:pStyle w:val="Tabletext"/>
              <w:jc w:val="center"/>
            </w:pPr>
            <w:r w:rsidRPr="00AD66D8">
              <w:t>0.3%</w:t>
            </w:r>
          </w:p>
        </w:tc>
        <w:tc>
          <w:tcPr>
            <w:tcW w:w="1984" w:type="dxa"/>
            <w:shd w:val="clear" w:color="auto" w:fill="auto"/>
          </w:tcPr>
          <w:p w14:paraId="59C03DB9" w14:textId="77777777" w:rsidR="00676882" w:rsidRDefault="00676882" w:rsidP="00DF45FA">
            <w:pPr>
              <w:pStyle w:val="Tabletext"/>
              <w:jc w:val="center"/>
            </w:pPr>
            <w:r w:rsidRPr="00AD66D8">
              <w:t>0.0%</w:t>
            </w:r>
          </w:p>
        </w:tc>
        <w:tc>
          <w:tcPr>
            <w:tcW w:w="1984" w:type="dxa"/>
            <w:shd w:val="clear" w:color="auto" w:fill="auto"/>
          </w:tcPr>
          <w:p w14:paraId="3F0CD7FF" w14:textId="77777777" w:rsidR="00676882" w:rsidRDefault="00676882" w:rsidP="00DF45FA">
            <w:pPr>
              <w:pStyle w:val="Tabletext"/>
              <w:jc w:val="center"/>
            </w:pPr>
            <w:r w:rsidRPr="00AD66D8">
              <w:t>0.0%</w:t>
            </w:r>
          </w:p>
        </w:tc>
      </w:tr>
      <w:tr w:rsidR="00676882" w14:paraId="39322954" w14:textId="77777777" w:rsidTr="00DF45FA">
        <w:trPr>
          <w:gridBefore w:val="1"/>
          <w:wBefore w:w="454" w:type="dxa"/>
        </w:trPr>
        <w:tc>
          <w:tcPr>
            <w:tcW w:w="1984" w:type="dxa"/>
            <w:shd w:val="clear" w:color="auto" w:fill="auto"/>
          </w:tcPr>
          <w:p w14:paraId="73355783" w14:textId="77777777" w:rsidR="00676882" w:rsidRDefault="00676882" w:rsidP="00DF45FA">
            <w:pPr>
              <w:pStyle w:val="Tabletext"/>
            </w:pPr>
            <w:r w:rsidRPr="00AD66D8">
              <w:t>Central</w:t>
            </w:r>
            <w:r>
              <w:t xml:space="preserve"> </w:t>
            </w:r>
            <w:r w:rsidRPr="00AD66D8">
              <w:t>HP</w:t>
            </w:r>
            <w:r>
              <w:t xml:space="preserve"> </w:t>
            </w:r>
            <w:r w:rsidRPr="00AD66D8">
              <w:t>- 20</w:t>
            </w:r>
            <w:r>
              <w:t xml:space="preserve"> </w:t>
            </w:r>
            <w:r w:rsidRPr="00AD66D8">
              <w:t>YO</w:t>
            </w:r>
          </w:p>
        </w:tc>
        <w:tc>
          <w:tcPr>
            <w:tcW w:w="1984" w:type="dxa"/>
            <w:shd w:val="clear" w:color="auto" w:fill="auto"/>
          </w:tcPr>
          <w:p w14:paraId="606B239D" w14:textId="77777777" w:rsidR="00676882" w:rsidRDefault="00676882" w:rsidP="00DF45FA">
            <w:pPr>
              <w:pStyle w:val="Tabletext"/>
              <w:jc w:val="center"/>
            </w:pPr>
            <w:r w:rsidRPr="00AD66D8">
              <w:t>0.1%</w:t>
            </w:r>
          </w:p>
        </w:tc>
        <w:tc>
          <w:tcPr>
            <w:tcW w:w="1984" w:type="dxa"/>
            <w:shd w:val="clear" w:color="auto" w:fill="auto"/>
          </w:tcPr>
          <w:p w14:paraId="094234F3" w14:textId="77777777" w:rsidR="00676882" w:rsidRDefault="00676882" w:rsidP="00DF45FA">
            <w:pPr>
              <w:pStyle w:val="Tabletext"/>
              <w:jc w:val="center"/>
            </w:pPr>
            <w:r w:rsidRPr="00AD66D8">
              <w:t>0.0%</w:t>
            </w:r>
          </w:p>
        </w:tc>
        <w:tc>
          <w:tcPr>
            <w:tcW w:w="1984" w:type="dxa"/>
            <w:shd w:val="clear" w:color="auto" w:fill="auto"/>
          </w:tcPr>
          <w:p w14:paraId="4BF60BDE" w14:textId="77777777" w:rsidR="00676882" w:rsidRDefault="00676882" w:rsidP="00DF45FA">
            <w:pPr>
              <w:pStyle w:val="Tabletext"/>
              <w:jc w:val="center"/>
            </w:pPr>
            <w:r w:rsidRPr="00AD66D8">
              <w:t>0.0%</w:t>
            </w:r>
          </w:p>
        </w:tc>
      </w:tr>
      <w:tr w:rsidR="00676882" w14:paraId="157C58F3" w14:textId="77777777" w:rsidTr="00DF45FA">
        <w:trPr>
          <w:gridBefore w:val="1"/>
          <w:wBefore w:w="454" w:type="dxa"/>
        </w:trPr>
        <w:tc>
          <w:tcPr>
            <w:tcW w:w="1984" w:type="dxa"/>
            <w:shd w:val="clear" w:color="auto" w:fill="auto"/>
          </w:tcPr>
          <w:p w14:paraId="546841A6" w14:textId="77777777" w:rsidR="00676882" w:rsidRDefault="00676882" w:rsidP="00DF45FA">
            <w:pPr>
              <w:pStyle w:val="Tabletext"/>
            </w:pPr>
            <w:r w:rsidRPr="00AD66D8">
              <w:t>Room</w:t>
            </w:r>
            <w:r>
              <w:t xml:space="preserve"> </w:t>
            </w:r>
            <w:r w:rsidRPr="00AD66D8">
              <w:t>Gas</w:t>
            </w:r>
            <w:r>
              <w:t xml:space="preserve"> </w:t>
            </w:r>
            <w:r w:rsidRPr="00AD66D8">
              <w:t>- 20</w:t>
            </w:r>
            <w:r>
              <w:t xml:space="preserve"> </w:t>
            </w:r>
            <w:r w:rsidRPr="00AD66D8">
              <w:t>YO</w:t>
            </w:r>
          </w:p>
        </w:tc>
        <w:tc>
          <w:tcPr>
            <w:tcW w:w="1984" w:type="dxa"/>
            <w:shd w:val="clear" w:color="auto" w:fill="auto"/>
          </w:tcPr>
          <w:p w14:paraId="3EAB57BE" w14:textId="77777777" w:rsidR="00676882" w:rsidRDefault="00676882" w:rsidP="00DF45FA">
            <w:pPr>
              <w:pStyle w:val="Tabletext"/>
              <w:jc w:val="center"/>
            </w:pPr>
            <w:r w:rsidRPr="00AD66D8">
              <w:t>0.1%</w:t>
            </w:r>
          </w:p>
        </w:tc>
        <w:tc>
          <w:tcPr>
            <w:tcW w:w="1984" w:type="dxa"/>
            <w:shd w:val="clear" w:color="auto" w:fill="auto"/>
          </w:tcPr>
          <w:p w14:paraId="4E51F714" w14:textId="77777777" w:rsidR="00676882" w:rsidRDefault="00676882" w:rsidP="00DF45FA">
            <w:pPr>
              <w:pStyle w:val="Tabletext"/>
              <w:jc w:val="center"/>
            </w:pPr>
            <w:r w:rsidRPr="00AD66D8">
              <w:t>0.0%</w:t>
            </w:r>
          </w:p>
        </w:tc>
        <w:tc>
          <w:tcPr>
            <w:tcW w:w="1984" w:type="dxa"/>
            <w:shd w:val="clear" w:color="auto" w:fill="auto"/>
          </w:tcPr>
          <w:p w14:paraId="3980990D" w14:textId="77777777" w:rsidR="00676882" w:rsidRDefault="00676882" w:rsidP="00DF45FA">
            <w:pPr>
              <w:pStyle w:val="Tabletext"/>
              <w:jc w:val="center"/>
            </w:pPr>
            <w:r w:rsidRPr="00AD66D8">
              <w:t>0.0%</w:t>
            </w:r>
          </w:p>
        </w:tc>
      </w:tr>
      <w:tr w:rsidR="00676882" w14:paraId="7317F913" w14:textId="77777777" w:rsidTr="00DF45FA">
        <w:trPr>
          <w:gridBefore w:val="1"/>
          <w:wBefore w:w="454" w:type="dxa"/>
        </w:trPr>
        <w:tc>
          <w:tcPr>
            <w:tcW w:w="1984" w:type="dxa"/>
            <w:shd w:val="clear" w:color="auto" w:fill="auto"/>
          </w:tcPr>
          <w:p w14:paraId="5E6D11DB" w14:textId="77777777" w:rsidR="00676882" w:rsidRDefault="00676882" w:rsidP="00DF45FA">
            <w:pPr>
              <w:pStyle w:val="Tabletext"/>
            </w:pPr>
            <w:r w:rsidRPr="00AD66D8">
              <w:t>Room</w:t>
            </w:r>
            <w:r>
              <w:t xml:space="preserve"> </w:t>
            </w:r>
            <w:r w:rsidRPr="00AD66D8">
              <w:t>HP</w:t>
            </w:r>
            <w:r>
              <w:t xml:space="preserve"> </w:t>
            </w:r>
            <w:r w:rsidRPr="00AD66D8">
              <w:t>- 20</w:t>
            </w:r>
            <w:r>
              <w:t xml:space="preserve"> </w:t>
            </w:r>
            <w:r w:rsidRPr="00AD66D8">
              <w:t>YO</w:t>
            </w:r>
          </w:p>
        </w:tc>
        <w:tc>
          <w:tcPr>
            <w:tcW w:w="1984" w:type="dxa"/>
            <w:shd w:val="clear" w:color="auto" w:fill="auto"/>
          </w:tcPr>
          <w:p w14:paraId="1952E583" w14:textId="77777777" w:rsidR="00676882" w:rsidRDefault="00676882" w:rsidP="00DF45FA">
            <w:pPr>
              <w:pStyle w:val="Tabletext"/>
              <w:jc w:val="center"/>
            </w:pPr>
            <w:r w:rsidRPr="00AD66D8">
              <w:t>0.4%</w:t>
            </w:r>
          </w:p>
        </w:tc>
        <w:tc>
          <w:tcPr>
            <w:tcW w:w="1984" w:type="dxa"/>
            <w:shd w:val="clear" w:color="auto" w:fill="auto"/>
          </w:tcPr>
          <w:p w14:paraId="1C3B9C19" w14:textId="77777777" w:rsidR="00676882" w:rsidRDefault="00676882" w:rsidP="00DF45FA">
            <w:pPr>
              <w:pStyle w:val="Tabletext"/>
              <w:jc w:val="center"/>
            </w:pPr>
            <w:r w:rsidRPr="00AD66D8">
              <w:t>0.0%</w:t>
            </w:r>
          </w:p>
        </w:tc>
        <w:tc>
          <w:tcPr>
            <w:tcW w:w="1984" w:type="dxa"/>
            <w:shd w:val="clear" w:color="auto" w:fill="auto"/>
          </w:tcPr>
          <w:p w14:paraId="35E025D4" w14:textId="77777777" w:rsidR="00676882" w:rsidRDefault="00676882" w:rsidP="00DF45FA">
            <w:pPr>
              <w:pStyle w:val="Tabletext"/>
              <w:jc w:val="center"/>
            </w:pPr>
            <w:r w:rsidRPr="00AD66D8">
              <w:t>0.0%</w:t>
            </w:r>
          </w:p>
        </w:tc>
      </w:tr>
      <w:tr w:rsidR="00676882" w14:paraId="73910D7C" w14:textId="77777777" w:rsidTr="00DF45FA">
        <w:trPr>
          <w:gridBefore w:val="1"/>
          <w:wBefore w:w="454" w:type="dxa"/>
        </w:trPr>
        <w:tc>
          <w:tcPr>
            <w:tcW w:w="1984" w:type="dxa"/>
            <w:shd w:val="clear" w:color="auto" w:fill="auto"/>
          </w:tcPr>
          <w:p w14:paraId="79BB3D8B" w14:textId="77777777" w:rsidR="00676882" w:rsidRDefault="00676882" w:rsidP="00DF45FA">
            <w:pPr>
              <w:pStyle w:val="Tabletext"/>
            </w:pPr>
            <w:r w:rsidRPr="00AD66D8">
              <w:t>Electric</w:t>
            </w:r>
            <w:r>
              <w:t xml:space="preserve"> </w:t>
            </w:r>
            <w:r w:rsidRPr="00AD66D8">
              <w:t>Panels</w:t>
            </w:r>
            <w:r>
              <w:t xml:space="preserve"> </w:t>
            </w:r>
            <w:r w:rsidRPr="00AD66D8">
              <w:t>- 20</w:t>
            </w:r>
            <w:r>
              <w:t xml:space="preserve"> </w:t>
            </w:r>
            <w:r w:rsidRPr="00AD66D8">
              <w:t>YO</w:t>
            </w:r>
          </w:p>
        </w:tc>
        <w:tc>
          <w:tcPr>
            <w:tcW w:w="1984" w:type="dxa"/>
            <w:shd w:val="clear" w:color="auto" w:fill="auto"/>
          </w:tcPr>
          <w:p w14:paraId="1F34F037" w14:textId="77777777" w:rsidR="00676882" w:rsidRDefault="00676882" w:rsidP="00DF45FA">
            <w:pPr>
              <w:pStyle w:val="Tabletext"/>
              <w:jc w:val="center"/>
            </w:pPr>
            <w:r w:rsidRPr="00AD66D8">
              <w:t>0.0%</w:t>
            </w:r>
          </w:p>
        </w:tc>
        <w:tc>
          <w:tcPr>
            <w:tcW w:w="1984" w:type="dxa"/>
            <w:shd w:val="clear" w:color="auto" w:fill="auto"/>
          </w:tcPr>
          <w:p w14:paraId="4CF0250D" w14:textId="77777777" w:rsidR="00676882" w:rsidRDefault="00676882" w:rsidP="00DF45FA">
            <w:pPr>
              <w:pStyle w:val="Tabletext"/>
              <w:jc w:val="center"/>
            </w:pPr>
            <w:r w:rsidRPr="00AD66D8">
              <w:t>0.0%</w:t>
            </w:r>
          </w:p>
        </w:tc>
        <w:tc>
          <w:tcPr>
            <w:tcW w:w="1984" w:type="dxa"/>
            <w:shd w:val="clear" w:color="auto" w:fill="auto"/>
          </w:tcPr>
          <w:p w14:paraId="33CA50F8" w14:textId="77777777" w:rsidR="00676882" w:rsidRDefault="00676882" w:rsidP="00DF45FA">
            <w:pPr>
              <w:pStyle w:val="Tabletext"/>
              <w:jc w:val="center"/>
            </w:pPr>
            <w:r w:rsidRPr="00AD66D8">
              <w:t>0.0%</w:t>
            </w:r>
          </w:p>
        </w:tc>
      </w:tr>
      <w:tr w:rsidR="00676882" w14:paraId="4E667363" w14:textId="77777777" w:rsidTr="00DF45FA">
        <w:trPr>
          <w:gridBefore w:val="1"/>
          <w:wBefore w:w="454" w:type="dxa"/>
        </w:trPr>
        <w:tc>
          <w:tcPr>
            <w:tcW w:w="1984" w:type="dxa"/>
            <w:shd w:val="clear" w:color="auto" w:fill="auto"/>
          </w:tcPr>
          <w:p w14:paraId="1EBF549F" w14:textId="77777777" w:rsidR="00676882" w:rsidRDefault="00676882" w:rsidP="00DF45FA">
            <w:pPr>
              <w:pStyle w:val="Tabletext"/>
            </w:pPr>
            <w:r w:rsidRPr="00AD66D8">
              <w:t>Firewood</w:t>
            </w:r>
            <w:r>
              <w:t xml:space="preserve"> </w:t>
            </w:r>
            <w:r w:rsidRPr="00AD66D8">
              <w:t>- 20</w:t>
            </w:r>
            <w:r>
              <w:t xml:space="preserve"> </w:t>
            </w:r>
            <w:r w:rsidRPr="00AD66D8">
              <w:t>YO</w:t>
            </w:r>
          </w:p>
        </w:tc>
        <w:tc>
          <w:tcPr>
            <w:tcW w:w="1984" w:type="dxa"/>
            <w:shd w:val="clear" w:color="auto" w:fill="auto"/>
          </w:tcPr>
          <w:p w14:paraId="2D1E13EE" w14:textId="77777777" w:rsidR="00676882" w:rsidRDefault="00676882" w:rsidP="00DF45FA">
            <w:pPr>
              <w:pStyle w:val="Tabletext"/>
              <w:jc w:val="center"/>
            </w:pPr>
            <w:r w:rsidRPr="00AD66D8">
              <w:t>0.0%</w:t>
            </w:r>
          </w:p>
        </w:tc>
        <w:tc>
          <w:tcPr>
            <w:tcW w:w="1984" w:type="dxa"/>
            <w:shd w:val="clear" w:color="auto" w:fill="auto"/>
          </w:tcPr>
          <w:p w14:paraId="75EF65D4" w14:textId="77777777" w:rsidR="00676882" w:rsidRDefault="00676882" w:rsidP="00DF45FA">
            <w:pPr>
              <w:pStyle w:val="Tabletext"/>
              <w:jc w:val="center"/>
            </w:pPr>
            <w:r w:rsidRPr="00AD66D8">
              <w:t>0.0%</w:t>
            </w:r>
          </w:p>
        </w:tc>
        <w:tc>
          <w:tcPr>
            <w:tcW w:w="1984" w:type="dxa"/>
            <w:shd w:val="clear" w:color="auto" w:fill="auto"/>
          </w:tcPr>
          <w:p w14:paraId="7C226415" w14:textId="77777777" w:rsidR="00676882" w:rsidRDefault="00676882" w:rsidP="00DF45FA">
            <w:pPr>
              <w:pStyle w:val="Tabletext"/>
              <w:jc w:val="center"/>
            </w:pPr>
            <w:r w:rsidRPr="00AD66D8">
              <w:t>0.0%</w:t>
            </w:r>
          </w:p>
        </w:tc>
      </w:tr>
      <w:tr w:rsidR="00676882" w14:paraId="4BBF889C" w14:textId="77777777" w:rsidTr="00DF45FA">
        <w:trPr>
          <w:gridBefore w:val="1"/>
          <w:wBefore w:w="454" w:type="dxa"/>
        </w:trPr>
        <w:tc>
          <w:tcPr>
            <w:tcW w:w="1984" w:type="dxa"/>
            <w:shd w:val="clear" w:color="auto" w:fill="auto"/>
          </w:tcPr>
          <w:p w14:paraId="4B657D3F" w14:textId="77777777" w:rsidR="00676882" w:rsidRDefault="00676882" w:rsidP="00DF45FA">
            <w:pPr>
              <w:pStyle w:val="Tabletext"/>
            </w:pPr>
            <w:r w:rsidRPr="00AD66D8">
              <w:t>Slab</w:t>
            </w:r>
            <w:r>
              <w:t xml:space="preserve"> </w:t>
            </w:r>
            <w:r w:rsidRPr="00AD66D8">
              <w:t>- 20</w:t>
            </w:r>
            <w:r>
              <w:t xml:space="preserve"> </w:t>
            </w:r>
            <w:r w:rsidRPr="00AD66D8">
              <w:t>YO</w:t>
            </w:r>
          </w:p>
        </w:tc>
        <w:tc>
          <w:tcPr>
            <w:tcW w:w="1984" w:type="dxa"/>
            <w:shd w:val="clear" w:color="auto" w:fill="auto"/>
          </w:tcPr>
          <w:p w14:paraId="0F82C364" w14:textId="77777777" w:rsidR="00676882" w:rsidRDefault="00676882" w:rsidP="00DF45FA">
            <w:pPr>
              <w:pStyle w:val="Tabletext"/>
              <w:jc w:val="center"/>
            </w:pPr>
            <w:r w:rsidRPr="00AD66D8">
              <w:t>0.0%</w:t>
            </w:r>
          </w:p>
        </w:tc>
        <w:tc>
          <w:tcPr>
            <w:tcW w:w="1984" w:type="dxa"/>
            <w:shd w:val="clear" w:color="auto" w:fill="auto"/>
          </w:tcPr>
          <w:p w14:paraId="268E7D37" w14:textId="77777777" w:rsidR="00676882" w:rsidRDefault="00676882" w:rsidP="00DF45FA">
            <w:pPr>
              <w:pStyle w:val="Tabletext"/>
              <w:jc w:val="center"/>
            </w:pPr>
            <w:r w:rsidRPr="00AD66D8">
              <w:t>0.0%</w:t>
            </w:r>
          </w:p>
        </w:tc>
        <w:tc>
          <w:tcPr>
            <w:tcW w:w="1984" w:type="dxa"/>
            <w:shd w:val="clear" w:color="auto" w:fill="auto"/>
          </w:tcPr>
          <w:p w14:paraId="43666F10" w14:textId="77777777" w:rsidR="00676882" w:rsidRDefault="00676882" w:rsidP="00DF45FA">
            <w:pPr>
              <w:pStyle w:val="Tabletext"/>
              <w:jc w:val="center"/>
            </w:pPr>
            <w:r w:rsidRPr="00AD66D8">
              <w:t>0.0%</w:t>
            </w:r>
          </w:p>
        </w:tc>
      </w:tr>
      <w:tr w:rsidR="00676882" w14:paraId="5C645838" w14:textId="77777777" w:rsidTr="00DF45FA">
        <w:trPr>
          <w:gridBefore w:val="1"/>
          <w:wBefore w:w="454" w:type="dxa"/>
        </w:trPr>
        <w:tc>
          <w:tcPr>
            <w:tcW w:w="1984" w:type="dxa"/>
            <w:shd w:val="clear" w:color="auto" w:fill="auto"/>
          </w:tcPr>
          <w:p w14:paraId="0DE8B3AC" w14:textId="77777777" w:rsidR="00676882" w:rsidRDefault="00676882" w:rsidP="00DF45FA">
            <w:pPr>
              <w:pStyle w:val="Tabletext"/>
            </w:pPr>
            <w:r w:rsidRPr="00AD66D8">
              <w:t>No</w:t>
            </w:r>
            <w:r>
              <w:t xml:space="preserve"> </w:t>
            </w:r>
            <w:r w:rsidRPr="00AD66D8">
              <w:t>Heating</w:t>
            </w:r>
            <w:r>
              <w:t xml:space="preserve"> </w:t>
            </w:r>
            <w:r w:rsidRPr="00AD66D8">
              <w:t>- 20</w:t>
            </w:r>
            <w:r>
              <w:t xml:space="preserve"> </w:t>
            </w:r>
            <w:r w:rsidRPr="00AD66D8">
              <w:t>YO</w:t>
            </w:r>
          </w:p>
        </w:tc>
        <w:tc>
          <w:tcPr>
            <w:tcW w:w="1984" w:type="dxa"/>
            <w:shd w:val="clear" w:color="auto" w:fill="auto"/>
          </w:tcPr>
          <w:p w14:paraId="33418FA6" w14:textId="77777777" w:rsidR="00676882" w:rsidRDefault="00676882" w:rsidP="00DF45FA">
            <w:pPr>
              <w:pStyle w:val="Tabletext"/>
              <w:jc w:val="center"/>
            </w:pPr>
            <w:r w:rsidRPr="00AD66D8">
              <w:t>0.0%</w:t>
            </w:r>
          </w:p>
        </w:tc>
        <w:tc>
          <w:tcPr>
            <w:tcW w:w="1984" w:type="dxa"/>
            <w:shd w:val="clear" w:color="auto" w:fill="auto"/>
          </w:tcPr>
          <w:p w14:paraId="753095B0" w14:textId="77777777" w:rsidR="00676882" w:rsidRDefault="00676882" w:rsidP="00DF45FA">
            <w:pPr>
              <w:pStyle w:val="Tabletext"/>
              <w:jc w:val="center"/>
            </w:pPr>
            <w:r w:rsidRPr="00AD66D8">
              <w:t>0.0%</w:t>
            </w:r>
          </w:p>
        </w:tc>
        <w:tc>
          <w:tcPr>
            <w:tcW w:w="1984" w:type="dxa"/>
            <w:shd w:val="clear" w:color="auto" w:fill="auto"/>
          </w:tcPr>
          <w:p w14:paraId="63EB7E97" w14:textId="77777777" w:rsidR="00676882" w:rsidRDefault="00676882" w:rsidP="00DF45FA">
            <w:pPr>
              <w:pStyle w:val="Tabletext"/>
              <w:jc w:val="center"/>
            </w:pPr>
            <w:r w:rsidRPr="00AD66D8">
              <w:t>0.0%</w:t>
            </w:r>
          </w:p>
        </w:tc>
      </w:tr>
      <w:tr w:rsidR="00676882" w14:paraId="7E18A26A" w14:textId="77777777" w:rsidTr="00DF45FA">
        <w:trPr>
          <w:gridBefore w:val="1"/>
          <w:wBefore w:w="454" w:type="dxa"/>
        </w:trPr>
        <w:tc>
          <w:tcPr>
            <w:tcW w:w="1984" w:type="dxa"/>
            <w:shd w:val="clear" w:color="auto" w:fill="auto"/>
          </w:tcPr>
          <w:p w14:paraId="109955BB" w14:textId="77777777" w:rsidR="00676882" w:rsidRDefault="00676882" w:rsidP="00DF45FA">
            <w:pPr>
              <w:pStyle w:val="Tabletext"/>
            </w:pPr>
            <w:r w:rsidRPr="00AD66D8">
              <w:t>New</w:t>
            </w:r>
            <w:r>
              <w:t xml:space="preserve"> </w:t>
            </w:r>
            <w:r w:rsidRPr="00AD66D8">
              <w:t>Central</w:t>
            </w:r>
            <w:r>
              <w:t xml:space="preserve"> </w:t>
            </w:r>
            <w:r w:rsidRPr="00AD66D8">
              <w:t>HP</w:t>
            </w:r>
          </w:p>
        </w:tc>
        <w:tc>
          <w:tcPr>
            <w:tcW w:w="1984" w:type="dxa"/>
            <w:shd w:val="clear" w:color="auto" w:fill="auto"/>
          </w:tcPr>
          <w:p w14:paraId="657AA44C" w14:textId="77777777" w:rsidR="00676882" w:rsidRDefault="00676882" w:rsidP="00DF45FA">
            <w:pPr>
              <w:pStyle w:val="Tabletext"/>
              <w:jc w:val="center"/>
            </w:pPr>
            <w:r w:rsidRPr="00AD66D8">
              <w:t>0.0%</w:t>
            </w:r>
          </w:p>
        </w:tc>
        <w:tc>
          <w:tcPr>
            <w:tcW w:w="1984" w:type="dxa"/>
            <w:shd w:val="clear" w:color="auto" w:fill="auto"/>
          </w:tcPr>
          <w:p w14:paraId="2CFDEEBF" w14:textId="77777777" w:rsidR="00676882" w:rsidRDefault="00676882" w:rsidP="00DF45FA">
            <w:pPr>
              <w:pStyle w:val="Tabletext"/>
              <w:jc w:val="center"/>
            </w:pPr>
            <w:r w:rsidRPr="00AD66D8">
              <w:t>18.0%</w:t>
            </w:r>
          </w:p>
        </w:tc>
        <w:tc>
          <w:tcPr>
            <w:tcW w:w="1984" w:type="dxa"/>
            <w:shd w:val="clear" w:color="auto" w:fill="auto"/>
          </w:tcPr>
          <w:p w14:paraId="24BCE7E2" w14:textId="77777777" w:rsidR="00676882" w:rsidRDefault="00676882" w:rsidP="00DF45FA">
            <w:pPr>
              <w:pStyle w:val="Tabletext"/>
              <w:jc w:val="center"/>
            </w:pPr>
            <w:r w:rsidRPr="00AD66D8">
              <w:t>13.3%</w:t>
            </w:r>
          </w:p>
        </w:tc>
      </w:tr>
      <w:tr w:rsidR="00676882" w14:paraId="2B2245FA" w14:textId="77777777" w:rsidTr="00DF45FA">
        <w:trPr>
          <w:gridBefore w:val="1"/>
          <w:wBefore w:w="454" w:type="dxa"/>
        </w:trPr>
        <w:tc>
          <w:tcPr>
            <w:tcW w:w="1984" w:type="dxa"/>
            <w:shd w:val="clear" w:color="auto" w:fill="auto"/>
          </w:tcPr>
          <w:p w14:paraId="121BAA22" w14:textId="77777777" w:rsidR="00676882" w:rsidRDefault="00676882" w:rsidP="00DF45FA">
            <w:pPr>
              <w:pStyle w:val="Tabletext"/>
            </w:pPr>
            <w:r w:rsidRPr="00AD66D8">
              <w:t>New</w:t>
            </w:r>
            <w:r>
              <w:t xml:space="preserve"> </w:t>
            </w:r>
            <w:r w:rsidRPr="00AD66D8">
              <w:t>Room</w:t>
            </w:r>
            <w:r>
              <w:t xml:space="preserve"> </w:t>
            </w:r>
            <w:r w:rsidRPr="00AD66D8">
              <w:t>HP</w:t>
            </w:r>
          </w:p>
        </w:tc>
        <w:tc>
          <w:tcPr>
            <w:tcW w:w="1984" w:type="dxa"/>
            <w:shd w:val="clear" w:color="auto" w:fill="auto"/>
          </w:tcPr>
          <w:p w14:paraId="4A5A83F0" w14:textId="77777777" w:rsidR="00676882" w:rsidRDefault="00676882" w:rsidP="00DF45FA">
            <w:pPr>
              <w:pStyle w:val="Tabletext"/>
              <w:jc w:val="center"/>
            </w:pPr>
            <w:r w:rsidRPr="00AD66D8">
              <w:t>0.0%</w:t>
            </w:r>
          </w:p>
        </w:tc>
        <w:tc>
          <w:tcPr>
            <w:tcW w:w="1984" w:type="dxa"/>
            <w:shd w:val="clear" w:color="auto" w:fill="auto"/>
          </w:tcPr>
          <w:p w14:paraId="0D8460C3" w14:textId="77777777" w:rsidR="00676882" w:rsidRDefault="00676882" w:rsidP="00DF45FA">
            <w:pPr>
              <w:pStyle w:val="Tabletext"/>
              <w:jc w:val="center"/>
            </w:pPr>
            <w:r w:rsidRPr="00AD66D8">
              <w:t>72.0%</w:t>
            </w:r>
          </w:p>
        </w:tc>
        <w:tc>
          <w:tcPr>
            <w:tcW w:w="1984" w:type="dxa"/>
            <w:shd w:val="clear" w:color="auto" w:fill="auto"/>
          </w:tcPr>
          <w:p w14:paraId="2A80D2C3" w14:textId="77777777" w:rsidR="00676882" w:rsidRDefault="00676882" w:rsidP="00DF45FA">
            <w:pPr>
              <w:pStyle w:val="Tabletext"/>
              <w:jc w:val="center"/>
            </w:pPr>
            <w:r w:rsidRPr="00AD66D8">
              <w:t>81.7%</w:t>
            </w:r>
          </w:p>
        </w:tc>
      </w:tr>
      <w:tr w:rsidR="00676882" w14:paraId="03765971" w14:textId="77777777" w:rsidTr="00DF45FA">
        <w:trPr>
          <w:gridBefore w:val="1"/>
          <w:wBefore w:w="454" w:type="dxa"/>
        </w:trPr>
        <w:tc>
          <w:tcPr>
            <w:tcW w:w="1984" w:type="dxa"/>
            <w:shd w:val="clear" w:color="auto" w:fill="auto"/>
          </w:tcPr>
          <w:p w14:paraId="5CE35811" w14:textId="77777777" w:rsidR="00676882" w:rsidRDefault="00676882" w:rsidP="00DF45FA">
            <w:pPr>
              <w:pStyle w:val="Tabletext"/>
            </w:pPr>
            <w:r w:rsidRPr="00AD66D8">
              <w:lastRenderedPageBreak/>
              <w:t>Replacement</w:t>
            </w:r>
            <w:r>
              <w:t xml:space="preserve"> </w:t>
            </w:r>
            <w:r w:rsidRPr="00AD66D8">
              <w:t>Central</w:t>
            </w:r>
            <w:r>
              <w:t xml:space="preserve"> </w:t>
            </w:r>
            <w:r w:rsidRPr="00AD66D8">
              <w:t>HP</w:t>
            </w:r>
          </w:p>
        </w:tc>
        <w:tc>
          <w:tcPr>
            <w:tcW w:w="1984" w:type="dxa"/>
            <w:shd w:val="clear" w:color="auto" w:fill="auto"/>
          </w:tcPr>
          <w:p w14:paraId="18B6729F" w14:textId="77777777" w:rsidR="00676882" w:rsidRDefault="00676882" w:rsidP="00DF45FA">
            <w:pPr>
              <w:pStyle w:val="Tabletext"/>
              <w:jc w:val="center"/>
            </w:pPr>
            <w:r w:rsidRPr="00AD66D8">
              <w:t>0.0%</w:t>
            </w:r>
          </w:p>
        </w:tc>
        <w:tc>
          <w:tcPr>
            <w:tcW w:w="1984" w:type="dxa"/>
            <w:shd w:val="clear" w:color="auto" w:fill="auto"/>
          </w:tcPr>
          <w:p w14:paraId="2A580D90" w14:textId="77777777" w:rsidR="00676882" w:rsidRDefault="00676882" w:rsidP="00DF45FA">
            <w:pPr>
              <w:pStyle w:val="Tabletext"/>
              <w:jc w:val="center"/>
            </w:pPr>
            <w:r w:rsidRPr="00AD66D8">
              <w:t>0.0%</w:t>
            </w:r>
          </w:p>
        </w:tc>
        <w:tc>
          <w:tcPr>
            <w:tcW w:w="1984" w:type="dxa"/>
            <w:shd w:val="clear" w:color="auto" w:fill="auto"/>
          </w:tcPr>
          <w:p w14:paraId="0F0D11F3" w14:textId="77777777" w:rsidR="00676882" w:rsidRDefault="00676882" w:rsidP="00DF45FA">
            <w:pPr>
              <w:pStyle w:val="Tabletext"/>
              <w:jc w:val="center"/>
            </w:pPr>
            <w:r w:rsidRPr="00AD66D8">
              <w:t>0.0%</w:t>
            </w:r>
          </w:p>
        </w:tc>
      </w:tr>
      <w:tr w:rsidR="00676882" w14:paraId="1D84893D" w14:textId="77777777" w:rsidTr="00676882">
        <w:trPr>
          <w:gridBefore w:val="1"/>
          <w:wBefore w:w="454" w:type="dxa"/>
        </w:trPr>
        <w:tc>
          <w:tcPr>
            <w:tcW w:w="1984" w:type="dxa"/>
            <w:tcBorders>
              <w:bottom w:val="single" w:sz="4" w:space="0" w:color="646464"/>
            </w:tcBorders>
            <w:shd w:val="clear" w:color="auto" w:fill="auto"/>
          </w:tcPr>
          <w:p w14:paraId="6E52066F" w14:textId="77777777" w:rsidR="00676882" w:rsidRDefault="00676882" w:rsidP="00DF45FA">
            <w:pPr>
              <w:pStyle w:val="Tabletext"/>
            </w:pPr>
            <w:r w:rsidRPr="00AD66D8">
              <w:t>Replacement</w:t>
            </w:r>
            <w:r>
              <w:t xml:space="preserve"> </w:t>
            </w:r>
            <w:r w:rsidRPr="00AD66D8">
              <w:t>Room</w:t>
            </w:r>
            <w:r>
              <w:t xml:space="preserve"> </w:t>
            </w:r>
            <w:r w:rsidRPr="00AD66D8">
              <w:t>HP</w:t>
            </w:r>
          </w:p>
        </w:tc>
        <w:tc>
          <w:tcPr>
            <w:tcW w:w="1984" w:type="dxa"/>
            <w:tcBorders>
              <w:bottom w:val="single" w:sz="4" w:space="0" w:color="646464"/>
            </w:tcBorders>
            <w:shd w:val="clear" w:color="auto" w:fill="auto"/>
            <w:vAlign w:val="center"/>
          </w:tcPr>
          <w:p w14:paraId="5BCDCDFA" w14:textId="77777777" w:rsidR="00676882" w:rsidRDefault="00676882" w:rsidP="00DF45FA">
            <w:pPr>
              <w:pStyle w:val="Tabletext"/>
              <w:jc w:val="right"/>
            </w:pPr>
            <w:r w:rsidRPr="00AD66D8">
              <w:t>0.0%</w:t>
            </w:r>
          </w:p>
        </w:tc>
        <w:tc>
          <w:tcPr>
            <w:tcW w:w="1984" w:type="dxa"/>
            <w:tcBorders>
              <w:bottom w:val="single" w:sz="4" w:space="0" w:color="646464"/>
            </w:tcBorders>
            <w:shd w:val="clear" w:color="auto" w:fill="auto"/>
            <w:vAlign w:val="center"/>
          </w:tcPr>
          <w:p w14:paraId="0163E131" w14:textId="77777777" w:rsidR="00676882" w:rsidRDefault="00676882" w:rsidP="00DF45FA">
            <w:pPr>
              <w:pStyle w:val="Tabletext"/>
              <w:jc w:val="right"/>
            </w:pPr>
            <w:r w:rsidRPr="00AD66D8">
              <w:t>0.0%</w:t>
            </w:r>
          </w:p>
        </w:tc>
        <w:tc>
          <w:tcPr>
            <w:tcW w:w="1984" w:type="dxa"/>
            <w:tcBorders>
              <w:bottom w:val="single" w:sz="4" w:space="0" w:color="646464"/>
            </w:tcBorders>
            <w:shd w:val="clear" w:color="auto" w:fill="auto"/>
            <w:vAlign w:val="center"/>
          </w:tcPr>
          <w:p w14:paraId="6FC2C175" w14:textId="77777777" w:rsidR="00676882" w:rsidRDefault="00676882" w:rsidP="00DF45FA">
            <w:pPr>
              <w:pStyle w:val="Tabletext"/>
              <w:jc w:val="right"/>
            </w:pPr>
            <w:r w:rsidRPr="00AD66D8">
              <w:t>0.0%</w:t>
            </w:r>
          </w:p>
        </w:tc>
      </w:tr>
      <w:tr w:rsidR="00676882" w14:paraId="3E34EB59" w14:textId="77777777" w:rsidTr="00676882">
        <w:trPr>
          <w:gridBefore w:val="1"/>
          <w:wBefore w:w="454" w:type="dxa"/>
        </w:trPr>
        <w:tc>
          <w:tcPr>
            <w:tcW w:w="1984" w:type="dxa"/>
            <w:tcBorders>
              <w:top w:val="single" w:sz="4" w:space="0" w:color="646464"/>
            </w:tcBorders>
            <w:shd w:val="clear" w:color="auto" w:fill="CAE4EE"/>
          </w:tcPr>
          <w:p w14:paraId="00919F30" w14:textId="77777777" w:rsidR="00676882" w:rsidRPr="00827462" w:rsidRDefault="00676882" w:rsidP="00DF45FA">
            <w:pPr>
              <w:pStyle w:val="Tabletext"/>
              <w:rPr>
                <w:b/>
                <w:bCs/>
              </w:rPr>
            </w:pPr>
            <w:r w:rsidRPr="00827462">
              <w:rPr>
                <w:b/>
                <w:bCs/>
              </w:rPr>
              <w:t>Cooling</w:t>
            </w:r>
            <w:r>
              <w:rPr>
                <w:b/>
                <w:bCs/>
              </w:rPr>
              <w:t xml:space="preserve"> </w:t>
            </w:r>
            <w:r w:rsidRPr="00074099">
              <w:rPr>
                <w:b/>
                <w:bCs/>
                <w:vertAlign w:val="superscript"/>
              </w:rPr>
              <w:t>a</w:t>
            </w:r>
          </w:p>
        </w:tc>
        <w:tc>
          <w:tcPr>
            <w:tcW w:w="1984" w:type="dxa"/>
            <w:tcBorders>
              <w:top w:val="single" w:sz="4" w:space="0" w:color="646464"/>
            </w:tcBorders>
            <w:shd w:val="clear" w:color="auto" w:fill="CAE4EE"/>
            <w:vAlign w:val="center"/>
          </w:tcPr>
          <w:p w14:paraId="6D94A67D" w14:textId="77777777" w:rsidR="00676882" w:rsidRDefault="00676882" w:rsidP="00DF45FA">
            <w:pPr>
              <w:pStyle w:val="Tabletext"/>
              <w:jc w:val="right"/>
            </w:pPr>
          </w:p>
        </w:tc>
        <w:tc>
          <w:tcPr>
            <w:tcW w:w="1984" w:type="dxa"/>
            <w:tcBorders>
              <w:top w:val="single" w:sz="4" w:space="0" w:color="646464"/>
            </w:tcBorders>
            <w:shd w:val="clear" w:color="auto" w:fill="CAE4EE"/>
            <w:vAlign w:val="center"/>
          </w:tcPr>
          <w:p w14:paraId="7AC3F022" w14:textId="77777777" w:rsidR="00676882" w:rsidRDefault="00676882" w:rsidP="00DF45FA">
            <w:pPr>
              <w:pStyle w:val="Tabletext"/>
              <w:jc w:val="right"/>
            </w:pPr>
          </w:p>
        </w:tc>
        <w:tc>
          <w:tcPr>
            <w:tcW w:w="1984" w:type="dxa"/>
            <w:tcBorders>
              <w:top w:val="single" w:sz="4" w:space="0" w:color="646464"/>
            </w:tcBorders>
            <w:shd w:val="clear" w:color="auto" w:fill="CAE4EE"/>
            <w:vAlign w:val="center"/>
          </w:tcPr>
          <w:p w14:paraId="49E0554B" w14:textId="77777777" w:rsidR="00676882" w:rsidRDefault="00676882" w:rsidP="00DF45FA">
            <w:pPr>
              <w:pStyle w:val="Tabletext"/>
              <w:jc w:val="right"/>
            </w:pPr>
          </w:p>
        </w:tc>
      </w:tr>
      <w:tr w:rsidR="00676882" w14:paraId="7BA15B46" w14:textId="77777777" w:rsidTr="00DF45FA">
        <w:trPr>
          <w:gridBefore w:val="1"/>
          <w:wBefore w:w="454" w:type="dxa"/>
        </w:trPr>
        <w:tc>
          <w:tcPr>
            <w:tcW w:w="1984" w:type="dxa"/>
            <w:shd w:val="clear" w:color="auto" w:fill="auto"/>
          </w:tcPr>
          <w:p w14:paraId="0F358BA7" w14:textId="77777777" w:rsidR="00676882" w:rsidRDefault="00676882" w:rsidP="00DF45FA">
            <w:pPr>
              <w:pStyle w:val="Tabletext"/>
            </w:pPr>
            <w:r w:rsidRPr="00D770CC">
              <w:t>No</w:t>
            </w:r>
            <w:r>
              <w:t xml:space="preserve"> </w:t>
            </w:r>
            <w:r w:rsidRPr="00D770CC">
              <w:t>cooling</w:t>
            </w:r>
          </w:p>
        </w:tc>
        <w:tc>
          <w:tcPr>
            <w:tcW w:w="1984" w:type="dxa"/>
            <w:shd w:val="clear" w:color="auto" w:fill="auto"/>
          </w:tcPr>
          <w:p w14:paraId="143B42BD" w14:textId="77777777" w:rsidR="00676882" w:rsidRDefault="00676882" w:rsidP="00DF45FA">
            <w:pPr>
              <w:pStyle w:val="Tabletext"/>
              <w:jc w:val="center"/>
            </w:pPr>
            <w:r w:rsidRPr="00D770CC">
              <w:t>27%</w:t>
            </w:r>
          </w:p>
        </w:tc>
        <w:tc>
          <w:tcPr>
            <w:tcW w:w="1984" w:type="dxa"/>
            <w:shd w:val="clear" w:color="auto" w:fill="auto"/>
          </w:tcPr>
          <w:p w14:paraId="407C018F" w14:textId="77777777" w:rsidR="00676882" w:rsidRDefault="00676882" w:rsidP="00DF45FA">
            <w:pPr>
              <w:pStyle w:val="Tabletext"/>
              <w:jc w:val="center"/>
            </w:pPr>
            <w:r w:rsidRPr="00D770CC">
              <w:t>3%</w:t>
            </w:r>
          </w:p>
        </w:tc>
        <w:tc>
          <w:tcPr>
            <w:tcW w:w="1984" w:type="dxa"/>
            <w:shd w:val="clear" w:color="auto" w:fill="auto"/>
          </w:tcPr>
          <w:p w14:paraId="7054ADED" w14:textId="77777777" w:rsidR="00676882" w:rsidRDefault="00676882" w:rsidP="00DF45FA">
            <w:pPr>
              <w:pStyle w:val="Tabletext"/>
              <w:jc w:val="center"/>
            </w:pPr>
            <w:r w:rsidRPr="00D770CC">
              <w:t>2%</w:t>
            </w:r>
          </w:p>
        </w:tc>
      </w:tr>
      <w:tr w:rsidR="00676882" w14:paraId="18638D10" w14:textId="77777777" w:rsidTr="00DF45FA">
        <w:trPr>
          <w:gridBefore w:val="1"/>
          <w:wBefore w:w="454" w:type="dxa"/>
        </w:trPr>
        <w:tc>
          <w:tcPr>
            <w:tcW w:w="1984" w:type="dxa"/>
            <w:shd w:val="clear" w:color="auto" w:fill="auto"/>
          </w:tcPr>
          <w:p w14:paraId="78378822" w14:textId="77777777" w:rsidR="00676882" w:rsidRDefault="00676882" w:rsidP="00DF45FA">
            <w:pPr>
              <w:pStyle w:val="Tabletext"/>
            </w:pPr>
            <w:r w:rsidRPr="00D770CC">
              <w:t>Central</w:t>
            </w:r>
            <w:r>
              <w:t xml:space="preserve"> </w:t>
            </w:r>
            <w:r w:rsidRPr="00D770CC">
              <w:t>HP</w:t>
            </w:r>
            <w:r>
              <w:t xml:space="preserve"> </w:t>
            </w:r>
            <w:r w:rsidRPr="00D770CC">
              <w:t>(Cool)</w:t>
            </w:r>
          </w:p>
        </w:tc>
        <w:tc>
          <w:tcPr>
            <w:tcW w:w="1984" w:type="dxa"/>
            <w:shd w:val="clear" w:color="auto" w:fill="auto"/>
          </w:tcPr>
          <w:p w14:paraId="056E7C5D" w14:textId="77777777" w:rsidR="00676882" w:rsidRDefault="00676882" w:rsidP="00DF45FA">
            <w:pPr>
              <w:pStyle w:val="Tabletext"/>
              <w:jc w:val="center"/>
            </w:pPr>
            <w:r w:rsidRPr="00D770CC">
              <w:t>14%</w:t>
            </w:r>
          </w:p>
        </w:tc>
        <w:tc>
          <w:tcPr>
            <w:tcW w:w="1984" w:type="dxa"/>
            <w:shd w:val="clear" w:color="auto" w:fill="auto"/>
          </w:tcPr>
          <w:p w14:paraId="7AA5A092" w14:textId="77777777" w:rsidR="00676882" w:rsidRDefault="00676882" w:rsidP="00DF45FA">
            <w:pPr>
              <w:pStyle w:val="Tabletext"/>
              <w:jc w:val="center"/>
            </w:pPr>
            <w:r w:rsidRPr="00D770CC">
              <w:t>18%</w:t>
            </w:r>
          </w:p>
        </w:tc>
        <w:tc>
          <w:tcPr>
            <w:tcW w:w="1984" w:type="dxa"/>
            <w:shd w:val="clear" w:color="auto" w:fill="auto"/>
          </w:tcPr>
          <w:p w14:paraId="3F0E085C" w14:textId="77777777" w:rsidR="00676882" w:rsidRDefault="00676882" w:rsidP="00DF45FA">
            <w:pPr>
              <w:pStyle w:val="Tabletext"/>
              <w:jc w:val="center"/>
            </w:pPr>
            <w:r w:rsidRPr="00D770CC">
              <w:t>13%</w:t>
            </w:r>
          </w:p>
        </w:tc>
      </w:tr>
      <w:tr w:rsidR="00676882" w14:paraId="7FE95BC8" w14:textId="77777777" w:rsidTr="00DF45FA">
        <w:trPr>
          <w:gridBefore w:val="1"/>
          <w:wBefore w:w="454" w:type="dxa"/>
        </w:trPr>
        <w:tc>
          <w:tcPr>
            <w:tcW w:w="1984" w:type="dxa"/>
            <w:shd w:val="clear" w:color="auto" w:fill="auto"/>
          </w:tcPr>
          <w:p w14:paraId="3E2757E9" w14:textId="77777777" w:rsidR="00676882" w:rsidRDefault="00676882" w:rsidP="00DF45FA">
            <w:pPr>
              <w:pStyle w:val="Tabletext"/>
            </w:pPr>
            <w:r w:rsidRPr="00D770CC">
              <w:t>Central</w:t>
            </w:r>
            <w:r>
              <w:t xml:space="preserve"> </w:t>
            </w:r>
            <w:r w:rsidRPr="00D770CC">
              <w:t>evaporative</w:t>
            </w:r>
          </w:p>
        </w:tc>
        <w:tc>
          <w:tcPr>
            <w:tcW w:w="1984" w:type="dxa"/>
            <w:shd w:val="clear" w:color="auto" w:fill="auto"/>
          </w:tcPr>
          <w:p w14:paraId="066448DC" w14:textId="77777777" w:rsidR="00676882" w:rsidRDefault="00676882" w:rsidP="00DF45FA">
            <w:pPr>
              <w:pStyle w:val="Tabletext"/>
              <w:jc w:val="center"/>
            </w:pPr>
            <w:r w:rsidRPr="00D770CC">
              <w:t>15%</w:t>
            </w:r>
          </w:p>
        </w:tc>
        <w:tc>
          <w:tcPr>
            <w:tcW w:w="1984" w:type="dxa"/>
            <w:shd w:val="clear" w:color="auto" w:fill="auto"/>
          </w:tcPr>
          <w:p w14:paraId="504BD0C6" w14:textId="77777777" w:rsidR="00676882" w:rsidRDefault="00676882" w:rsidP="00DF45FA">
            <w:pPr>
              <w:pStyle w:val="Tabletext"/>
              <w:jc w:val="center"/>
            </w:pPr>
            <w:r w:rsidRPr="00D770CC">
              <w:t>2%</w:t>
            </w:r>
          </w:p>
        </w:tc>
        <w:tc>
          <w:tcPr>
            <w:tcW w:w="1984" w:type="dxa"/>
            <w:shd w:val="clear" w:color="auto" w:fill="auto"/>
          </w:tcPr>
          <w:p w14:paraId="07952642" w14:textId="77777777" w:rsidR="00676882" w:rsidRDefault="00676882" w:rsidP="00DF45FA">
            <w:pPr>
              <w:pStyle w:val="Tabletext"/>
              <w:jc w:val="center"/>
            </w:pPr>
            <w:r w:rsidRPr="00D770CC">
              <w:t>0%</w:t>
            </w:r>
          </w:p>
        </w:tc>
      </w:tr>
      <w:tr w:rsidR="00676882" w14:paraId="1F8CAAAB" w14:textId="77777777" w:rsidTr="00DF45FA">
        <w:trPr>
          <w:gridBefore w:val="1"/>
          <w:wBefore w:w="454" w:type="dxa"/>
        </w:trPr>
        <w:tc>
          <w:tcPr>
            <w:tcW w:w="1984" w:type="dxa"/>
            <w:shd w:val="clear" w:color="auto" w:fill="auto"/>
          </w:tcPr>
          <w:p w14:paraId="3673157F" w14:textId="77777777" w:rsidR="00676882" w:rsidRDefault="00676882" w:rsidP="00DF45FA">
            <w:pPr>
              <w:pStyle w:val="Tabletext"/>
            </w:pPr>
            <w:r w:rsidRPr="00D770CC">
              <w:t>Room</w:t>
            </w:r>
            <w:r>
              <w:t xml:space="preserve"> </w:t>
            </w:r>
            <w:r w:rsidRPr="00D770CC">
              <w:t>HP</w:t>
            </w:r>
            <w:r>
              <w:t xml:space="preserve"> </w:t>
            </w:r>
            <w:r w:rsidRPr="00D770CC">
              <w:t>(Cool)</w:t>
            </w:r>
          </w:p>
        </w:tc>
        <w:tc>
          <w:tcPr>
            <w:tcW w:w="1984" w:type="dxa"/>
            <w:shd w:val="clear" w:color="auto" w:fill="auto"/>
          </w:tcPr>
          <w:p w14:paraId="780C7D21" w14:textId="77777777" w:rsidR="00676882" w:rsidRDefault="00676882" w:rsidP="00DF45FA">
            <w:pPr>
              <w:pStyle w:val="Tabletext"/>
              <w:jc w:val="center"/>
            </w:pPr>
            <w:r w:rsidRPr="00D770CC">
              <w:t>44%</w:t>
            </w:r>
          </w:p>
        </w:tc>
        <w:tc>
          <w:tcPr>
            <w:tcW w:w="1984" w:type="dxa"/>
            <w:shd w:val="clear" w:color="auto" w:fill="auto"/>
          </w:tcPr>
          <w:p w14:paraId="12294C95" w14:textId="77777777" w:rsidR="00676882" w:rsidRDefault="00676882" w:rsidP="00DF45FA">
            <w:pPr>
              <w:pStyle w:val="Tabletext"/>
              <w:jc w:val="center"/>
            </w:pPr>
            <w:r w:rsidRPr="00D770CC">
              <w:t>77%</w:t>
            </w:r>
          </w:p>
        </w:tc>
        <w:tc>
          <w:tcPr>
            <w:tcW w:w="1984" w:type="dxa"/>
            <w:shd w:val="clear" w:color="auto" w:fill="auto"/>
          </w:tcPr>
          <w:p w14:paraId="556BB1B1" w14:textId="77777777" w:rsidR="00676882" w:rsidRDefault="00676882" w:rsidP="00DF45FA">
            <w:pPr>
              <w:pStyle w:val="Tabletext"/>
              <w:jc w:val="center"/>
            </w:pPr>
            <w:r w:rsidRPr="00D770CC">
              <w:t>84%</w:t>
            </w:r>
          </w:p>
        </w:tc>
      </w:tr>
      <w:tr w:rsidR="00676882" w14:paraId="5306669C" w14:textId="77777777" w:rsidTr="00DF45FA">
        <w:trPr>
          <w:gridBefore w:val="1"/>
          <w:wBefore w:w="454" w:type="dxa"/>
        </w:trPr>
        <w:tc>
          <w:tcPr>
            <w:tcW w:w="7936" w:type="dxa"/>
            <w:gridSpan w:val="4"/>
            <w:tcBorders>
              <w:bottom w:val="single" w:sz="4" w:space="0" w:color="646464"/>
            </w:tcBorders>
            <w:shd w:val="clear" w:color="auto" w:fill="auto"/>
          </w:tcPr>
          <w:p w14:paraId="727C3404" w14:textId="77777777" w:rsidR="00676882" w:rsidRDefault="00676882" w:rsidP="00DF45FA">
            <w:pPr>
              <w:pStyle w:val="Source"/>
            </w:pPr>
            <w:r w:rsidRPr="00BB7857">
              <w:rPr>
                <w:rStyle w:val="Notelabel"/>
              </w:rPr>
              <w:t>a</w:t>
            </w:r>
            <w:r>
              <w:rPr>
                <w:rStyle w:val="Notelabel"/>
              </w:rPr>
              <w:t xml:space="preserve"> </w:t>
            </w:r>
            <w:r w:rsidRPr="00827462">
              <w:rPr>
                <w:i w:val="0"/>
                <w:iCs/>
              </w:rPr>
              <w:t>Cooling</w:t>
            </w:r>
            <w:r>
              <w:rPr>
                <w:i w:val="0"/>
                <w:iCs/>
              </w:rPr>
              <w:t xml:space="preserve"> </w:t>
            </w:r>
            <w:r w:rsidRPr="00827462">
              <w:rPr>
                <w:i w:val="0"/>
                <w:iCs/>
              </w:rPr>
              <w:t>data</w:t>
            </w:r>
            <w:r>
              <w:rPr>
                <w:i w:val="0"/>
                <w:iCs/>
              </w:rPr>
              <w:t xml:space="preserve"> </w:t>
            </w:r>
            <w:r w:rsidRPr="00827462">
              <w:rPr>
                <w:i w:val="0"/>
                <w:iCs/>
              </w:rPr>
              <w:t>is</w:t>
            </w:r>
            <w:r>
              <w:rPr>
                <w:i w:val="0"/>
                <w:iCs/>
              </w:rPr>
              <w:t xml:space="preserve"> </w:t>
            </w:r>
            <w:r w:rsidRPr="00827462">
              <w:rPr>
                <w:i w:val="0"/>
                <w:iCs/>
              </w:rPr>
              <w:t>included</w:t>
            </w:r>
            <w:r>
              <w:rPr>
                <w:i w:val="0"/>
                <w:iCs/>
              </w:rPr>
              <w:t xml:space="preserve"> </w:t>
            </w:r>
            <w:r w:rsidRPr="00827462">
              <w:rPr>
                <w:i w:val="0"/>
                <w:iCs/>
              </w:rPr>
              <w:t>in</w:t>
            </w:r>
            <w:r>
              <w:rPr>
                <w:i w:val="0"/>
                <w:iCs/>
              </w:rPr>
              <w:t xml:space="preserve"> </w:t>
            </w:r>
            <w:r w:rsidRPr="00827462">
              <w:rPr>
                <w:i w:val="0"/>
                <w:iCs/>
              </w:rPr>
              <w:t>this</w:t>
            </w:r>
            <w:r>
              <w:rPr>
                <w:i w:val="0"/>
                <w:iCs/>
              </w:rPr>
              <w:t xml:space="preserve"> </w:t>
            </w:r>
            <w:proofErr w:type="gramStart"/>
            <w:r w:rsidRPr="00827462">
              <w:rPr>
                <w:i w:val="0"/>
                <w:iCs/>
              </w:rPr>
              <w:t>table,</w:t>
            </w:r>
            <w:proofErr w:type="gramEnd"/>
            <w:r>
              <w:rPr>
                <w:i w:val="0"/>
                <w:iCs/>
              </w:rPr>
              <w:t xml:space="preserve"> </w:t>
            </w:r>
            <w:r w:rsidRPr="00827462">
              <w:rPr>
                <w:i w:val="0"/>
                <w:iCs/>
              </w:rPr>
              <w:t>however</w:t>
            </w:r>
            <w:r>
              <w:rPr>
                <w:i w:val="0"/>
                <w:iCs/>
              </w:rPr>
              <w:t xml:space="preserve">, </w:t>
            </w:r>
            <w:r w:rsidRPr="00827462">
              <w:rPr>
                <w:i w:val="0"/>
                <w:iCs/>
              </w:rPr>
              <w:t>it</w:t>
            </w:r>
            <w:r>
              <w:rPr>
                <w:i w:val="0"/>
                <w:iCs/>
              </w:rPr>
              <w:t xml:space="preserve"> </w:t>
            </w:r>
            <w:r w:rsidRPr="00827462">
              <w:rPr>
                <w:i w:val="0"/>
                <w:iCs/>
              </w:rPr>
              <w:t>is</w:t>
            </w:r>
            <w:r>
              <w:rPr>
                <w:i w:val="0"/>
                <w:iCs/>
              </w:rPr>
              <w:t xml:space="preserve"> </w:t>
            </w:r>
            <w:r w:rsidRPr="00827462">
              <w:rPr>
                <w:i w:val="0"/>
                <w:iCs/>
              </w:rPr>
              <w:t>not</w:t>
            </w:r>
            <w:r>
              <w:rPr>
                <w:i w:val="0"/>
                <w:iCs/>
              </w:rPr>
              <w:t xml:space="preserve"> </w:t>
            </w:r>
            <w:r w:rsidRPr="00827462">
              <w:rPr>
                <w:i w:val="0"/>
                <w:iCs/>
              </w:rPr>
              <w:t>used</w:t>
            </w:r>
            <w:r>
              <w:rPr>
                <w:i w:val="0"/>
                <w:iCs/>
              </w:rPr>
              <w:t xml:space="preserve"> </w:t>
            </w:r>
            <w:r w:rsidRPr="00827462">
              <w:rPr>
                <w:i w:val="0"/>
                <w:iCs/>
              </w:rPr>
              <w:t>in</w:t>
            </w:r>
            <w:r>
              <w:rPr>
                <w:i w:val="0"/>
                <w:iCs/>
              </w:rPr>
              <w:t xml:space="preserve"> </w:t>
            </w:r>
            <w:r w:rsidRPr="00827462">
              <w:rPr>
                <w:i w:val="0"/>
                <w:iCs/>
              </w:rPr>
              <w:t>the</w:t>
            </w:r>
            <w:r>
              <w:rPr>
                <w:i w:val="0"/>
                <w:iCs/>
              </w:rPr>
              <w:t xml:space="preserve"> </w:t>
            </w:r>
            <w:r w:rsidRPr="00827462">
              <w:rPr>
                <w:i w:val="0"/>
                <w:iCs/>
              </w:rPr>
              <w:t>heating</w:t>
            </w:r>
            <w:r>
              <w:rPr>
                <w:i w:val="0"/>
                <w:iCs/>
              </w:rPr>
              <w:t xml:space="preserve"> </w:t>
            </w:r>
            <w:r w:rsidRPr="00827462">
              <w:rPr>
                <w:i w:val="0"/>
                <w:iCs/>
              </w:rPr>
              <w:t>activity</w:t>
            </w:r>
            <w:r>
              <w:rPr>
                <w:i w:val="0"/>
                <w:iCs/>
              </w:rPr>
              <w:t xml:space="preserve"> </w:t>
            </w:r>
            <w:r w:rsidRPr="00827462">
              <w:rPr>
                <w:i w:val="0"/>
                <w:iCs/>
              </w:rPr>
              <w:t>calculations.</w:t>
            </w:r>
            <w:r>
              <w:rPr>
                <w:i w:val="0"/>
                <w:iCs/>
              </w:rPr>
              <w:t xml:space="preserve"> </w:t>
            </w:r>
            <w:r w:rsidRPr="00827462">
              <w:rPr>
                <w:i w:val="0"/>
                <w:iCs/>
              </w:rPr>
              <w:t>Cooling</w:t>
            </w:r>
            <w:r>
              <w:rPr>
                <w:i w:val="0"/>
                <w:iCs/>
              </w:rPr>
              <w:t xml:space="preserve"> </w:t>
            </w:r>
            <w:r w:rsidRPr="00827462">
              <w:rPr>
                <w:i w:val="0"/>
                <w:iCs/>
              </w:rPr>
              <w:t>data</w:t>
            </w:r>
            <w:r>
              <w:rPr>
                <w:i w:val="0"/>
                <w:iCs/>
              </w:rPr>
              <w:t xml:space="preserve"> </w:t>
            </w:r>
            <w:r w:rsidRPr="00827462">
              <w:rPr>
                <w:i w:val="0"/>
                <w:iCs/>
              </w:rPr>
              <w:t>is</w:t>
            </w:r>
            <w:r>
              <w:rPr>
                <w:i w:val="0"/>
                <w:iCs/>
              </w:rPr>
              <w:t xml:space="preserve"> </w:t>
            </w:r>
            <w:r w:rsidRPr="00827462">
              <w:rPr>
                <w:i w:val="0"/>
                <w:iCs/>
              </w:rPr>
              <w:t>however</w:t>
            </w:r>
            <w:r>
              <w:rPr>
                <w:i w:val="0"/>
                <w:iCs/>
              </w:rPr>
              <w:t xml:space="preserve"> </w:t>
            </w:r>
            <w:r w:rsidRPr="00827462">
              <w:rPr>
                <w:i w:val="0"/>
                <w:iCs/>
              </w:rPr>
              <w:t>used</w:t>
            </w:r>
            <w:r>
              <w:rPr>
                <w:i w:val="0"/>
                <w:iCs/>
              </w:rPr>
              <w:t xml:space="preserve"> </w:t>
            </w:r>
            <w:r w:rsidRPr="00827462">
              <w:rPr>
                <w:i w:val="0"/>
                <w:iCs/>
              </w:rPr>
              <w:t>in</w:t>
            </w:r>
            <w:r>
              <w:rPr>
                <w:i w:val="0"/>
                <w:iCs/>
              </w:rPr>
              <w:t xml:space="preserve"> </w:t>
            </w:r>
            <w:r w:rsidRPr="00827462">
              <w:rPr>
                <w:i w:val="0"/>
                <w:iCs/>
              </w:rPr>
              <w:t>relation</w:t>
            </w:r>
            <w:r>
              <w:rPr>
                <w:i w:val="0"/>
                <w:iCs/>
              </w:rPr>
              <w:t xml:space="preserve"> </w:t>
            </w:r>
            <w:r w:rsidRPr="00827462">
              <w:rPr>
                <w:i w:val="0"/>
                <w:iCs/>
              </w:rPr>
              <w:t>to</w:t>
            </w:r>
            <w:r>
              <w:rPr>
                <w:i w:val="0"/>
                <w:iCs/>
              </w:rPr>
              <w:t xml:space="preserve"> </w:t>
            </w:r>
            <w:r w:rsidRPr="00827462">
              <w:rPr>
                <w:i w:val="0"/>
                <w:iCs/>
              </w:rPr>
              <w:t>the</w:t>
            </w:r>
            <w:r>
              <w:rPr>
                <w:i w:val="0"/>
                <w:iCs/>
              </w:rPr>
              <w:t xml:space="preserve"> </w:t>
            </w:r>
            <w:r w:rsidRPr="00827462">
              <w:rPr>
                <w:i w:val="0"/>
                <w:iCs/>
              </w:rPr>
              <w:t>insulation</w:t>
            </w:r>
            <w:r>
              <w:rPr>
                <w:i w:val="0"/>
                <w:iCs/>
              </w:rPr>
              <w:t xml:space="preserve"> </w:t>
            </w:r>
            <w:r w:rsidRPr="00827462">
              <w:rPr>
                <w:i w:val="0"/>
                <w:iCs/>
              </w:rPr>
              <w:t>activity</w:t>
            </w:r>
            <w:r>
              <w:rPr>
                <w:i w:val="0"/>
                <w:iCs/>
              </w:rPr>
              <w:t xml:space="preserve"> </w:t>
            </w:r>
            <w:r w:rsidRPr="00827462">
              <w:rPr>
                <w:i w:val="0"/>
                <w:iCs/>
              </w:rPr>
              <w:t>and</w:t>
            </w:r>
            <w:r>
              <w:rPr>
                <w:i w:val="0"/>
                <w:iCs/>
              </w:rPr>
              <w:t xml:space="preserve"> </w:t>
            </w:r>
            <w:r w:rsidRPr="00827462">
              <w:rPr>
                <w:i w:val="0"/>
                <w:iCs/>
              </w:rPr>
              <w:t>is</w:t>
            </w:r>
            <w:r>
              <w:rPr>
                <w:i w:val="0"/>
                <w:iCs/>
              </w:rPr>
              <w:t xml:space="preserve"> </w:t>
            </w:r>
            <w:r w:rsidRPr="00827462">
              <w:rPr>
                <w:i w:val="0"/>
                <w:iCs/>
              </w:rPr>
              <w:t>therefore</w:t>
            </w:r>
            <w:r>
              <w:rPr>
                <w:i w:val="0"/>
                <w:iCs/>
              </w:rPr>
              <w:t xml:space="preserve"> </w:t>
            </w:r>
            <w:r w:rsidRPr="00827462">
              <w:rPr>
                <w:i w:val="0"/>
                <w:iCs/>
              </w:rPr>
              <w:t>relevant</w:t>
            </w:r>
            <w:r>
              <w:rPr>
                <w:i w:val="0"/>
                <w:iCs/>
              </w:rPr>
              <w:t xml:space="preserve"> </w:t>
            </w:r>
            <w:r w:rsidRPr="00827462">
              <w:rPr>
                <w:i w:val="0"/>
                <w:iCs/>
              </w:rPr>
              <w:t>in</w:t>
            </w:r>
            <w:r>
              <w:rPr>
                <w:i w:val="0"/>
                <w:iCs/>
              </w:rPr>
              <w:t xml:space="preserve"> </w:t>
            </w:r>
            <w:r w:rsidRPr="00827462">
              <w:rPr>
                <w:i w:val="0"/>
                <w:iCs/>
              </w:rPr>
              <w:t>respect</w:t>
            </w:r>
            <w:r>
              <w:rPr>
                <w:i w:val="0"/>
                <w:iCs/>
              </w:rPr>
              <w:t xml:space="preserve"> </w:t>
            </w:r>
            <w:r w:rsidRPr="00827462">
              <w:rPr>
                <w:i w:val="0"/>
                <w:iCs/>
              </w:rPr>
              <w:t>of</w:t>
            </w:r>
            <w:r>
              <w:rPr>
                <w:i w:val="0"/>
                <w:iCs/>
              </w:rPr>
              <w:t xml:space="preserve"> </w:t>
            </w:r>
            <w:r w:rsidRPr="00827462">
              <w:rPr>
                <w:i w:val="0"/>
                <w:iCs/>
              </w:rPr>
              <w:t>that</w:t>
            </w:r>
            <w:r>
              <w:rPr>
                <w:i w:val="0"/>
                <w:iCs/>
              </w:rPr>
              <w:t xml:space="preserve"> </w:t>
            </w:r>
            <w:r w:rsidRPr="00827462">
              <w:rPr>
                <w:i w:val="0"/>
                <w:iCs/>
              </w:rPr>
              <w:t>activity</w:t>
            </w:r>
            <w:r>
              <w:rPr>
                <w:i w:val="0"/>
                <w:iCs/>
              </w:rPr>
              <w:t xml:space="preserve"> </w:t>
            </w:r>
            <w:r w:rsidRPr="00827462">
              <w:rPr>
                <w:i w:val="0"/>
                <w:iCs/>
              </w:rPr>
              <w:t>– see</w:t>
            </w:r>
            <w:r>
              <w:rPr>
                <w:i w:val="0"/>
                <w:iCs/>
              </w:rPr>
              <w:t xml:space="preserve"> appendix section </w:t>
            </w:r>
            <w:r w:rsidRPr="009E4AB1">
              <w:fldChar w:fldCharType="begin"/>
            </w:r>
            <w:r w:rsidRPr="009E4AB1">
              <w:instrText xml:space="preserve"> REF _Ref76305970 \r \h  \* MERGEFORMAT </w:instrText>
            </w:r>
            <w:r w:rsidRPr="009E4AB1">
              <w:fldChar w:fldCharType="separate"/>
            </w:r>
            <w:r>
              <w:t>C.3</w:t>
            </w:r>
            <w:r w:rsidRPr="009E4AB1">
              <w:fldChar w:fldCharType="end"/>
            </w:r>
            <w:r w:rsidRPr="00827462">
              <w:rPr>
                <w:i w:val="0"/>
                <w:iCs/>
              </w:rPr>
              <w:t>.</w:t>
            </w:r>
          </w:p>
          <w:p w14:paraId="21E46BC0" w14:textId="77777777" w:rsidR="00676882" w:rsidRDefault="00676882" w:rsidP="00DF45FA">
            <w:pPr>
              <w:pStyle w:val="Source"/>
            </w:pPr>
            <w:r>
              <w:t>Source: Energy Efficient Strategies</w:t>
            </w:r>
          </w:p>
        </w:tc>
      </w:tr>
      <w:tr w:rsidR="00676882" w14:paraId="5F080F6B" w14:textId="77777777" w:rsidTr="00DF45FA">
        <w:trPr>
          <w:gridBefore w:val="1"/>
          <w:wBefore w:w="454" w:type="dxa"/>
          <w:trHeight w:hRule="exact" w:val="160"/>
        </w:trPr>
        <w:tc>
          <w:tcPr>
            <w:tcW w:w="7936" w:type="dxa"/>
            <w:gridSpan w:val="4"/>
            <w:tcBorders>
              <w:top w:val="single" w:sz="4" w:space="0" w:color="646464"/>
              <w:bottom w:val="nil"/>
            </w:tcBorders>
            <w:shd w:val="clear" w:color="auto" w:fill="auto"/>
          </w:tcPr>
          <w:p w14:paraId="379B61EA" w14:textId="77777777" w:rsidR="00676882" w:rsidRDefault="00676882" w:rsidP="00DF45FA">
            <w:pPr>
              <w:pStyle w:val="spacer"/>
            </w:pPr>
          </w:p>
        </w:tc>
      </w:tr>
    </w:tbl>
    <w:p w14:paraId="53446BAA" w14:textId="77777777" w:rsidR="00676882" w:rsidRDefault="00676882" w:rsidP="00676882">
      <w:pPr>
        <w:pStyle w:val="Heading3AP"/>
      </w:pPr>
      <w:bookmarkStart w:id="442" w:name="_Ref80301318"/>
      <w:r>
        <w:t>Performance characteristics</w:t>
      </w:r>
      <w:bookmarkEnd w:id="442"/>
    </w:p>
    <w:p w14:paraId="02E332E7" w14:textId="77777777" w:rsidR="00676882" w:rsidRDefault="00676882" w:rsidP="00676882">
      <w:pPr>
        <w:pStyle w:val="BodyText"/>
      </w:pPr>
      <w:r w:rsidRPr="00827462">
        <w:t>Performance</w:t>
      </w:r>
      <w:r>
        <w:t xml:space="preserve"> </w:t>
      </w:r>
      <w:r w:rsidRPr="00827462">
        <w:t>characteristics</w:t>
      </w:r>
      <w:r>
        <w:t xml:space="preserve"> </w:t>
      </w:r>
      <w:r w:rsidRPr="00827462">
        <w:t>of</w:t>
      </w:r>
      <w:r>
        <w:t xml:space="preserve"> </w:t>
      </w:r>
      <w:r w:rsidRPr="00827462">
        <w:t>the</w:t>
      </w:r>
      <w:r>
        <w:t xml:space="preserve"> </w:t>
      </w:r>
      <w:r w:rsidRPr="00827462">
        <w:t>various</w:t>
      </w:r>
      <w:r>
        <w:t xml:space="preserve"> </w:t>
      </w:r>
      <w:r w:rsidRPr="00827462">
        <w:t>heater</w:t>
      </w:r>
      <w:r>
        <w:t xml:space="preserve"> </w:t>
      </w:r>
      <w:r w:rsidRPr="00827462">
        <w:t>types</w:t>
      </w:r>
      <w:r>
        <w:t xml:space="preserve"> </w:t>
      </w:r>
      <w:r w:rsidRPr="00827462">
        <w:t>are</w:t>
      </w:r>
      <w:r>
        <w:t xml:space="preserve"> </w:t>
      </w:r>
      <w:r w:rsidRPr="00827462">
        <w:t>shown</w:t>
      </w:r>
      <w:r>
        <w:t xml:space="preserve"> </w:t>
      </w:r>
      <w:r w:rsidRPr="00827462">
        <w:t>in</w:t>
      </w:r>
      <w:r>
        <w:t xml:space="preserve"> </w:t>
      </w:r>
      <w:r w:rsidRPr="009E4AB1">
        <w:fldChar w:fldCharType="begin"/>
      </w:r>
      <w:r w:rsidRPr="009E4AB1">
        <w:instrText xml:space="preserve"> REF _Ref76306247 \h  \* MERGEFORMAT </w:instrText>
      </w:r>
      <w:r w:rsidRPr="009E4AB1">
        <w:fldChar w:fldCharType="separate"/>
      </w:r>
      <w:r w:rsidRPr="00F32FCC">
        <w:t>Table C.6</w:t>
      </w:r>
      <w:r w:rsidRPr="009E4AB1">
        <w:fldChar w:fldCharType="end"/>
      </w:r>
      <w:r w:rsidRPr="00827462">
        <w:t xml:space="preserve"> below.</w:t>
      </w:r>
      <w:r>
        <w:t xml:space="preserve"> </w:t>
      </w:r>
      <w:r w:rsidRPr="00827462">
        <w:t>Under</w:t>
      </w:r>
      <w:r>
        <w:t xml:space="preserve"> </w:t>
      </w:r>
      <w:r w:rsidRPr="00827462">
        <w:t>this</w:t>
      </w:r>
      <w:r>
        <w:t xml:space="preserve"> </w:t>
      </w:r>
      <w:r w:rsidRPr="00827462">
        <w:t>table</w:t>
      </w:r>
      <w:r>
        <w:t xml:space="preserve"> </w:t>
      </w:r>
      <w:r w:rsidRPr="00827462">
        <w:t>are</w:t>
      </w:r>
      <w:r>
        <w:t xml:space="preserve"> </w:t>
      </w:r>
      <w:r w:rsidRPr="00827462">
        <w:t>notes</w:t>
      </w:r>
      <w:r>
        <w:t xml:space="preserve"> </w:t>
      </w:r>
      <w:r w:rsidRPr="00827462">
        <w:t>relating</w:t>
      </w:r>
      <w:r>
        <w:t xml:space="preserve"> </w:t>
      </w:r>
      <w:r w:rsidRPr="00827462">
        <w:t>to</w:t>
      </w:r>
      <w:r>
        <w:t xml:space="preserve"> </w:t>
      </w:r>
      <w:r w:rsidRPr="00827462">
        <w:t>the</w:t>
      </w:r>
      <w:r>
        <w:t xml:space="preserve"> </w:t>
      </w:r>
      <w:r w:rsidRPr="00827462">
        <w:t>basis</w:t>
      </w:r>
      <w:r>
        <w:t xml:space="preserve"> </w:t>
      </w:r>
      <w:r w:rsidRPr="00827462">
        <w:t>for</w:t>
      </w:r>
      <w:r>
        <w:t xml:space="preserve"> </w:t>
      </w:r>
      <w:r w:rsidRPr="00827462">
        <w:t>these</w:t>
      </w:r>
      <w:r>
        <w:t xml:space="preserve"> </w:t>
      </w:r>
      <w:r w:rsidRPr="00827462">
        <w:t>estimates</w:t>
      </w:r>
      <w:r>
        <w:t>.</w:t>
      </w:r>
    </w:p>
    <w:p w14:paraId="612468BC" w14:textId="77777777" w:rsidR="00676882" w:rsidRDefault="00676882" w:rsidP="00676882">
      <w:pPr>
        <w:pStyle w:val="Caption"/>
      </w:pPr>
      <w:bookmarkStart w:id="443" w:name="_Ref76306247"/>
      <w:bookmarkStart w:id="444" w:name="_Toc80719351"/>
      <w:r w:rsidRPr="00074099">
        <w:rPr>
          <w:rStyle w:val="CaptionLabel"/>
        </w:rPr>
        <w:t>Table </w:t>
      </w:r>
      <w:r w:rsidRPr="00074099">
        <w:rPr>
          <w:rStyle w:val="CaptionLabel"/>
        </w:rPr>
        <w:fldChar w:fldCharType="begin"/>
      </w:r>
      <w:r w:rsidRPr="00074099">
        <w:rPr>
          <w:rStyle w:val="CaptionLabel"/>
        </w:rPr>
        <w:instrText xml:space="preserve"> STYLEREF 9 \S \* MERGEFORMAT </w:instrText>
      </w:r>
      <w:r w:rsidRPr="00074099">
        <w:rPr>
          <w:rStyle w:val="CaptionLabel"/>
        </w:rPr>
        <w:fldChar w:fldCharType="separate"/>
      </w:r>
      <w:r>
        <w:rPr>
          <w:rStyle w:val="CaptionLabel"/>
          <w:noProof/>
        </w:rPr>
        <w:t>C</w:t>
      </w:r>
      <w:r w:rsidRPr="00074099">
        <w:rPr>
          <w:rStyle w:val="CaptionLabel"/>
        </w:rPr>
        <w:fldChar w:fldCharType="end"/>
      </w:r>
      <w:r w:rsidRPr="00074099">
        <w:rPr>
          <w:rStyle w:val="CaptionLabel"/>
        </w:rPr>
        <w:t>.</w:t>
      </w:r>
      <w:r w:rsidRPr="00074099">
        <w:rPr>
          <w:rStyle w:val="CaptionLabel"/>
        </w:rPr>
        <w:fldChar w:fldCharType="begin"/>
      </w:r>
      <w:r w:rsidRPr="00074099">
        <w:rPr>
          <w:rStyle w:val="CaptionLabel"/>
        </w:rPr>
        <w:instrText xml:space="preserve"> SEQ Table_AP \* ARABIC \S 9 \* MERGEFORMAT </w:instrText>
      </w:r>
      <w:r w:rsidRPr="00074099">
        <w:rPr>
          <w:rStyle w:val="CaptionLabel"/>
        </w:rPr>
        <w:fldChar w:fldCharType="separate"/>
      </w:r>
      <w:r>
        <w:rPr>
          <w:rStyle w:val="CaptionLabel"/>
          <w:noProof/>
        </w:rPr>
        <w:t>6</w:t>
      </w:r>
      <w:r w:rsidRPr="00074099">
        <w:rPr>
          <w:rStyle w:val="CaptionLabel"/>
        </w:rPr>
        <w:fldChar w:fldCharType="end"/>
      </w:r>
      <w:bookmarkEnd w:id="443"/>
      <w:r>
        <w:tab/>
      </w:r>
      <w:r w:rsidRPr="00074099">
        <w:t>Performance</w:t>
      </w:r>
      <w:r>
        <w:t xml:space="preserve"> </w:t>
      </w:r>
      <w:r w:rsidRPr="00074099">
        <w:t>Characteristics</w:t>
      </w:r>
      <w:r>
        <w:t xml:space="preserve"> </w:t>
      </w:r>
      <w:r w:rsidRPr="00074099">
        <w:t>of</w:t>
      </w:r>
      <w:r>
        <w:t xml:space="preserve"> </w:t>
      </w:r>
      <w:r w:rsidRPr="00074099">
        <w:t>Heating</w:t>
      </w:r>
      <w:r>
        <w:t xml:space="preserve"> </w:t>
      </w:r>
      <w:r w:rsidRPr="00074099">
        <w:t>and</w:t>
      </w:r>
      <w:r>
        <w:t xml:space="preserve"> </w:t>
      </w:r>
      <w:r w:rsidRPr="00074099">
        <w:t>Cooling</w:t>
      </w:r>
      <w:r>
        <w:t xml:space="preserve"> </w:t>
      </w:r>
      <w:r w:rsidRPr="00074099">
        <w:t>Types</w:t>
      </w:r>
      <w:r>
        <w:t xml:space="preserve"> </w:t>
      </w:r>
      <w:r w:rsidRPr="00074099">
        <w:t>- ACT</w:t>
      </w:r>
      <w:bookmarkEnd w:id="444"/>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6"/>
        <w:tblDescription w:val="Performance Characteristics of Heating and Cooling Types - ACT"/>
      </w:tblPr>
      <w:tblGrid>
        <w:gridCol w:w="454"/>
        <w:gridCol w:w="1587"/>
        <w:gridCol w:w="1587"/>
        <w:gridCol w:w="1587"/>
        <w:gridCol w:w="1587"/>
        <w:gridCol w:w="1588"/>
      </w:tblGrid>
      <w:tr w:rsidR="00676882" w14:paraId="1FD464E1" w14:textId="77777777" w:rsidTr="00DF45FA">
        <w:trPr>
          <w:tblHeader/>
        </w:trPr>
        <w:tc>
          <w:tcPr>
            <w:tcW w:w="2041" w:type="dxa"/>
            <w:gridSpan w:val="2"/>
            <w:tcBorders>
              <w:top w:val="nil"/>
              <w:bottom w:val="nil"/>
            </w:tcBorders>
            <w:shd w:val="clear" w:color="auto" w:fill="140034"/>
            <w:tcMar>
              <w:left w:w="454" w:type="dxa"/>
            </w:tcMar>
          </w:tcPr>
          <w:p w14:paraId="4CD2E391" w14:textId="77777777" w:rsidR="00676882" w:rsidRDefault="00676882" w:rsidP="00DF45FA">
            <w:pPr>
              <w:pStyle w:val="Tablecolumnheadings"/>
            </w:pPr>
            <w:r>
              <w:rPr>
                <w:lang w:val="en-US"/>
              </w:rPr>
              <w:t>Type</w:t>
            </w:r>
          </w:p>
        </w:tc>
        <w:tc>
          <w:tcPr>
            <w:tcW w:w="1587" w:type="dxa"/>
            <w:tcBorders>
              <w:top w:val="nil"/>
              <w:bottom w:val="nil"/>
            </w:tcBorders>
            <w:shd w:val="clear" w:color="auto" w:fill="140034"/>
          </w:tcPr>
          <w:p w14:paraId="51711867" w14:textId="77777777" w:rsidR="00676882" w:rsidRDefault="00676882" w:rsidP="00DF45FA">
            <w:pPr>
              <w:pStyle w:val="Tablecolumnheadings"/>
            </w:pPr>
            <w:r>
              <w:rPr>
                <w:lang w:val="en-US"/>
              </w:rPr>
              <w:t>Efficiency</w:t>
            </w:r>
          </w:p>
        </w:tc>
        <w:tc>
          <w:tcPr>
            <w:tcW w:w="1587" w:type="dxa"/>
            <w:tcBorders>
              <w:top w:val="nil"/>
              <w:bottom w:val="nil"/>
            </w:tcBorders>
            <w:shd w:val="clear" w:color="auto" w:fill="140034"/>
          </w:tcPr>
          <w:p w14:paraId="7AC20261" w14:textId="77777777" w:rsidR="00676882" w:rsidRDefault="00676882" w:rsidP="00DF45FA">
            <w:pPr>
              <w:pStyle w:val="Tablecolumnheadings"/>
            </w:pPr>
            <w:r>
              <w:rPr>
                <w:lang w:val="en-US"/>
              </w:rPr>
              <w:t>Losses</w:t>
            </w:r>
          </w:p>
        </w:tc>
        <w:tc>
          <w:tcPr>
            <w:tcW w:w="1587" w:type="dxa"/>
            <w:tcBorders>
              <w:top w:val="nil"/>
              <w:bottom w:val="nil"/>
            </w:tcBorders>
            <w:shd w:val="clear" w:color="auto" w:fill="140034"/>
          </w:tcPr>
          <w:p w14:paraId="7FE230B4" w14:textId="77777777" w:rsidR="00676882" w:rsidRDefault="00676882" w:rsidP="00DF45FA">
            <w:pPr>
              <w:pStyle w:val="Tablecolumnheadings"/>
            </w:pPr>
            <w:r>
              <w:rPr>
                <w:lang w:val="en-US"/>
              </w:rPr>
              <w:t>Zoning Constraint (Class 2)</w:t>
            </w:r>
          </w:p>
        </w:tc>
        <w:tc>
          <w:tcPr>
            <w:tcW w:w="1588" w:type="dxa"/>
            <w:tcBorders>
              <w:top w:val="nil"/>
              <w:bottom w:val="nil"/>
              <w:right w:val="single" w:sz="6" w:space="0" w:color="140034"/>
            </w:tcBorders>
            <w:shd w:val="clear" w:color="auto" w:fill="140034"/>
          </w:tcPr>
          <w:p w14:paraId="23737822" w14:textId="77777777" w:rsidR="00676882" w:rsidRDefault="00676882" w:rsidP="00DF45FA">
            <w:pPr>
              <w:pStyle w:val="Tablecolumnheadings"/>
            </w:pPr>
            <w:r>
              <w:rPr>
                <w:lang w:val="en-US"/>
              </w:rPr>
              <w:t>Main Fuel</w:t>
            </w:r>
          </w:p>
        </w:tc>
      </w:tr>
      <w:tr w:rsidR="00676882" w14:paraId="60F38A1C" w14:textId="77777777" w:rsidTr="00676882">
        <w:trPr>
          <w:gridBefore w:val="1"/>
          <w:wBefore w:w="454" w:type="dxa"/>
        </w:trPr>
        <w:tc>
          <w:tcPr>
            <w:tcW w:w="1587" w:type="dxa"/>
            <w:tcBorders>
              <w:top w:val="nil"/>
            </w:tcBorders>
            <w:shd w:val="clear" w:color="auto" w:fill="E1D5ED"/>
          </w:tcPr>
          <w:p w14:paraId="322ECBE1" w14:textId="77777777" w:rsidR="00676882" w:rsidRPr="00074099" w:rsidRDefault="00676882" w:rsidP="00DF45FA">
            <w:pPr>
              <w:pStyle w:val="Tableunitsrow"/>
              <w:rPr>
                <w:b/>
                <w:bCs/>
              </w:rPr>
            </w:pPr>
            <w:r w:rsidRPr="00074099">
              <w:rPr>
                <w:b/>
                <w:bCs/>
              </w:rPr>
              <w:t>Heating</w:t>
            </w:r>
          </w:p>
        </w:tc>
        <w:tc>
          <w:tcPr>
            <w:tcW w:w="1587" w:type="dxa"/>
            <w:tcBorders>
              <w:top w:val="nil"/>
            </w:tcBorders>
            <w:shd w:val="clear" w:color="auto" w:fill="E1D5ED"/>
          </w:tcPr>
          <w:p w14:paraId="48503CCC" w14:textId="77777777" w:rsidR="00676882" w:rsidRDefault="00676882" w:rsidP="00DF45FA">
            <w:pPr>
              <w:pStyle w:val="Tableunitsrow"/>
            </w:pPr>
          </w:p>
        </w:tc>
        <w:tc>
          <w:tcPr>
            <w:tcW w:w="1587" w:type="dxa"/>
            <w:tcBorders>
              <w:top w:val="nil"/>
            </w:tcBorders>
            <w:shd w:val="clear" w:color="auto" w:fill="E1D5ED"/>
          </w:tcPr>
          <w:p w14:paraId="49393194" w14:textId="77777777" w:rsidR="00676882" w:rsidRDefault="00676882" w:rsidP="00DF45FA">
            <w:pPr>
              <w:pStyle w:val="Tableunitsrow"/>
            </w:pPr>
          </w:p>
        </w:tc>
        <w:tc>
          <w:tcPr>
            <w:tcW w:w="1587" w:type="dxa"/>
            <w:tcBorders>
              <w:top w:val="nil"/>
            </w:tcBorders>
            <w:shd w:val="clear" w:color="auto" w:fill="E1D5ED"/>
          </w:tcPr>
          <w:p w14:paraId="322FE1F1" w14:textId="77777777" w:rsidR="00676882" w:rsidRDefault="00676882" w:rsidP="00DF45FA">
            <w:pPr>
              <w:pStyle w:val="Tableunitsrow"/>
            </w:pPr>
          </w:p>
        </w:tc>
        <w:tc>
          <w:tcPr>
            <w:tcW w:w="1588" w:type="dxa"/>
            <w:tcBorders>
              <w:top w:val="nil"/>
            </w:tcBorders>
            <w:shd w:val="clear" w:color="auto" w:fill="E1D5ED"/>
          </w:tcPr>
          <w:p w14:paraId="71FBB8F5" w14:textId="77777777" w:rsidR="00676882" w:rsidRDefault="00676882" w:rsidP="00DF45FA">
            <w:pPr>
              <w:pStyle w:val="Tableunitsrow"/>
            </w:pPr>
          </w:p>
        </w:tc>
      </w:tr>
      <w:tr w:rsidR="00676882" w14:paraId="47FBED4E" w14:textId="77777777" w:rsidTr="00DF45FA">
        <w:trPr>
          <w:gridBefore w:val="1"/>
          <w:wBefore w:w="454" w:type="dxa"/>
        </w:trPr>
        <w:tc>
          <w:tcPr>
            <w:tcW w:w="1587" w:type="dxa"/>
            <w:shd w:val="clear" w:color="auto" w:fill="auto"/>
            <w:vAlign w:val="center"/>
          </w:tcPr>
          <w:p w14:paraId="7A063ECB" w14:textId="77777777" w:rsidR="00676882" w:rsidRDefault="00676882" w:rsidP="00DF45FA">
            <w:pPr>
              <w:pStyle w:val="Tabletext"/>
            </w:pPr>
            <w:r w:rsidRPr="00A8062A">
              <w:t>Central</w:t>
            </w:r>
            <w:r>
              <w:t xml:space="preserve"> </w:t>
            </w:r>
            <w:r w:rsidRPr="00A8062A">
              <w:t>Gas</w:t>
            </w:r>
          </w:p>
        </w:tc>
        <w:tc>
          <w:tcPr>
            <w:tcW w:w="1587" w:type="dxa"/>
            <w:shd w:val="clear" w:color="auto" w:fill="auto"/>
          </w:tcPr>
          <w:p w14:paraId="5CA3DDCB" w14:textId="77777777" w:rsidR="00676882" w:rsidRDefault="00676882" w:rsidP="00DF45FA">
            <w:pPr>
              <w:pStyle w:val="Tabletext"/>
              <w:jc w:val="center"/>
            </w:pPr>
            <w:r w:rsidRPr="00A8062A">
              <w:t>0.75</w:t>
            </w:r>
          </w:p>
        </w:tc>
        <w:tc>
          <w:tcPr>
            <w:tcW w:w="1587" w:type="dxa"/>
            <w:shd w:val="clear" w:color="auto" w:fill="auto"/>
          </w:tcPr>
          <w:p w14:paraId="15808BE4" w14:textId="77777777" w:rsidR="00676882" w:rsidRDefault="00676882" w:rsidP="00DF45FA">
            <w:pPr>
              <w:pStyle w:val="Tabletext"/>
              <w:jc w:val="center"/>
            </w:pPr>
            <w:r w:rsidRPr="00A8062A">
              <w:t>20%</w:t>
            </w:r>
          </w:p>
        </w:tc>
        <w:tc>
          <w:tcPr>
            <w:tcW w:w="1587" w:type="dxa"/>
            <w:shd w:val="clear" w:color="auto" w:fill="auto"/>
          </w:tcPr>
          <w:p w14:paraId="7F8366D1" w14:textId="77777777" w:rsidR="00676882" w:rsidRDefault="00676882" w:rsidP="00DF45FA">
            <w:pPr>
              <w:pStyle w:val="Tabletext"/>
              <w:jc w:val="center"/>
            </w:pPr>
            <w:r w:rsidRPr="00A8062A">
              <w:t>0.7</w:t>
            </w:r>
          </w:p>
        </w:tc>
        <w:tc>
          <w:tcPr>
            <w:tcW w:w="1588" w:type="dxa"/>
            <w:shd w:val="clear" w:color="auto" w:fill="auto"/>
            <w:vAlign w:val="center"/>
          </w:tcPr>
          <w:p w14:paraId="6F0C5A95" w14:textId="77777777" w:rsidR="00676882" w:rsidRDefault="00676882" w:rsidP="00DF45FA">
            <w:pPr>
              <w:pStyle w:val="Tabletext"/>
            </w:pPr>
            <w:r w:rsidRPr="00A8062A">
              <w:t>Gas</w:t>
            </w:r>
          </w:p>
        </w:tc>
      </w:tr>
      <w:tr w:rsidR="00676882" w14:paraId="205A8FA1" w14:textId="77777777" w:rsidTr="00DF45FA">
        <w:trPr>
          <w:gridBefore w:val="1"/>
          <w:wBefore w:w="454" w:type="dxa"/>
        </w:trPr>
        <w:tc>
          <w:tcPr>
            <w:tcW w:w="1587" w:type="dxa"/>
            <w:shd w:val="clear" w:color="auto" w:fill="auto"/>
            <w:vAlign w:val="center"/>
          </w:tcPr>
          <w:p w14:paraId="26CBA7D3" w14:textId="77777777" w:rsidR="00676882" w:rsidRDefault="00676882" w:rsidP="00DF45FA">
            <w:pPr>
              <w:pStyle w:val="Tabletext"/>
            </w:pPr>
            <w:r w:rsidRPr="00A8062A">
              <w:t>Central</w:t>
            </w:r>
            <w:r>
              <w:t xml:space="preserve"> </w:t>
            </w:r>
            <w:r w:rsidRPr="00A8062A">
              <w:t>HP</w:t>
            </w:r>
          </w:p>
        </w:tc>
        <w:tc>
          <w:tcPr>
            <w:tcW w:w="1587" w:type="dxa"/>
            <w:shd w:val="clear" w:color="auto" w:fill="auto"/>
          </w:tcPr>
          <w:p w14:paraId="6DF1FF00" w14:textId="77777777" w:rsidR="00676882" w:rsidRDefault="00676882" w:rsidP="00DF45FA">
            <w:pPr>
              <w:pStyle w:val="Tabletext"/>
              <w:jc w:val="center"/>
            </w:pPr>
            <w:r w:rsidRPr="00A8062A">
              <w:t>2.4</w:t>
            </w:r>
          </w:p>
        </w:tc>
        <w:tc>
          <w:tcPr>
            <w:tcW w:w="1587" w:type="dxa"/>
            <w:shd w:val="clear" w:color="auto" w:fill="auto"/>
          </w:tcPr>
          <w:p w14:paraId="77D0896D" w14:textId="77777777" w:rsidR="00676882" w:rsidRDefault="00676882" w:rsidP="00DF45FA">
            <w:pPr>
              <w:pStyle w:val="Tabletext"/>
              <w:jc w:val="center"/>
            </w:pPr>
            <w:r w:rsidRPr="00A8062A">
              <w:t>20%</w:t>
            </w:r>
          </w:p>
        </w:tc>
        <w:tc>
          <w:tcPr>
            <w:tcW w:w="1587" w:type="dxa"/>
            <w:shd w:val="clear" w:color="auto" w:fill="auto"/>
          </w:tcPr>
          <w:p w14:paraId="16350021" w14:textId="77777777" w:rsidR="00676882" w:rsidRDefault="00676882" w:rsidP="00DF45FA">
            <w:pPr>
              <w:pStyle w:val="Tabletext"/>
              <w:jc w:val="center"/>
            </w:pPr>
            <w:r w:rsidRPr="00A8062A">
              <w:t>0.7</w:t>
            </w:r>
          </w:p>
        </w:tc>
        <w:tc>
          <w:tcPr>
            <w:tcW w:w="1588" w:type="dxa"/>
            <w:shd w:val="clear" w:color="auto" w:fill="auto"/>
            <w:vAlign w:val="center"/>
          </w:tcPr>
          <w:p w14:paraId="0A52AA43" w14:textId="77777777" w:rsidR="00676882" w:rsidRDefault="00676882" w:rsidP="00DF45FA">
            <w:pPr>
              <w:pStyle w:val="Tabletext"/>
            </w:pPr>
            <w:r w:rsidRPr="00A8062A">
              <w:t>Electricity</w:t>
            </w:r>
          </w:p>
        </w:tc>
      </w:tr>
      <w:tr w:rsidR="00676882" w14:paraId="4232B43F" w14:textId="77777777" w:rsidTr="00DF45FA">
        <w:trPr>
          <w:gridBefore w:val="1"/>
          <w:wBefore w:w="454" w:type="dxa"/>
        </w:trPr>
        <w:tc>
          <w:tcPr>
            <w:tcW w:w="1587" w:type="dxa"/>
            <w:shd w:val="clear" w:color="auto" w:fill="auto"/>
            <w:vAlign w:val="center"/>
          </w:tcPr>
          <w:p w14:paraId="4D44CB4F" w14:textId="77777777" w:rsidR="00676882" w:rsidRDefault="00676882" w:rsidP="00DF45FA">
            <w:pPr>
              <w:pStyle w:val="Tabletext"/>
            </w:pPr>
            <w:r w:rsidRPr="00A8062A">
              <w:t>Room</w:t>
            </w:r>
            <w:r>
              <w:t xml:space="preserve"> </w:t>
            </w:r>
            <w:r w:rsidRPr="00A8062A">
              <w:t>Gas</w:t>
            </w:r>
          </w:p>
        </w:tc>
        <w:tc>
          <w:tcPr>
            <w:tcW w:w="1587" w:type="dxa"/>
            <w:shd w:val="clear" w:color="auto" w:fill="auto"/>
          </w:tcPr>
          <w:p w14:paraId="63387BE6" w14:textId="77777777" w:rsidR="00676882" w:rsidRDefault="00676882" w:rsidP="00DF45FA">
            <w:pPr>
              <w:pStyle w:val="Tabletext"/>
              <w:jc w:val="center"/>
            </w:pPr>
            <w:r w:rsidRPr="00A8062A">
              <w:t>0.73</w:t>
            </w:r>
          </w:p>
        </w:tc>
        <w:tc>
          <w:tcPr>
            <w:tcW w:w="1587" w:type="dxa"/>
            <w:shd w:val="clear" w:color="auto" w:fill="auto"/>
          </w:tcPr>
          <w:p w14:paraId="08F61D78" w14:textId="77777777" w:rsidR="00676882" w:rsidRDefault="00676882" w:rsidP="00DF45FA">
            <w:pPr>
              <w:pStyle w:val="Tabletext"/>
              <w:jc w:val="center"/>
            </w:pPr>
            <w:r w:rsidRPr="00A8062A">
              <w:t>0%</w:t>
            </w:r>
          </w:p>
        </w:tc>
        <w:tc>
          <w:tcPr>
            <w:tcW w:w="1587" w:type="dxa"/>
            <w:shd w:val="clear" w:color="auto" w:fill="auto"/>
          </w:tcPr>
          <w:p w14:paraId="64D5422F" w14:textId="77777777" w:rsidR="00676882" w:rsidRDefault="00676882" w:rsidP="00DF45FA">
            <w:pPr>
              <w:pStyle w:val="Tabletext"/>
              <w:jc w:val="center"/>
            </w:pPr>
            <w:r w:rsidRPr="00A8062A">
              <w:t>0.3</w:t>
            </w:r>
            <w:r>
              <w:t xml:space="preserve"> </w:t>
            </w:r>
            <w:r w:rsidRPr="00A8062A">
              <w:t>(0.55)</w:t>
            </w:r>
          </w:p>
        </w:tc>
        <w:tc>
          <w:tcPr>
            <w:tcW w:w="1588" w:type="dxa"/>
            <w:shd w:val="clear" w:color="auto" w:fill="auto"/>
            <w:vAlign w:val="center"/>
          </w:tcPr>
          <w:p w14:paraId="6458EAC0" w14:textId="77777777" w:rsidR="00676882" w:rsidRDefault="00676882" w:rsidP="00DF45FA">
            <w:pPr>
              <w:pStyle w:val="Tabletext"/>
            </w:pPr>
            <w:r w:rsidRPr="00A8062A">
              <w:t>Gas</w:t>
            </w:r>
          </w:p>
        </w:tc>
      </w:tr>
      <w:tr w:rsidR="00676882" w14:paraId="32F7D058" w14:textId="77777777" w:rsidTr="00DF45FA">
        <w:trPr>
          <w:gridBefore w:val="1"/>
          <w:wBefore w:w="454" w:type="dxa"/>
        </w:trPr>
        <w:tc>
          <w:tcPr>
            <w:tcW w:w="1587" w:type="dxa"/>
            <w:shd w:val="clear" w:color="auto" w:fill="auto"/>
            <w:vAlign w:val="center"/>
          </w:tcPr>
          <w:p w14:paraId="2E39AF54" w14:textId="77777777" w:rsidR="00676882" w:rsidRDefault="00676882" w:rsidP="00DF45FA">
            <w:pPr>
              <w:pStyle w:val="Tabletext"/>
            </w:pPr>
            <w:r w:rsidRPr="00A8062A">
              <w:t>Room</w:t>
            </w:r>
            <w:r>
              <w:t xml:space="preserve"> </w:t>
            </w:r>
            <w:r w:rsidRPr="00A8062A">
              <w:t>HP</w:t>
            </w:r>
          </w:p>
        </w:tc>
        <w:tc>
          <w:tcPr>
            <w:tcW w:w="1587" w:type="dxa"/>
            <w:shd w:val="clear" w:color="auto" w:fill="auto"/>
          </w:tcPr>
          <w:p w14:paraId="7607E634" w14:textId="77777777" w:rsidR="00676882" w:rsidRDefault="00676882" w:rsidP="00DF45FA">
            <w:pPr>
              <w:pStyle w:val="Tabletext"/>
              <w:jc w:val="center"/>
            </w:pPr>
            <w:r w:rsidRPr="00A8062A">
              <w:t>2.4</w:t>
            </w:r>
          </w:p>
        </w:tc>
        <w:tc>
          <w:tcPr>
            <w:tcW w:w="1587" w:type="dxa"/>
            <w:shd w:val="clear" w:color="auto" w:fill="auto"/>
          </w:tcPr>
          <w:p w14:paraId="28175E0A" w14:textId="77777777" w:rsidR="00676882" w:rsidRDefault="00676882" w:rsidP="00DF45FA">
            <w:pPr>
              <w:pStyle w:val="Tabletext"/>
              <w:jc w:val="center"/>
            </w:pPr>
            <w:r w:rsidRPr="00A8062A">
              <w:t>0%</w:t>
            </w:r>
          </w:p>
        </w:tc>
        <w:tc>
          <w:tcPr>
            <w:tcW w:w="1587" w:type="dxa"/>
            <w:shd w:val="clear" w:color="auto" w:fill="auto"/>
          </w:tcPr>
          <w:p w14:paraId="237F76EF" w14:textId="77777777" w:rsidR="00676882" w:rsidRDefault="00676882" w:rsidP="00DF45FA">
            <w:pPr>
              <w:pStyle w:val="Tabletext"/>
              <w:jc w:val="center"/>
            </w:pPr>
            <w:r w:rsidRPr="00A8062A">
              <w:t>0.3</w:t>
            </w:r>
            <w:r>
              <w:t xml:space="preserve"> </w:t>
            </w:r>
            <w:r w:rsidRPr="00A8062A">
              <w:t>(0.55)</w:t>
            </w:r>
          </w:p>
        </w:tc>
        <w:tc>
          <w:tcPr>
            <w:tcW w:w="1588" w:type="dxa"/>
            <w:shd w:val="clear" w:color="auto" w:fill="auto"/>
            <w:vAlign w:val="center"/>
          </w:tcPr>
          <w:p w14:paraId="6C02655F" w14:textId="77777777" w:rsidR="00676882" w:rsidRDefault="00676882" w:rsidP="00DF45FA">
            <w:pPr>
              <w:pStyle w:val="Tabletext"/>
            </w:pPr>
            <w:r w:rsidRPr="00A8062A">
              <w:t>Electricity</w:t>
            </w:r>
          </w:p>
        </w:tc>
      </w:tr>
      <w:tr w:rsidR="00676882" w14:paraId="2A275F5E" w14:textId="77777777" w:rsidTr="00DF45FA">
        <w:trPr>
          <w:gridBefore w:val="1"/>
          <w:wBefore w:w="454" w:type="dxa"/>
        </w:trPr>
        <w:tc>
          <w:tcPr>
            <w:tcW w:w="1587" w:type="dxa"/>
            <w:shd w:val="clear" w:color="auto" w:fill="auto"/>
            <w:vAlign w:val="center"/>
          </w:tcPr>
          <w:p w14:paraId="680089EC" w14:textId="77777777" w:rsidR="00676882" w:rsidRDefault="00676882" w:rsidP="00DF45FA">
            <w:pPr>
              <w:pStyle w:val="Tabletext"/>
            </w:pPr>
            <w:r w:rsidRPr="00A8062A">
              <w:t>Central</w:t>
            </w:r>
            <w:r>
              <w:t xml:space="preserve"> </w:t>
            </w:r>
            <w:r w:rsidRPr="00A8062A">
              <w:t>Elec</w:t>
            </w:r>
            <w:r>
              <w:t xml:space="preserve"> </w:t>
            </w:r>
            <w:r w:rsidRPr="00A8062A">
              <w:t>Panels</w:t>
            </w:r>
          </w:p>
        </w:tc>
        <w:tc>
          <w:tcPr>
            <w:tcW w:w="1587" w:type="dxa"/>
            <w:shd w:val="clear" w:color="auto" w:fill="auto"/>
          </w:tcPr>
          <w:p w14:paraId="77B80749" w14:textId="77777777" w:rsidR="00676882" w:rsidRDefault="00676882" w:rsidP="00DF45FA">
            <w:pPr>
              <w:pStyle w:val="Tabletext"/>
              <w:jc w:val="center"/>
            </w:pPr>
            <w:r w:rsidRPr="00A8062A">
              <w:t>1</w:t>
            </w:r>
          </w:p>
        </w:tc>
        <w:tc>
          <w:tcPr>
            <w:tcW w:w="1587" w:type="dxa"/>
            <w:shd w:val="clear" w:color="auto" w:fill="auto"/>
          </w:tcPr>
          <w:p w14:paraId="69FC7294" w14:textId="77777777" w:rsidR="00676882" w:rsidRDefault="00676882" w:rsidP="00DF45FA">
            <w:pPr>
              <w:pStyle w:val="Tabletext"/>
              <w:jc w:val="center"/>
            </w:pPr>
            <w:r w:rsidRPr="00A8062A">
              <w:t>0%</w:t>
            </w:r>
          </w:p>
        </w:tc>
        <w:tc>
          <w:tcPr>
            <w:tcW w:w="1587" w:type="dxa"/>
            <w:shd w:val="clear" w:color="auto" w:fill="auto"/>
          </w:tcPr>
          <w:p w14:paraId="14C489BC" w14:textId="77777777" w:rsidR="00676882" w:rsidRDefault="00676882" w:rsidP="00DF45FA">
            <w:pPr>
              <w:pStyle w:val="Tabletext"/>
              <w:jc w:val="center"/>
            </w:pPr>
            <w:r w:rsidRPr="00A8062A">
              <w:t>0.7</w:t>
            </w:r>
          </w:p>
        </w:tc>
        <w:tc>
          <w:tcPr>
            <w:tcW w:w="1588" w:type="dxa"/>
            <w:shd w:val="clear" w:color="auto" w:fill="auto"/>
            <w:vAlign w:val="center"/>
          </w:tcPr>
          <w:p w14:paraId="52E4AF56" w14:textId="77777777" w:rsidR="00676882" w:rsidRDefault="00676882" w:rsidP="00DF45FA">
            <w:pPr>
              <w:pStyle w:val="Tabletext"/>
            </w:pPr>
            <w:r w:rsidRPr="00A8062A">
              <w:t>Electricity</w:t>
            </w:r>
          </w:p>
        </w:tc>
      </w:tr>
      <w:tr w:rsidR="00676882" w14:paraId="262FE9AE" w14:textId="77777777" w:rsidTr="00DF45FA">
        <w:trPr>
          <w:gridBefore w:val="1"/>
          <w:wBefore w:w="454" w:type="dxa"/>
        </w:trPr>
        <w:tc>
          <w:tcPr>
            <w:tcW w:w="1587" w:type="dxa"/>
            <w:shd w:val="clear" w:color="auto" w:fill="auto"/>
            <w:vAlign w:val="center"/>
          </w:tcPr>
          <w:p w14:paraId="43826CEB" w14:textId="77777777" w:rsidR="00676882" w:rsidRDefault="00676882" w:rsidP="00DF45FA">
            <w:pPr>
              <w:pStyle w:val="Tabletext"/>
            </w:pPr>
            <w:r w:rsidRPr="00A8062A">
              <w:t>Firewood</w:t>
            </w:r>
          </w:p>
        </w:tc>
        <w:tc>
          <w:tcPr>
            <w:tcW w:w="1587" w:type="dxa"/>
            <w:shd w:val="clear" w:color="auto" w:fill="auto"/>
          </w:tcPr>
          <w:p w14:paraId="7D99500E" w14:textId="77777777" w:rsidR="00676882" w:rsidRDefault="00676882" w:rsidP="00DF45FA">
            <w:pPr>
              <w:pStyle w:val="Tabletext"/>
              <w:jc w:val="center"/>
            </w:pPr>
            <w:r w:rsidRPr="00A8062A">
              <w:t>0.65</w:t>
            </w:r>
          </w:p>
        </w:tc>
        <w:tc>
          <w:tcPr>
            <w:tcW w:w="1587" w:type="dxa"/>
            <w:shd w:val="clear" w:color="auto" w:fill="auto"/>
          </w:tcPr>
          <w:p w14:paraId="7DA11D5F" w14:textId="77777777" w:rsidR="00676882" w:rsidRDefault="00676882" w:rsidP="00DF45FA">
            <w:pPr>
              <w:pStyle w:val="Tabletext"/>
              <w:jc w:val="center"/>
            </w:pPr>
            <w:r w:rsidRPr="00A8062A">
              <w:t>0%</w:t>
            </w:r>
          </w:p>
        </w:tc>
        <w:tc>
          <w:tcPr>
            <w:tcW w:w="1587" w:type="dxa"/>
            <w:shd w:val="clear" w:color="auto" w:fill="auto"/>
          </w:tcPr>
          <w:p w14:paraId="28F0C21F" w14:textId="77777777" w:rsidR="00676882" w:rsidRDefault="00676882" w:rsidP="00DF45FA">
            <w:pPr>
              <w:pStyle w:val="Tabletext"/>
              <w:jc w:val="center"/>
            </w:pPr>
            <w:r w:rsidRPr="00A8062A">
              <w:t>0.7</w:t>
            </w:r>
          </w:p>
        </w:tc>
        <w:tc>
          <w:tcPr>
            <w:tcW w:w="1588" w:type="dxa"/>
            <w:shd w:val="clear" w:color="auto" w:fill="auto"/>
            <w:vAlign w:val="center"/>
          </w:tcPr>
          <w:p w14:paraId="3753D570" w14:textId="77777777" w:rsidR="00676882" w:rsidRDefault="00676882" w:rsidP="00DF45FA">
            <w:pPr>
              <w:pStyle w:val="Tabletext"/>
            </w:pPr>
            <w:r w:rsidRPr="00A8062A">
              <w:t>Firewood</w:t>
            </w:r>
          </w:p>
        </w:tc>
      </w:tr>
      <w:tr w:rsidR="00676882" w14:paraId="61D38508" w14:textId="77777777" w:rsidTr="00DF45FA">
        <w:trPr>
          <w:gridBefore w:val="1"/>
          <w:wBefore w:w="454" w:type="dxa"/>
        </w:trPr>
        <w:tc>
          <w:tcPr>
            <w:tcW w:w="1587" w:type="dxa"/>
            <w:shd w:val="clear" w:color="auto" w:fill="auto"/>
            <w:vAlign w:val="center"/>
          </w:tcPr>
          <w:p w14:paraId="17247056" w14:textId="77777777" w:rsidR="00676882" w:rsidRDefault="00676882" w:rsidP="00DF45FA">
            <w:pPr>
              <w:pStyle w:val="Tabletext"/>
            </w:pPr>
            <w:r w:rsidRPr="00A8062A">
              <w:t>Slab</w:t>
            </w:r>
          </w:p>
        </w:tc>
        <w:tc>
          <w:tcPr>
            <w:tcW w:w="1587" w:type="dxa"/>
            <w:shd w:val="clear" w:color="auto" w:fill="auto"/>
          </w:tcPr>
          <w:p w14:paraId="6BF64897" w14:textId="77777777" w:rsidR="00676882" w:rsidRDefault="00676882" w:rsidP="00DF45FA">
            <w:pPr>
              <w:pStyle w:val="Tabletext"/>
              <w:jc w:val="center"/>
            </w:pPr>
            <w:r w:rsidRPr="00A8062A">
              <w:t>1</w:t>
            </w:r>
          </w:p>
        </w:tc>
        <w:tc>
          <w:tcPr>
            <w:tcW w:w="1587" w:type="dxa"/>
            <w:shd w:val="clear" w:color="auto" w:fill="auto"/>
          </w:tcPr>
          <w:p w14:paraId="624BAF48" w14:textId="77777777" w:rsidR="00676882" w:rsidRDefault="00676882" w:rsidP="00DF45FA">
            <w:pPr>
              <w:pStyle w:val="Tabletext"/>
              <w:jc w:val="center"/>
            </w:pPr>
            <w:r w:rsidRPr="00A8062A">
              <w:t>15%</w:t>
            </w:r>
          </w:p>
        </w:tc>
        <w:tc>
          <w:tcPr>
            <w:tcW w:w="1587" w:type="dxa"/>
            <w:shd w:val="clear" w:color="auto" w:fill="auto"/>
          </w:tcPr>
          <w:p w14:paraId="0C9042B0" w14:textId="77777777" w:rsidR="00676882" w:rsidRDefault="00676882" w:rsidP="00DF45FA">
            <w:pPr>
              <w:pStyle w:val="Tabletext"/>
              <w:jc w:val="center"/>
            </w:pPr>
            <w:r w:rsidRPr="00A8062A">
              <w:t>0.7</w:t>
            </w:r>
          </w:p>
        </w:tc>
        <w:tc>
          <w:tcPr>
            <w:tcW w:w="1588" w:type="dxa"/>
            <w:shd w:val="clear" w:color="auto" w:fill="auto"/>
            <w:vAlign w:val="center"/>
          </w:tcPr>
          <w:p w14:paraId="155B1223" w14:textId="77777777" w:rsidR="00676882" w:rsidRDefault="00676882" w:rsidP="00DF45FA">
            <w:pPr>
              <w:pStyle w:val="Tabletext"/>
            </w:pPr>
            <w:r w:rsidRPr="00A8062A">
              <w:t>Elec</w:t>
            </w:r>
            <w:r>
              <w:t xml:space="preserve"> </w:t>
            </w:r>
            <w:r w:rsidRPr="00A8062A">
              <w:t>(Controlled)</w:t>
            </w:r>
          </w:p>
        </w:tc>
      </w:tr>
      <w:tr w:rsidR="00676882" w14:paraId="5B678B41" w14:textId="77777777" w:rsidTr="00DF45FA">
        <w:trPr>
          <w:gridBefore w:val="1"/>
          <w:wBefore w:w="454" w:type="dxa"/>
        </w:trPr>
        <w:tc>
          <w:tcPr>
            <w:tcW w:w="1587" w:type="dxa"/>
            <w:shd w:val="clear" w:color="auto" w:fill="auto"/>
            <w:vAlign w:val="center"/>
          </w:tcPr>
          <w:p w14:paraId="0AA36637" w14:textId="77777777" w:rsidR="00676882" w:rsidRDefault="00676882" w:rsidP="00DF45FA">
            <w:pPr>
              <w:pStyle w:val="Tabletext"/>
            </w:pPr>
            <w:r w:rsidRPr="00A8062A">
              <w:t>No</w:t>
            </w:r>
            <w:r>
              <w:t xml:space="preserve"> </w:t>
            </w:r>
            <w:r w:rsidRPr="00A8062A">
              <w:t>Heating</w:t>
            </w:r>
          </w:p>
        </w:tc>
        <w:tc>
          <w:tcPr>
            <w:tcW w:w="1587" w:type="dxa"/>
            <w:shd w:val="clear" w:color="auto" w:fill="auto"/>
          </w:tcPr>
          <w:p w14:paraId="39950B72" w14:textId="77777777" w:rsidR="00676882" w:rsidRDefault="00676882" w:rsidP="00DF45FA">
            <w:pPr>
              <w:pStyle w:val="Tabletext"/>
              <w:jc w:val="center"/>
            </w:pPr>
            <w:r w:rsidRPr="00A8062A">
              <w:t>1</w:t>
            </w:r>
          </w:p>
        </w:tc>
        <w:tc>
          <w:tcPr>
            <w:tcW w:w="1587" w:type="dxa"/>
            <w:shd w:val="clear" w:color="auto" w:fill="auto"/>
          </w:tcPr>
          <w:p w14:paraId="25E4E87C" w14:textId="77777777" w:rsidR="00676882" w:rsidRDefault="00676882" w:rsidP="00DF45FA">
            <w:pPr>
              <w:pStyle w:val="Tabletext"/>
              <w:jc w:val="center"/>
            </w:pPr>
            <w:r w:rsidRPr="00A8062A">
              <w:t>0%</w:t>
            </w:r>
          </w:p>
        </w:tc>
        <w:tc>
          <w:tcPr>
            <w:tcW w:w="1587" w:type="dxa"/>
            <w:shd w:val="clear" w:color="auto" w:fill="auto"/>
          </w:tcPr>
          <w:p w14:paraId="59B7AF3E" w14:textId="77777777" w:rsidR="00676882" w:rsidRDefault="00676882" w:rsidP="00DF45FA">
            <w:pPr>
              <w:pStyle w:val="Tabletext"/>
              <w:jc w:val="center"/>
            </w:pPr>
            <w:r w:rsidRPr="00A8062A">
              <w:t>0.7</w:t>
            </w:r>
          </w:p>
        </w:tc>
        <w:tc>
          <w:tcPr>
            <w:tcW w:w="1588" w:type="dxa"/>
            <w:shd w:val="clear" w:color="auto" w:fill="auto"/>
            <w:vAlign w:val="center"/>
          </w:tcPr>
          <w:p w14:paraId="76CAC153" w14:textId="77777777" w:rsidR="00676882" w:rsidRDefault="00676882" w:rsidP="00DF45FA">
            <w:pPr>
              <w:pStyle w:val="Tabletext"/>
            </w:pPr>
            <w:r w:rsidRPr="00A8062A">
              <w:t>Electricity</w:t>
            </w:r>
          </w:p>
        </w:tc>
      </w:tr>
      <w:tr w:rsidR="00676882" w14:paraId="023204B8" w14:textId="77777777" w:rsidTr="00DF45FA">
        <w:trPr>
          <w:gridBefore w:val="1"/>
          <w:wBefore w:w="454" w:type="dxa"/>
        </w:trPr>
        <w:tc>
          <w:tcPr>
            <w:tcW w:w="1587" w:type="dxa"/>
            <w:shd w:val="clear" w:color="auto" w:fill="auto"/>
            <w:vAlign w:val="center"/>
          </w:tcPr>
          <w:p w14:paraId="2E56316E" w14:textId="77777777" w:rsidR="00676882" w:rsidRDefault="00676882" w:rsidP="00DF45FA">
            <w:pPr>
              <w:pStyle w:val="Tabletext"/>
            </w:pPr>
            <w:r w:rsidRPr="00A8062A">
              <w:t>Central</w:t>
            </w:r>
            <w:r>
              <w:t xml:space="preserve"> </w:t>
            </w:r>
            <w:r w:rsidRPr="00A8062A">
              <w:t>Gas</w:t>
            </w:r>
            <w:r>
              <w:t xml:space="preserve"> </w:t>
            </w:r>
            <w:r w:rsidRPr="00A8062A">
              <w:t>- 20</w:t>
            </w:r>
            <w:r>
              <w:t xml:space="preserve"> </w:t>
            </w:r>
            <w:r w:rsidRPr="00A8062A">
              <w:t>YO</w:t>
            </w:r>
          </w:p>
        </w:tc>
        <w:tc>
          <w:tcPr>
            <w:tcW w:w="1587" w:type="dxa"/>
            <w:shd w:val="clear" w:color="auto" w:fill="auto"/>
          </w:tcPr>
          <w:p w14:paraId="3BB30341" w14:textId="77777777" w:rsidR="00676882" w:rsidRDefault="00676882" w:rsidP="00DF45FA">
            <w:pPr>
              <w:pStyle w:val="Tabletext"/>
              <w:jc w:val="center"/>
            </w:pPr>
            <w:r w:rsidRPr="00A8062A">
              <w:t>0.675</w:t>
            </w:r>
          </w:p>
        </w:tc>
        <w:tc>
          <w:tcPr>
            <w:tcW w:w="1587" w:type="dxa"/>
            <w:shd w:val="clear" w:color="auto" w:fill="auto"/>
          </w:tcPr>
          <w:p w14:paraId="5D90BA97" w14:textId="77777777" w:rsidR="00676882" w:rsidRDefault="00676882" w:rsidP="00DF45FA">
            <w:pPr>
              <w:pStyle w:val="Tabletext"/>
              <w:jc w:val="center"/>
            </w:pPr>
            <w:r w:rsidRPr="00A8062A">
              <w:t>25%</w:t>
            </w:r>
          </w:p>
        </w:tc>
        <w:tc>
          <w:tcPr>
            <w:tcW w:w="1587" w:type="dxa"/>
            <w:shd w:val="clear" w:color="auto" w:fill="auto"/>
          </w:tcPr>
          <w:p w14:paraId="145314DD" w14:textId="77777777" w:rsidR="00676882" w:rsidRDefault="00676882" w:rsidP="00DF45FA">
            <w:pPr>
              <w:pStyle w:val="Tabletext"/>
              <w:jc w:val="center"/>
            </w:pPr>
            <w:r w:rsidRPr="00A8062A">
              <w:t>0.7</w:t>
            </w:r>
          </w:p>
        </w:tc>
        <w:tc>
          <w:tcPr>
            <w:tcW w:w="1588" w:type="dxa"/>
            <w:shd w:val="clear" w:color="auto" w:fill="auto"/>
            <w:vAlign w:val="center"/>
          </w:tcPr>
          <w:p w14:paraId="52542C3D" w14:textId="77777777" w:rsidR="00676882" w:rsidRDefault="00676882" w:rsidP="00DF45FA">
            <w:pPr>
              <w:pStyle w:val="Tabletext"/>
            </w:pPr>
            <w:r w:rsidRPr="00A8062A">
              <w:t>Gas</w:t>
            </w:r>
          </w:p>
        </w:tc>
      </w:tr>
      <w:tr w:rsidR="00676882" w14:paraId="14EFF696" w14:textId="77777777" w:rsidTr="00DF45FA">
        <w:trPr>
          <w:gridBefore w:val="1"/>
          <w:wBefore w:w="454" w:type="dxa"/>
        </w:trPr>
        <w:tc>
          <w:tcPr>
            <w:tcW w:w="1587" w:type="dxa"/>
            <w:shd w:val="clear" w:color="auto" w:fill="auto"/>
            <w:vAlign w:val="center"/>
          </w:tcPr>
          <w:p w14:paraId="53EBB12D" w14:textId="77777777" w:rsidR="00676882" w:rsidRDefault="00676882" w:rsidP="00DF45FA">
            <w:pPr>
              <w:pStyle w:val="Tabletext"/>
            </w:pPr>
            <w:r w:rsidRPr="00A8062A">
              <w:t>Central</w:t>
            </w:r>
            <w:r>
              <w:t xml:space="preserve"> </w:t>
            </w:r>
            <w:r w:rsidRPr="00A8062A">
              <w:t>HP</w:t>
            </w:r>
            <w:r>
              <w:t xml:space="preserve"> </w:t>
            </w:r>
            <w:r w:rsidRPr="00A8062A">
              <w:t>- 20</w:t>
            </w:r>
            <w:r>
              <w:t xml:space="preserve"> </w:t>
            </w:r>
            <w:r w:rsidRPr="00A8062A">
              <w:t>YO</w:t>
            </w:r>
          </w:p>
        </w:tc>
        <w:tc>
          <w:tcPr>
            <w:tcW w:w="1587" w:type="dxa"/>
            <w:shd w:val="clear" w:color="auto" w:fill="auto"/>
          </w:tcPr>
          <w:p w14:paraId="13F8FD3E" w14:textId="77777777" w:rsidR="00676882" w:rsidRDefault="00676882" w:rsidP="00DF45FA">
            <w:pPr>
              <w:pStyle w:val="Tabletext"/>
              <w:jc w:val="center"/>
            </w:pPr>
            <w:r w:rsidRPr="00A8062A">
              <w:t>2.16</w:t>
            </w:r>
          </w:p>
        </w:tc>
        <w:tc>
          <w:tcPr>
            <w:tcW w:w="1587" w:type="dxa"/>
            <w:shd w:val="clear" w:color="auto" w:fill="auto"/>
          </w:tcPr>
          <w:p w14:paraId="52180199" w14:textId="77777777" w:rsidR="00676882" w:rsidRDefault="00676882" w:rsidP="00DF45FA">
            <w:pPr>
              <w:pStyle w:val="Tabletext"/>
              <w:jc w:val="center"/>
            </w:pPr>
            <w:r w:rsidRPr="00A8062A">
              <w:t>25%</w:t>
            </w:r>
          </w:p>
        </w:tc>
        <w:tc>
          <w:tcPr>
            <w:tcW w:w="1587" w:type="dxa"/>
            <w:shd w:val="clear" w:color="auto" w:fill="auto"/>
          </w:tcPr>
          <w:p w14:paraId="7E022EC2" w14:textId="77777777" w:rsidR="00676882" w:rsidRDefault="00676882" w:rsidP="00DF45FA">
            <w:pPr>
              <w:pStyle w:val="Tabletext"/>
              <w:jc w:val="center"/>
            </w:pPr>
            <w:r w:rsidRPr="00A8062A">
              <w:t>0.7</w:t>
            </w:r>
          </w:p>
        </w:tc>
        <w:tc>
          <w:tcPr>
            <w:tcW w:w="1588" w:type="dxa"/>
            <w:shd w:val="clear" w:color="auto" w:fill="auto"/>
            <w:vAlign w:val="center"/>
          </w:tcPr>
          <w:p w14:paraId="34C8C30F" w14:textId="77777777" w:rsidR="00676882" w:rsidRDefault="00676882" w:rsidP="00DF45FA">
            <w:pPr>
              <w:pStyle w:val="Tabletext"/>
            </w:pPr>
            <w:r w:rsidRPr="00A8062A">
              <w:t>Electricity</w:t>
            </w:r>
          </w:p>
        </w:tc>
      </w:tr>
      <w:tr w:rsidR="00676882" w14:paraId="5BBEAC72" w14:textId="77777777" w:rsidTr="00DF45FA">
        <w:trPr>
          <w:gridBefore w:val="1"/>
          <w:wBefore w:w="454" w:type="dxa"/>
        </w:trPr>
        <w:tc>
          <w:tcPr>
            <w:tcW w:w="1587" w:type="dxa"/>
            <w:shd w:val="clear" w:color="auto" w:fill="auto"/>
            <w:vAlign w:val="center"/>
          </w:tcPr>
          <w:p w14:paraId="54D38DB1" w14:textId="77777777" w:rsidR="00676882" w:rsidRDefault="00676882" w:rsidP="00DF45FA">
            <w:pPr>
              <w:pStyle w:val="Tabletext"/>
            </w:pPr>
            <w:r w:rsidRPr="00A8062A">
              <w:t>Room</w:t>
            </w:r>
            <w:r>
              <w:t xml:space="preserve"> </w:t>
            </w:r>
            <w:r w:rsidRPr="00A8062A">
              <w:t>Gas</w:t>
            </w:r>
            <w:r>
              <w:t xml:space="preserve"> </w:t>
            </w:r>
            <w:r w:rsidRPr="00A8062A">
              <w:t>- 20</w:t>
            </w:r>
            <w:r>
              <w:t xml:space="preserve"> </w:t>
            </w:r>
            <w:r w:rsidRPr="00A8062A">
              <w:t>YO</w:t>
            </w:r>
          </w:p>
        </w:tc>
        <w:tc>
          <w:tcPr>
            <w:tcW w:w="1587" w:type="dxa"/>
            <w:shd w:val="clear" w:color="auto" w:fill="auto"/>
          </w:tcPr>
          <w:p w14:paraId="52EF97CA" w14:textId="77777777" w:rsidR="00676882" w:rsidRDefault="00676882" w:rsidP="00DF45FA">
            <w:pPr>
              <w:pStyle w:val="Tabletext"/>
              <w:jc w:val="center"/>
            </w:pPr>
            <w:r w:rsidRPr="00A8062A">
              <w:t>0.657</w:t>
            </w:r>
          </w:p>
        </w:tc>
        <w:tc>
          <w:tcPr>
            <w:tcW w:w="1587" w:type="dxa"/>
            <w:shd w:val="clear" w:color="auto" w:fill="auto"/>
          </w:tcPr>
          <w:p w14:paraId="4C9F0E14" w14:textId="77777777" w:rsidR="00676882" w:rsidRDefault="00676882" w:rsidP="00DF45FA">
            <w:pPr>
              <w:pStyle w:val="Tabletext"/>
              <w:jc w:val="center"/>
            </w:pPr>
            <w:r w:rsidRPr="00A8062A">
              <w:t>0%</w:t>
            </w:r>
          </w:p>
        </w:tc>
        <w:tc>
          <w:tcPr>
            <w:tcW w:w="1587" w:type="dxa"/>
            <w:shd w:val="clear" w:color="auto" w:fill="auto"/>
          </w:tcPr>
          <w:p w14:paraId="0CEBEC1C" w14:textId="77777777" w:rsidR="00676882" w:rsidRDefault="00676882" w:rsidP="00DF45FA">
            <w:pPr>
              <w:pStyle w:val="Tabletext"/>
              <w:jc w:val="center"/>
            </w:pPr>
            <w:r w:rsidRPr="00A8062A">
              <w:t>0.3</w:t>
            </w:r>
            <w:r>
              <w:t xml:space="preserve"> </w:t>
            </w:r>
            <w:r w:rsidRPr="00A8062A">
              <w:t>(0.55)</w:t>
            </w:r>
          </w:p>
        </w:tc>
        <w:tc>
          <w:tcPr>
            <w:tcW w:w="1588" w:type="dxa"/>
            <w:shd w:val="clear" w:color="auto" w:fill="auto"/>
            <w:vAlign w:val="center"/>
          </w:tcPr>
          <w:p w14:paraId="51CDB5A7" w14:textId="77777777" w:rsidR="00676882" w:rsidRDefault="00676882" w:rsidP="00DF45FA">
            <w:pPr>
              <w:pStyle w:val="Tabletext"/>
            </w:pPr>
            <w:r w:rsidRPr="00A8062A">
              <w:t>Gas</w:t>
            </w:r>
          </w:p>
        </w:tc>
      </w:tr>
      <w:tr w:rsidR="00676882" w14:paraId="370A047E" w14:textId="77777777" w:rsidTr="00DF45FA">
        <w:trPr>
          <w:gridBefore w:val="1"/>
          <w:wBefore w:w="454" w:type="dxa"/>
        </w:trPr>
        <w:tc>
          <w:tcPr>
            <w:tcW w:w="1587" w:type="dxa"/>
            <w:shd w:val="clear" w:color="auto" w:fill="auto"/>
            <w:vAlign w:val="center"/>
          </w:tcPr>
          <w:p w14:paraId="3CEA7704" w14:textId="77777777" w:rsidR="00676882" w:rsidRDefault="00676882" w:rsidP="00DF45FA">
            <w:pPr>
              <w:pStyle w:val="Tabletext"/>
            </w:pPr>
            <w:r w:rsidRPr="00A8062A">
              <w:t>Room</w:t>
            </w:r>
            <w:r>
              <w:t xml:space="preserve"> </w:t>
            </w:r>
            <w:r w:rsidRPr="00A8062A">
              <w:t>HP</w:t>
            </w:r>
            <w:r>
              <w:t xml:space="preserve"> </w:t>
            </w:r>
            <w:r w:rsidRPr="00A8062A">
              <w:t>- 20</w:t>
            </w:r>
            <w:r>
              <w:t xml:space="preserve"> </w:t>
            </w:r>
            <w:r w:rsidRPr="00A8062A">
              <w:t>YO</w:t>
            </w:r>
          </w:p>
        </w:tc>
        <w:tc>
          <w:tcPr>
            <w:tcW w:w="1587" w:type="dxa"/>
            <w:shd w:val="clear" w:color="auto" w:fill="auto"/>
          </w:tcPr>
          <w:p w14:paraId="09E4B9FC" w14:textId="77777777" w:rsidR="00676882" w:rsidRDefault="00676882" w:rsidP="00DF45FA">
            <w:pPr>
              <w:pStyle w:val="Tabletext"/>
              <w:jc w:val="center"/>
            </w:pPr>
            <w:r w:rsidRPr="00A8062A">
              <w:t>2.16</w:t>
            </w:r>
          </w:p>
        </w:tc>
        <w:tc>
          <w:tcPr>
            <w:tcW w:w="1587" w:type="dxa"/>
            <w:shd w:val="clear" w:color="auto" w:fill="auto"/>
          </w:tcPr>
          <w:p w14:paraId="26BFB0BF" w14:textId="77777777" w:rsidR="00676882" w:rsidRDefault="00676882" w:rsidP="00DF45FA">
            <w:pPr>
              <w:pStyle w:val="Tabletext"/>
              <w:jc w:val="center"/>
            </w:pPr>
            <w:r w:rsidRPr="00A8062A">
              <w:t>0%</w:t>
            </w:r>
          </w:p>
        </w:tc>
        <w:tc>
          <w:tcPr>
            <w:tcW w:w="1587" w:type="dxa"/>
            <w:shd w:val="clear" w:color="auto" w:fill="auto"/>
          </w:tcPr>
          <w:p w14:paraId="22EC4BB5" w14:textId="77777777" w:rsidR="00676882" w:rsidRDefault="00676882" w:rsidP="00DF45FA">
            <w:pPr>
              <w:pStyle w:val="Tabletext"/>
              <w:jc w:val="center"/>
            </w:pPr>
            <w:r w:rsidRPr="00A8062A">
              <w:t>0.3</w:t>
            </w:r>
            <w:r>
              <w:t xml:space="preserve"> </w:t>
            </w:r>
            <w:r w:rsidRPr="00A8062A">
              <w:t>(0.55)</w:t>
            </w:r>
          </w:p>
        </w:tc>
        <w:tc>
          <w:tcPr>
            <w:tcW w:w="1588" w:type="dxa"/>
            <w:shd w:val="clear" w:color="auto" w:fill="auto"/>
            <w:vAlign w:val="center"/>
          </w:tcPr>
          <w:p w14:paraId="5E211AB2" w14:textId="77777777" w:rsidR="00676882" w:rsidRDefault="00676882" w:rsidP="00DF45FA">
            <w:pPr>
              <w:pStyle w:val="Tabletext"/>
            </w:pPr>
            <w:r w:rsidRPr="00A8062A">
              <w:t>Electricity</w:t>
            </w:r>
          </w:p>
        </w:tc>
      </w:tr>
      <w:tr w:rsidR="00676882" w14:paraId="79B2358E" w14:textId="77777777" w:rsidTr="00DF45FA">
        <w:trPr>
          <w:gridBefore w:val="1"/>
          <w:wBefore w:w="454" w:type="dxa"/>
        </w:trPr>
        <w:tc>
          <w:tcPr>
            <w:tcW w:w="1587" w:type="dxa"/>
            <w:shd w:val="clear" w:color="auto" w:fill="auto"/>
            <w:vAlign w:val="center"/>
          </w:tcPr>
          <w:p w14:paraId="165B29D9" w14:textId="77777777" w:rsidR="00676882" w:rsidRDefault="00676882" w:rsidP="00DF45FA">
            <w:pPr>
              <w:pStyle w:val="Tabletext"/>
            </w:pPr>
            <w:r w:rsidRPr="00A8062A">
              <w:t>Electric</w:t>
            </w:r>
            <w:r>
              <w:t xml:space="preserve"> </w:t>
            </w:r>
            <w:r w:rsidRPr="00A8062A">
              <w:t>Panels</w:t>
            </w:r>
            <w:r>
              <w:t xml:space="preserve"> </w:t>
            </w:r>
            <w:r w:rsidRPr="00A8062A">
              <w:t>- 20</w:t>
            </w:r>
            <w:r>
              <w:t xml:space="preserve"> </w:t>
            </w:r>
            <w:r w:rsidRPr="00A8062A">
              <w:t>YO</w:t>
            </w:r>
          </w:p>
        </w:tc>
        <w:tc>
          <w:tcPr>
            <w:tcW w:w="1587" w:type="dxa"/>
            <w:shd w:val="clear" w:color="auto" w:fill="auto"/>
          </w:tcPr>
          <w:p w14:paraId="426115AA" w14:textId="77777777" w:rsidR="00676882" w:rsidRDefault="00676882" w:rsidP="00DF45FA">
            <w:pPr>
              <w:pStyle w:val="Tabletext"/>
              <w:jc w:val="center"/>
            </w:pPr>
            <w:r w:rsidRPr="00A8062A">
              <w:t>1</w:t>
            </w:r>
          </w:p>
        </w:tc>
        <w:tc>
          <w:tcPr>
            <w:tcW w:w="1587" w:type="dxa"/>
            <w:shd w:val="clear" w:color="auto" w:fill="auto"/>
          </w:tcPr>
          <w:p w14:paraId="2188FE91" w14:textId="77777777" w:rsidR="00676882" w:rsidRDefault="00676882" w:rsidP="00DF45FA">
            <w:pPr>
              <w:pStyle w:val="Tabletext"/>
              <w:jc w:val="center"/>
            </w:pPr>
            <w:r w:rsidRPr="00A8062A">
              <w:t>0%</w:t>
            </w:r>
          </w:p>
        </w:tc>
        <w:tc>
          <w:tcPr>
            <w:tcW w:w="1587" w:type="dxa"/>
            <w:shd w:val="clear" w:color="auto" w:fill="auto"/>
          </w:tcPr>
          <w:p w14:paraId="1F9AB20E" w14:textId="77777777" w:rsidR="00676882" w:rsidRDefault="00676882" w:rsidP="00DF45FA">
            <w:pPr>
              <w:pStyle w:val="Tabletext"/>
              <w:jc w:val="center"/>
            </w:pPr>
            <w:r w:rsidRPr="00A8062A">
              <w:t>0.7</w:t>
            </w:r>
          </w:p>
        </w:tc>
        <w:tc>
          <w:tcPr>
            <w:tcW w:w="1588" w:type="dxa"/>
            <w:shd w:val="clear" w:color="auto" w:fill="auto"/>
            <w:vAlign w:val="center"/>
          </w:tcPr>
          <w:p w14:paraId="0CAD9177" w14:textId="77777777" w:rsidR="00676882" w:rsidRDefault="00676882" w:rsidP="00DF45FA">
            <w:pPr>
              <w:pStyle w:val="Tabletext"/>
            </w:pPr>
            <w:r w:rsidRPr="00A8062A">
              <w:t>Electricity</w:t>
            </w:r>
          </w:p>
        </w:tc>
      </w:tr>
      <w:tr w:rsidR="00676882" w14:paraId="06BCD69E" w14:textId="77777777" w:rsidTr="00DF45FA">
        <w:trPr>
          <w:gridBefore w:val="1"/>
          <w:wBefore w:w="454" w:type="dxa"/>
        </w:trPr>
        <w:tc>
          <w:tcPr>
            <w:tcW w:w="1587" w:type="dxa"/>
            <w:shd w:val="clear" w:color="auto" w:fill="auto"/>
            <w:vAlign w:val="center"/>
          </w:tcPr>
          <w:p w14:paraId="44BD72AF" w14:textId="77777777" w:rsidR="00676882" w:rsidRDefault="00676882" w:rsidP="00DF45FA">
            <w:pPr>
              <w:pStyle w:val="Tabletext"/>
            </w:pPr>
            <w:r w:rsidRPr="00A8062A">
              <w:t>Firewood</w:t>
            </w:r>
            <w:r>
              <w:t xml:space="preserve"> </w:t>
            </w:r>
            <w:r w:rsidRPr="00A8062A">
              <w:t>- 20</w:t>
            </w:r>
            <w:r>
              <w:t xml:space="preserve"> </w:t>
            </w:r>
            <w:r w:rsidRPr="00A8062A">
              <w:t>YO</w:t>
            </w:r>
          </w:p>
        </w:tc>
        <w:tc>
          <w:tcPr>
            <w:tcW w:w="1587" w:type="dxa"/>
            <w:shd w:val="clear" w:color="auto" w:fill="auto"/>
          </w:tcPr>
          <w:p w14:paraId="32E58535" w14:textId="77777777" w:rsidR="00676882" w:rsidRDefault="00676882" w:rsidP="00DF45FA">
            <w:pPr>
              <w:pStyle w:val="Tabletext"/>
              <w:jc w:val="center"/>
            </w:pPr>
            <w:r w:rsidRPr="00A8062A">
              <w:t>0.6</w:t>
            </w:r>
          </w:p>
        </w:tc>
        <w:tc>
          <w:tcPr>
            <w:tcW w:w="1587" w:type="dxa"/>
            <w:shd w:val="clear" w:color="auto" w:fill="auto"/>
          </w:tcPr>
          <w:p w14:paraId="2A340FBB" w14:textId="77777777" w:rsidR="00676882" w:rsidRDefault="00676882" w:rsidP="00DF45FA">
            <w:pPr>
              <w:pStyle w:val="Tabletext"/>
              <w:jc w:val="center"/>
            </w:pPr>
            <w:r w:rsidRPr="00A8062A">
              <w:t>0%</w:t>
            </w:r>
          </w:p>
        </w:tc>
        <w:tc>
          <w:tcPr>
            <w:tcW w:w="1587" w:type="dxa"/>
            <w:shd w:val="clear" w:color="auto" w:fill="auto"/>
          </w:tcPr>
          <w:p w14:paraId="2A4C4BBB" w14:textId="77777777" w:rsidR="00676882" w:rsidRDefault="00676882" w:rsidP="00DF45FA">
            <w:pPr>
              <w:pStyle w:val="Tabletext"/>
              <w:jc w:val="center"/>
            </w:pPr>
            <w:r w:rsidRPr="00A8062A">
              <w:t>0.7</w:t>
            </w:r>
          </w:p>
        </w:tc>
        <w:tc>
          <w:tcPr>
            <w:tcW w:w="1588" w:type="dxa"/>
            <w:shd w:val="clear" w:color="auto" w:fill="auto"/>
            <w:vAlign w:val="center"/>
          </w:tcPr>
          <w:p w14:paraId="4C0213C2" w14:textId="77777777" w:rsidR="00676882" w:rsidRDefault="00676882" w:rsidP="00DF45FA">
            <w:pPr>
              <w:pStyle w:val="Tabletext"/>
            </w:pPr>
            <w:r w:rsidRPr="00A8062A">
              <w:t>Firewood</w:t>
            </w:r>
          </w:p>
        </w:tc>
      </w:tr>
      <w:tr w:rsidR="00676882" w14:paraId="3C9B81F4" w14:textId="77777777" w:rsidTr="00DF45FA">
        <w:trPr>
          <w:gridBefore w:val="1"/>
          <w:wBefore w:w="454" w:type="dxa"/>
        </w:trPr>
        <w:tc>
          <w:tcPr>
            <w:tcW w:w="1587" w:type="dxa"/>
            <w:shd w:val="clear" w:color="auto" w:fill="auto"/>
            <w:vAlign w:val="center"/>
          </w:tcPr>
          <w:p w14:paraId="15821669" w14:textId="77777777" w:rsidR="00676882" w:rsidRDefault="00676882" w:rsidP="00DF45FA">
            <w:pPr>
              <w:pStyle w:val="Tabletext"/>
            </w:pPr>
            <w:r w:rsidRPr="00A8062A">
              <w:t>Slab</w:t>
            </w:r>
            <w:r>
              <w:t xml:space="preserve"> </w:t>
            </w:r>
            <w:r w:rsidRPr="00A8062A">
              <w:t>- 20</w:t>
            </w:r>
            <w:r>
              <w:t xml:space="preserve"> </w:t>
            </w:r>
            <w:r w:rsidRPr="00A8062A">
              <w:t>YO</w:t>
            </w:r>
          </w:p>
        </w:tc>
        <w:tc>
          <w:tcPr>
            <w:tcW w:w="1587" w:type="dxa"/>
            <w:shd w:val="clear" w:color="auto" w:fill="auto"/>
          </w:tcPr>
          <w:p w14:paraId="3AA277A9" w14:textId="77777777" w:rsidR="00676882" w:rsidRDefault="00676882" w:rsidP="00DF45FA">
            <w:pPr>
              <w:pStyle w:val="Tabletext"/>
              <w:jc w:val="center"/>
            </w:pPr>
            <w:r w:rsidRPr="00A8062A">
              <w:t>1</w:t>
            </w:r>
          </w:p>
        </w:tc>
        <w:tc>
          <w:tcPr>
            <w:tcW w:w="1587" w:type="dxa"/>
            <w:shd w:val="clear" w:color="auto" w:fill="auto"/>
          </w:tcPr>
          <w:p w14:paraId="05D56D1C" w14:textId="77777777" w:rsidR="00676882" w:rsidRDefault="00676882" w:rsidP="00DF45FA">
            <w:pPr>
              <w:pStyle w:val="Tabletext"/>
              <w:jc w:val="center"/>
            </w:pPr>
            <w:r w:rsidRPr="00A8062A">
              <w:t>15%</w:t>
            </w:r>
          </w:p>
        </w:tc>
        <w:tc>
          <w:tcPr>
            <w:tcW w:w="1587" w:type="dxa"/>
            <w:shd w:val="clear" w:color="auto" w:fill="auto"/>
          </w:tcPr>
          <w:p w14:paraId="67C76F0F" w14:textId="77777777" w:rsidR="00676882" w:rsidRDefault="00676882" w:rsidP="00DF45FA">
            <w:pPr>
              <w:pStyle w:val="Tabletext"/>
              <w:jc w:val="center"/>
            </w:pPr>
            <w:r w:rsidRPr="00A8062A">
              <w:t>0.7</w:t>
            </w:r>
          </w:p>
        </w:tc>
        <w:tc>
          <w:tcPr>
            <w:tcW w:w="1588" w:type="dxa"/>
            <w:shd w:val="clear" w:color="auto" w:fill="auto"/>
            <w:vAlign w:val="center"/>
          </w:tcPr>
          <w:p w14:paraId="68FC92E0" w14:textId="77777777" w:rsidR="00676882" w:rsidRDefault="00676882" w:rsidP="00DF45FA">
            <w:pPr>
              <w:pStyle w:val="Tabletext"/>
            </w:pPr>
            <w:r w:rsidRPr="00A8062A">
              <w:t>Elec</w:t>
            </w:r>
            <w:r>
              <w:t xml:space="preserve"> </w:t>
            </w:r>
            <w:r w:rsidRPr="00A8062A">
              <w:t>(Controlled)</w:t>
            </w:r>
          </w:p>
        </w:tc>
      </w:tr>
      <w:tr w:rsidR="00676882" w14:paraId="382598CE" w14:textId="77777777" w:rsidTr="00DF45FA">
        <w:trPr>
          <w:gridBefore w:val="1"/>
          <w:wBefore w:w="454" w:type="dxa"/>
        </w:trPr>
        <w:tc>
          <w:tcPr>
            <w:tcW w:w="1587" w:type="dxa"/>
            <w:shd w:val="clear" w:color="auto" w:fill="auto"/>
            <w:vAlign w:val="center"/>
          </w:tcPr>
          <w:p w14:paraId="34D53AAB" w14:textId="77777777" w:rsidR="00676882" w:rsidRDefault="00676882" w:rsidP="00DF45FA">
            <w:pPr>
              <w:pStyle w:val="Tabletext"/>
            </w:pPr>
            <w:r w:rsidRPr="00A8062A">
              <w:t>No</w:t>
            </w:r>
            <w:r>
              <w:t xml:space="preserve"> </w:t>
            </w:r>
            <w:r w:rsidRPr="00A8062A">
              <w:t>Heating</w:t>
            </w:r>
            <w:r>
              <w:t xml:space="preserve"> </w:t>
            </w:r>
            <w:r w:rsidRPr="00A8062A">
              <w:t>- 20</w:t>
            </w:r>
            <w:r>
              <w:t xml:space="preserve"> </w:t>
            </w:r>
            <w:r w:rsidRPr="00A8062A">
              <w:t>YO</w:t>
            </w:r>
          </w:p>
        </w:tc>
        <w:tc>
          <w:tcPr>
            <w:tcW w:w="1587" w:type="dxa"/>
            <w:shd w:val="clear" w:color="auto" w:fill="auto"/>
          </w:tcPr>
          <w:p w14:paraId="73388178" w14:textId="77777777" w:rsidR="00676882" w:rsidRDefault="00676882" w:rsidP="00DF45FA">
            <w:pPr>
              <w:pStyle w:val="Tabletext"/>
              <w:jc w:val="center"/>
            </w:pPr>
            <w:r w:rsidRPr="00A8062A">
              <w:t>1</w:t>
            </w:r>
          </w:p>
        </w:tc>
        <w:tc>
          <w:tcPr>
            <w:tcW w:w="1587" w:type="dxa"/>
            <w:shd w:val="clear" w:color="auto" w:fill="auto"/>
          </w:tcPr>
          <w:p w14:paraId="59CBC025" w14:textId="77777777" w:rsidR="00676882" w:rsidRDefault="00676882" w:rsidP="00DF45FA">
            <w:pPr>
              <w:pStyle w:val="Tabletext"/>
              <w:jc w:val="center"/>
            </w:pPr>
            <w:r w:rsidRPr="00A8062A">
              <w:t>0%</w:t>
            </w:r>
          </w:p>
        </w:tc>
        <w:tc>
          <w:tcPr>
            <w:tcW w:w="1587" w:type="dxa"/>
            <w:shd w:val="clear" w:color="auto" w:fill="auto"/>
          </w:tcPr>
          <w:p w14:paraId="7897267A" w14:textId="77777777" w:rsidR="00676882" w:rsidRDefault="00676882" w:rsidP="00DF45FA">
            <w:pPr>
              <w:pStyle w:val="Tabletext"/>
              <w:jc w:val="center"/>
            </w:pPr>
            <w:r w:rsidRPr="00A8062A">
              <w:t>0.7</w:t>
            </w:r>
          </w:p>
        </w:tc>
        <w:tc>
          <w:tcPr>
            <w:tcW w:w="1588" w:type="dxa"/>
            <w:shd w:val="clear" w:color="auto" w:fill="auto"/>
            <w:vAlign w:val="center"/>
          </w:tcPr>
          <w:p w14:paraId="59AC0AC2" w14:textId="77777777" w:rsidR="00676882" w:rsidRDefault="00676882" w:rsidP="00DF45FA">
            <w:pPr>
              <w:pStyle w:val="Tabletext"/>
            </w:pPr>
            <w:r w:rsidRPr="00A8062A">
              <w:t>Elec</w:t>
            </w:r>
            <w:r>
              <w:t xml:space="preserve"> </w:t>
            </w:r>
            <w:r w:rsidRPr="00A8062A">
              <w:t>(Controlled)</w:t>
            </w:r>
          </w:p>
        </w:tc>
      </w:tr>
      <w:tr w:rsidR="00676882" w14:paraId="768DD3C7" w14:textId="77777777" w:rsidTr="00DF45FA">
        <w:trPr>
          <w:gridBefore w:val="1"/>
          <w:wBefore w:w="454" w:type="dxa"/>
        </w:trPr>
        <w:tc>
          <w:tcPr>
            <w:tcW w:w="1587" w:type="dxa"/>
            <w:shd w:val="clear" w:color="auto" w:fill="auto"/>
            <w:vAlign w:val="center"/>
          </w:tcPr>
          <w:p w14:paraId="1563F8FF" w14:textId="77777777" w:rsidR="00676882" w:rsidRDefault="00676882" w:rsidP="00DF45FA">
            <w:pPr>
              <w:pStyle w:val="Tabletext"/>
            </w:pPr>
            <w:r w:rsidRPr="00A8062A">
              <w:t>New</w:t>
            </w:r>
            <w:r>
              <w:t xml:space="preserve"> </w:t>
            </w:r>
            <w:r w:rsidRPr="00A8062A">
              <w:t>Central</w:t>
            </w:r>
            <w:r>
              <w:t xml:space="preserve"> </w:t>
            </w:r>
            <w:r w:rsidRPr="00A8062A">
              <w:t>HP</w:t>
            </w:r>
          </w:p>
        </w:tc>
        <w:tc>
          <w:tcPr>
            <w:tcW w:w="1587" w:type="dxa"/>
            <w:shd w:val="clear" w:color="auto" w:fill="auto"/>
          </w:tcPr>
          <w:p w14:paraId="3754002A" w14:textId="77777777" w:rsidR="00676882" w:rsidRDefault="00676882" w:rsidP="00DF45FA">
            <w:pPr>
              <w:pStyle w:val="Tabletext"/>
              <w:jc w:val="center"/>
            </w:pPr>
            <w:r w:rsidRPr="00A8062A">
              <w:t>3</w:t>
            </w:r>
          </w:p>
        </w:tc>
        <w:tc>
          <w:tcPr>
            <w:tcW w:w="1587" w:type="dxa"/>
            <w:shd w:val="clear" w:color="auto" w:fill="auto"/>
          </w:tcPr>
          <w:p w14:paraId="2C972792" w14:textId="77777777" w:rsidR="00676882" w:rsidRDefault="00676882" w:rsidP="00DF45FA">
            <w:pPr>
              <w:pStyle w:val="Tabletext"/>
              <w:jc w:val="center"/>
            </w:pPr>
            <w:r w:rsidRPr="00A8062A">
              <w:t>15%</w:t>
            </w:r>
          </w:p>
        </w:tc>
        <w:tc>
          <w:tcPr>
            <w:tcW w:w="1587" w:type="dxa"/>
            <w:shd w:val="clear" w:color="auto" w:fill="auto"/>
          </w:tcPr>
          <w:p w14:paraId="3DD5DD7D" w14:textId="77777777" w:rsidR="00676882" w:rsidRDefault="00676882" w:rsidP="00DF45FA">
            <w:pPr>
              <w:pStyle w:val="Tabletext"/>
              <w:jc w:val="center"/>
            </w:pPr>
            <w:r w:rsidRPr="00A8062A">
              <w:t>0.7</w:t>
            </w:r>
          </w:p>
        </w:tc>
        <w:tc>
          <w:tcPr>
            <w:tcW w:w="1588" w:type="dxa"/>
            <w:shd w:val="clear" w:color="auto" w:fill="auto"/>
            <w:vAlign w:val="center"/>
          </w:tcPr>
          <w:p w14:paraId="509EC8E5" w14:textId="77777777" w:rsidR="00676882" w:rsidRDefault="00676882" w:rsidP="00DF45FA">
            <w:pPr>
              <w:pStyle w:val="Tabletext"/>
            </w:pPr>
            <w:r w:rsidRPr="00A8062A">
              <w:t>Electricity</w:t>
            </w:r>
          </w:p>
        </w:tc>
      </w:tr>
      <w:tr w:rsidR="00676882" w14:paraId="4D1AA592" w14:textId="77777777" w:rsidTr="00DF45FA">
        <w:trPr>
          <w:gridBefore w:val="1"/>
          <w:wBefore w:w="454" w:type="dxa"/>
        </w:trPr>
        <w:tc>
          <w:tcPr>
            <w:tcW w:w="1587" w:type="dxa"/>
            <w:shd w:val="clear" w:color="auto" w:fill="auto"/>
            <w:vAlign w:val="center"/>
          </w:tcPr>
          <w:p w14:paraId="3A026A49" w14:textId="77777777" w:rsidR="00676882" w:rsidRDefault="00676882" w:rsidP="00DF45FA">
            <w:pPr>
              <w:pStyle w:val="Tabletext"/>
            </w:pPr>
            <w:r w:rsidRPr="00A8062A">
              <w:t>New</w:t>
            </w:r>
            <w:r>
              <w:t xml:space="preserve"> </w:t>
            </w:r>
            <w:r w:rsidRPr="00A8062A">
              <w:t>Room</w:t>
            </w:r>
            <w:r>
              <w:t xml:space="preserve"> </w:t>
            </w:r>
            <w:r w:rsidRPr="00A8062A">
              <w:t>HP</w:t>
            </w:r>
          </w:p>
        </w:tc>
        <w:tc>
          <w:tcPr>
            <w:tcW w:w="1587" w:type="dxa"/>
            <w:shd w:val="clear" w:color="auto" w:fill="auto"/>
          </w:tcPr>
          <w:p w14:paraId="09B44911" w14:textId="77777777" w:rsidR="00676882" w:rsidRDefault="00676882" w:rsidP="00DF45FA">
            <w:pPr>
              <w:pStyle w:val="Tabletext"/>
              <w:jc w:val="center"/>
            </w:pPr>
            <w:r w:rsidRPr="00A8062A">
              <w:t>3</w:t>
            </w:r>
          </w:p>
        </w:tc>
        <w:tc>
          <w:tcPr>
            <w:tcW w:w="1587" w:type="dxa"/>
            <w:shd w:val="clear" w:color="auto" w:fill="auto"/>
          </w:tcPr>
          <w:p w14:paraId="6463BCC8" w14:textId="77777777" w:rsidR="00676882" w:rsidRDefault="00676882" w:rsidP="00DF45FA">
            <w:pPr>
              <w:pStyle w:val="Tabletext"/>
              <w:jc w:val="center"/>
            </w:pPr>
            <w:r w:rsidRPr="00A8062A">
              <w:t>0%</w:t>
            </w:r>
          </w:p>
        </w:tc>
        <w:tc>
          <w:tcPr>
            <w:tcW w:w="1587" w:type="dxa"/>
            <w:shd w:val="clear" w:color="auto" w:fill="auto"/>
          </w:tcPr>
          <w:p w14:paraId="614E39EB" w14:textId="77777777" w:rsidR="00676882" w:rsidRDefault="00676882" w:rsidP="00DF45FA">
            <w:pPr>
              <w:pStyle w:val="Tabletext"/>
              <w:jc w:val="center"/>
            </w:pPr>
            <w:r w:rsidRPr="00A8062A">
              <w:t>0.3</w:t>
            </w:r>
            <w:r>
              <w:t xml:space="preserve"> </w:t>
            </w:r>
            <w:r w:rsidRPr="00A8062A">
              <w:t>(0.55)</w:t>
            </w:r>
          </w:p>
        </w:tc>
        <w:tc>
          <w:tcPr>
            <w:tcW w:w="1588" w:type="dxa"/>
            <w:shd w:val="clear" w:color="auto" w:fill="auto"/>
            <w:vAlign w:val="center"/>
          </w:tcPr>
          <w:p w14:paraId="1110D07A" w14:textId="77777777" w:rsidR="00676882" w:rsidRDefault="00676882" w:rsidP="00DF45FA">
            <w:pPr>
              <w:pStyle w:val="Tabletext"/>
            </w:pPr>
            <w:r w:rsidRPr="00A8062A">
              <w:t>Electricity</w:t>
            </w:r>
          </w:p>
        </w:tc>
      </w:tr>
      <w:tr w:rsidR="00676882" w14:paraId="59DEA44D" w14:textId="77777777" w:rsidTr="00DF45FA">
        <w:trPr>
          <w:gridBefore w:val="1"/>
          <w:wBefore w:w="454" w:type="dxa"/>
        </w:trPr>
        <w:tc>
          <w:tcPr>
            <w:tcW w:w="1587" w:type="dxa"/>
            <w:shd w:val="clear" w:color="auto" w:fill="auto"/>
            <w:vAlign w:val="center"/>
          </w:tcPr>
          <w:p w14:paraId="124EB64C" w14:textId="77777777" w:rsidR="00676882" w:rsidRDefault="00676882" w:rsidP="00DF45FA">
            <w:pPr>
              <w:pStyle w:val="Tabletext"/>
            </w:pPr>
            <w:r w:rsidRPr="00A8062A">
              <w:t>Replacement</w:t>
            </w:r>
            <w:r>
              <w:t xml:space="preserve"> </w:t>
            </w:r>
            <w:r w:rsidRPr="00A8062A">
              <w:t>Central</w:t>
            </w:r>
            <w:r>
              <w:t xml:space="preserve"> </w:t>
            </w:r>
            <w:r w:rsidRPr="00A8062A">
              <w:t>HP</w:t>
            </w:r>
          </w:p>
        </w:tc>
        <w:tc>
          <w:tcPr>
            <w:tcW w:w="1587" w:type="dxa"/>
            <w:shd w:val="clear" w:color="auto" w:fill="auto"/>
          </w:tcPr>
          <w:p w14:paraId="70B4366E" w14:textId="77777777" w:rsidR="00676882" w:rsidRDefault="00676882" w:rsidP="00DF45FA">
            <w:pPr>
              <w:pStyle w:val="Tabletext"/>
              <w:jc w:val="center"/>
            </w:pPr>
            <w:r w:rsidRPr="00A8062A">
              <w:t>3</w:t>
            </w:r>
          </w:p>
        </w:tc>
        <w:tc>
          <w:tcPr>
            <w:tcW w:w="1587" w:type="dxa"/>
            <w:shd w:val="clear" w:color="auto" w:fill="auto"/>
          </w:tcPr>
          <w:p w14:paraId="4C991C56" w14:textId="77777777" w:rsidR="00676882" w:rsidRDefault="00676882" w:rsidP="00DF45FA">
            <w:pPr>
              <w:pStyle w:val="Tabletext"/>
              <w:jc w:val="center"/>
            </w:pPr>
            <w:r w:rsidRPr="00A8062A">
              <w:t>15%</w:t>
            </w:r>
          </w:p>
        </w:tc>
        <w:tc>
          <w:tcPr>
            <w:tcW w:w="1587" w:type="dxa"/>
            <w:shd w:val="clear" w:color="auto" w:fill="auto"/>
          </w:tcPr>
          <w:p w14:paraId="28E0EB2E" w14:textId="77777777" w:rsidR="00676882" w:rsidRDefault="00676882" w:rsidP="00DF45FA">
            <w:pPr>
              <w:pStyle w:val="Tabletext"/>
              <w:jc w:val="center"/>
            </w:pPr>
            <w:r w:rsidRPr="00A8062A">
              <w:t>0.7</w:t>
            </w:r>
          </w:p>
        </w:tc>
        <w:tc>
          <w:tcPr>
            <w:tcW w:w="1588" w:type="dxa"/>
            <w:shd w:val="clear" w:color="auto" w:fill="auto"/>
            <w:vAlign w:val="center"/>
          </w:tcPr>
          <w:p w14:paraId="57AB18AE" w14:textId="77777777" w:rsidR="00676882" w:rsidRDefault="00676882" w:rsidP="00DF45FA">
            <w:pPr>
              <w:pStyle w:val="Tabletext"/>
            </w:pPr>
            <w:r w:rsidRPr="00A8062A">
              <w:t>Electricity</w:t>
            </w:r>
          </w:p>
        </w:tc>
      </w:tr>
      <w:tr w:rsidR="00676882" w14:paraId="259D34F9" w14:textId="77777777" w:rsidTr="00676882">
        <w:trPr>
          <w:gridBefore w:val="1"/>
          <w:wBefore w:w="454" w:type="dxa"/>
        </w:trPr>
        <w:tc>
          <w:tcPr>
            <w:tcW w:w="1587" w:type="dxa"/>
            <w:tcBorders>
              <w:bottom w:val="single" w:sz="4" w:space="0" w:color="646464"/>
            </w:tcBorders>
            <w:shd w:val="clear" w:color="auto" w:fill="auto"/>
            <w:vAlign w:val="center"/>
          </w:tcPr>
          <w:p w14:paraId="4D51F6B0" w14:textId="77777777" w:rsidR="00676882" w:rsidRDefault="00676882" w:rsidP="00DF45FA">
            <w:pPr>
              <w:pStyle w:val="Tabletext"/>
            </w:pPr>
            <w:r w:rsidRPr="00A8062A">
              <w:t>Replacement</w:t>
            </w:r>
            <w:r>
              <w:t xml:space="preserve"> </w:t>
            </w:r>
            <w:r w:rsidRPr="00A8062A">
              <w:t>Room</w:t>
            </w:r>
            <w:r>
              <w:t xml:space="preserve"> </w:t>
            </w:r>
            <w:r w:rsidRPr="00A8062A">
              <w:t>HP</w:t>
            </w:r>
          </w:p>
        </w:tc>
        <w:tc>
          <w:tcPr>
            <w:tcW w:w="1587" w:type="dxa"/>
            <w:tcBorders>
              <w:bottom w:val="single" w:sz="4" w:space="0" w:color="646464"/>
            </w:tcBorders>
            <w:shd w:val="clear" w:color="auto" w:fill="auto"/>
          </w:tcPr>
          <w:p w14:paraId="5C719A2C" w14:textId="77777777" w:rsidR="00676882" w:rsidRDefault="00676882" w:rsidP="00DF45FA">
            <w:pPr>
              <w:pStyle w:val="Tabletext"/>
              <w:jc w:val="center"/>
            </w:pPr>
            <w:r w:rsidRPr="00A8062A">
              <w:t>3</w:t>
            </w:r>
          </w:p>
        </w:tc>
        <w:tc>
          <w:tcPr>
            <w:tcW w:w="1587" w:type="dxa"/>
            <w:tcBorders>
              <w:bottom w:val="single" w:sz="4" w:space="0" w:color="646464"/>
            </w:tcBorders>
            <w:shd w:val="clear" w:color="auto" w:fill="auto"/>
          </w:tcPr>
          <w:p w14:paraId="0D347AD4" w14:textId="77777777" w:rsidR="00676882" w:rsidRDefault="00676882" w:rsidP="00DF45FA">
            <w:pPr>
              <w:pStyle w:val="Tabletext"/>
              <w:jc w:val="center"/>
            </w:pPr>
            <w:r w:rsidRPr="00A8062A">
              <w:t>0%</w:t>
            </w:r>
          </w:p>
        </w:tc>
        <w:tc>
          <w:tcPr>
            <w:tcW w:w="1587" w:type="dxa"/>
            <w:tcBorders>
              <w:bottom w:val="single" w:sz="4" w:space="0" w:color="646464"/>
            </w:tcBorders>
            <w:shd w:val="clear" w:color="auto" w:fill="auto"/>
          </w:tcPr>
          <w:p w14:paraId="3158DF9F" w14:textId="77777777" w:rsidR="00676882" w:rsidRDefault="00676882" w:rsidP="00DF45FA">
            <w:pPr>
              <w:pStyle w:val="Tabletext"/>
              <w:jc w:val="center"/>
            </w:pPr>
            <w:r w:rsidRPr="00A8062A">
              <w:t>0.3</w:t>
            </w:r>
            <w:r>
              <w:t xml:space="preserve"> </w:t>
            </w:r>
            <w:r w:rsidRPr="00A8062A">
              <w:t>(0.55)</w:t>
            </w:r>
          </w:p>
        </w:tc>
        <w:tc>
          <w:tcPr>
            <w:tcW w:w="1588" w:type="dxa"/>
            <w:tcBorders>
              <w:bottom w:val="single" w:sz="4" w:space="0" w:color="646464"/>
            </w:tcBorders>
            <w:shd w:val="clear" w:color="auto" w:fill="auto"/>
            <w:vAlign w:val="center"/>
          </w:tcPr>
          <w:p w14:paraId="3987B0FA" w14:textId="77777777" w:rsidR="00676882" w:rsidRDefault="00676882" w:rsidP="00DF45FA">
            <w:pPr>
              <w:pStyle w:val="Tabletext"/>
            </w:pPr>
            <w:r w:rsidRPr="00A8062A">
              <w:t>Electricity</w:t>
            </w:r>
          </w:p>
        </w:tc>
      </w:tr>
      <w:tr w:rsidR="00676882" w14:paraId="5FDF90A7" w14:textId="77777777" w:rsidTr="00676882">
        <w:trPr>
          <w:gridBefore w:val="1"/>
          <w:wBefore w:w="454" w:type="dxa"/>
        </w:trPr>
        <w:tc>
          <w:tcPr>
            <w:tcW w:w="1587" w:type="dxa"/>
            <w:tcBorders>
              <w:top w:val="single" w:sz="4" w:space="0" w:color="646464"/>
            </w:tcBorders>
            <w:shd w:val="clear" w:color="auto" w:fill="E4F1F6"/>
            <w:vAlign w:val="center"/>
          </w:tcPr>
          <w:p w14:paraId="1B05F93E" w14:textId="77777777" w:rsidR="00676882" w:rsidRPr="00074099" w:rsidRDefault="00676882" w:rsidP="00DF45FA">
            <w:pPr>
              <w:pStyle w:val="Tabletext"/>
              <w:rPr>
                <w:b/>
                <w:bCs/>
              </w:rPr>
            </w:pPr>
            <w:r w:rsidRPr="00074099">
              <w:rPr>
                <w:b/>
                <w:bCs/>
              </w:rPr>
              <w:lastRenderedPageBreak/>
              <w:t>Cooling</w:t>
            </w:r>
            <w:r>
              <w:rPr>
                <w:b/>
                <w:bCs/>
              </w:rPr>
              <w:t xml:space="preserve"> </w:t>
            </w:r>
            <w:r w:rsidRPr="00074099">
              <w:rPr>
                <w:vertAlign w:val="superscript"/>
              </w:rPr>
              <w:t>a</w:t>
            </w:r>
          </w:p>
        </w:tc>
        <w:tc>
          <w:tcPr>
            <w:tcW w:w="1587" w:type="dxa"/>
            <w:tcBorders>
              <w:top w:val="single" w:sz="4" w:space="0" w:color="646464"/>
            </w:tcBorders>
            <w:shd w:val="clear" w:color="auto" w:fill="E4F1F6"/>
          </w:tcPr>
          <w:p w14:paraId="4F378F9F" w14:textId="77777777" w:rsidR="00676882" w:rsidRDefault="00676882" w:rsidP="00DF45FA">
            <w:pPr>
              <w:pStyle w:val="Tabletext"/>
            </w:pPr>
          </w:p>
        </w:tc>
        <w:tc>
          <w:tcPr>
            <w:tcW w:w="1587" w:type="dxa"/>
            <w:tcBorders>
              <w:top w:val="single" w:sz="4" w:space="0" w:color="646464"/>
            </w:tcBorders>
            <w:shd w:val="clear" w:color="auto" w:fill="E4F1F6"/>
          </w:tcPr>
          <w:p w14:paraId="218DA746" w14:textId="77777777" w:rsidR="00676882" w:rsidRDefault="00676882" w:rsidP="00DF45FA">
            <w:pPr>
              <w:pStyle w:val="Tabletext"/>
            </w:pPr>
          </w:p>
        </w:tc>
        <w:tc>
          <w:tcPr>
            <w:tcW w:w="1587" w:type="dxa"/>
            <w:tcBorders>
              <w:top w:val="single" w:sz="4" w:space="0" w:color="646464"/>
            </w:tcBorders>
            <w:shd w:val="clear" w:color="auto" w:fill="E4F1F6"/>
          </w:tcPr>
          <w:p w14:paraId="5256DA1B" w14:textId="77777777" w:rsidR="00676882" w:rsidRDefault="00676882" w:rsidP="00DF45FA">
            <w:pPr>
              <w:pStyle w:val="Tabletext"/>
            </w:pPr>
          </w:p>
        </w:tc>
        <w:tc>
          <w:tcPr>
            <w:tcW w:w="1588" w:type="dxa"/>
            <w:tcBorders>
              <w:top w:val="single" w:sz="4" w:space="0" w:color="646464"/>
            </w:tcBorders>
            <w:shd w:val="clear" w:color="auto" w:fill="E4F1F6"/>
            <w:vAlign w:val="center"/>
          </w:tcPr>
          <w:p w14:paraId="68FA280E" w14:textId="77777777" w:rsidR="00676882" w:rsidRDefault="00676882" w:rsidP="00DF45FA">
            <w:pPr>
              <w:pStyle w:val="Tabletext"/>
            </w:pPr>
          </w:p>
        </w:tc>
      </w:tr>
      <w:tr w:rsidR="00676882" w14:paraId="432C260E" w14:textId="77777777" w:rsidTr="00DF45FA">
        <w:trPr>
          <w:gridBefore w:val="1"/>
          <w:wBefore w:w="454" w:type="dxa"/>
        </w:trPr>
        <w:tc>
          <w:tcPr>
            <w:tcW w:w="1587" w:type="dxa"/>
            <w:shd w:val="clear" w:color="auto" w:fill="auto"/>
            <w:vAlign w:val="center"/>
          </w:tcPr>
          <w:p w14:paraId="1EBD4244" w14:textId="77777777" w:rsidR="00676882" w:rsidRDefault="00676882" w:rsidP="00DF45FA">
            <w:pPr>
              <w:pStyle w:val="Tabletext"/>
            </w:pPr>
            <w:r w:rsidRPr="003355F3">
              <w:t>No</w:t>
            </w:r>
            <w:r>
              <w:t xml:space="preserve"> </w:t>
            </w:r>
            <w:r w:rsidRPr="003355F3">
              <w:t>cooling</w:t>
            </w:r>
          </w:p>
        </w:tc>
        <w:tc>
          <w:tcPr>
            <w:tcW w:w="1587" w:type="dxa"/>
            <w:shd w:val="clear" w:color="auto" w:fill="auto"/>
          </w:tcPr>
          <w:p w14:paraId="5DA3FE3F" w14:textId="77777777" w:rsidR="00676882" w:rsidRDefault="00676882" w:rsidP="00DF45FA">
            <w:pPr>
              <w:pStyle w:val="Tabletext"/>
              <w:jc w:val="center"/>
            </w:pPr>
            <w:r w:rsidRPr="003355F3">
              <w:t>1</w:t>
            </w:r>
          </w:p>
        </w:tc>
        <w:tc>
          <w:tcPr>
            <w:tcW w:w="1587" w:type="dxa"/>
            <w:shd w:val="clear" w:color="auto" w:fill="auto"/>
          </w:tcPr>
          <w:p w14:paraId="775DA507" w14:textId="77777777" w:rsidR="00676882" w:rsidRDefault="00676882" w:rsidP="00DF45FA">
            <w:pPr>
              <w:pStyle w:val="Tabletext"/>
              <w:jc w:val="center"/>
            </w:pPr>
            <w:r w:rsidRPr="003355F3">
              <w:t>0%</w:t>
            </w:r>
          </w:p>
        </w:tc>
        <w:tc>
          <w:tcPr>
            <w:tcW w:w="1587" w:type="dxa"/>
            <w:shd w:val="clear" w:color="auto" w:fill="auto"/>
          </w:tcPr>
          <w:p w14:paraId="5E90FE31" w14:textId="77777777" w:rsidR="00676882" w:rsidRDefault="00676882" w:rsidP="00DF45FA">
            <w:pPr>
              <w:pStyle w:val="Tabletext"/>
              <w:jc w:val="center"/>
            </w:pPr>
            <w:r w:rsidRPr="003355F3">
              <w:t>0</w:t>
            </w:r>
          </w:p>
        </w:tc>
        <w:tc>
          <w:tcPr>
            <w:tcW w:w="1588" w:type="dxa"/>
            <w:shd w:val="clear" w:color="auto" w:fill="auto"/>
            <w:vAlign w:val="center"/>
          </w:tcPr>
          <w:p w14:paraId="7B74995B" w14:textId="77777777" w:rsidR="00676882" w:rsidRDefault="00676882" w:rsidP="00DF45FA">
            <w:pPr>
              <w:pStyle w:val="Tabletext"/>
            </w:pPr>
            <w:r w:rsidRPr="003355F3">
              <w:t>Electricity</w:t>
            </w:r>
          </w:p>
        </w:tc>
      </w:tr>
      <w:tr w:rsidR="00676882" w14:paraId="72F79141" w14:textId="77777777" w:rsidTr="00DF45FA">
        <w:trPr>
          <w:gridBefore w:val="1"/>
          <w:wBefore w:w="454" w:type="dxa"/>
        </w:trPr>
        <w:tc>
          <w:tcPr>
            <w:tcW w:w="1587" w:type="dxa"/>
            <w:shd w:val="clear" w:color="auto" w:fill="auto"/>
            <w:vAlign w:val="center"/>
          </w:tcPr>
          <w:p w14:paraId="0FBCB371" w14:textId="77777777" w:rsidR="00676882" w:rsidRDefault="00676882" w:rsidP="00DF45FA">
            <w:pPr>
              <w:pStyle w:val="Tabletext"/>
            </w:pPr>
            <w:r w:rsidRPr="003355F3">
              <w:t>Central</w:t>
            </w:r>
            <w:r>
              <w:t xml:space="preserve"> </w:t>
            </w:r>
            <w:r w:rsidRPr="003355F3">
              <w:t>HP</w:t>
            </w:r>
            <w:r>
              <w:t xml:space="preserve"> </w:t>
            </w:r>
            <w:r w:rsidRPr="003355F3">
              <w:t>(Cool)</w:t>
            </w:r>
          </w:p>
        </w:tc>
        <w:tc>
          <w:tcPr>
            <w:tcW w:w="1587" w:type="dxa"/>
            <w:shd w:val="clear" w:color="auto" w:fill="auto"/>
          </w:tcPr>
          <w:p w14:paraId="553CAD0C" w14:textId="77777777" w:rsidR="00676882" w:rsidRDefault="00676882" w:rsidP="00DF45FA">
            <w:pPr>
              <w:pStyle w:val="Tabletext"/>
              <w:jc w:val="center"/>
            </w:pPr>
            <w:r w:rsidRPr="003355F3">
              <w:t>4.116</w:t>
            </w:r>
          </w:p>
        </w:tc>
        <w:tc>
          <w:tcPr>
            <w:tcW w:w="1587" w:type="dxa"/>
            <w:shd w:val="clear" w:color="auto" w:fill="auto"/>
          </w:tcPr>
          <w:p w14:paraId="13C78BA4" w14:textId="77777777" w:rsidR="00676882" w:rsidRDefault="00676882" w:rsidP="00DF45FA">
            <w:pPr>
              <w:pStyle w:val="Tabletext"/>
              <w:jc w:val="center"/>
            </w:pPr>
            <w:r w:rsidRPr="003355F3">
              <w:t>20%</w:t>
            </w:r>
          </w:p>
        </w:tc>
        <w:tc>
          <w:tcPr>
            <w:tcW w:w="1587" w:type="dxa"/>
            <w:shd w:val="clear" w:color="auto" w:fill="auto"/>
          </w:tcPr>
          <w:p w14:paraId="6944C3BB" w14:textId="77777777" w:rsidR="00676882" w:rsidRDefault="00676882" w:rsidP="00DF45FA">
            <w:pPr>
              <w:pStyle w:val="Tabletext"/>
              <w:jc w:val="center"/>
            </w:pPr>
            <w:r w:rsidRPr="003355F3">
              <w:t>0.7</w:t>
            </w:r>
          </w:p>
        </w:tc>
        <w:tc>
          <w:tcPr>
            <w:tcW w:w="1588" w:type="dxa"/>
            <w:shd w:val="clear" w:color="auto" w:fill="auto"/>
            <w:vAlign w:val="center"/>
          </w:tcPr>
          <w:p w14:paraId="0E15BCC5" w14:textId="77777777" w:rsidR="00676882" w:rsidRDefault="00676882" w:rsidP="00DF45FA">
            <w:pPr>
              <w:pStyle w:val="Tabletext"/>
            </w:pPr>
            <w:r w:rsidRPr="003355F3">
              <w:t>Electricity</w:t>
            </w:r>
          </w:p>
        </w:tc>
      </w:tr>
      <w:tr w:rsidR="00676882" w14:paraId="49A626DD" w14:textId="77777777" w:rsidTr="00DF45FA">
        <w:trPr>
          <w:gridBefore w:val="1"/>
          <w:wBefore w:w="454" w:type="dxa"/>
        </w:trPr>
        <w:tc>
          <w:tcPr>
            <w:tcW w:w="1587" w:type="dxa"/>
            <w:shd w:val="clear" w:color="auto" w:fill="auto"/>
            <w:vAlign w:val="center"/>
          </w:tcPr>
          <w:p w14:paraId="1E8C5397" w14:textId="77777777" w:rsidR="00676882" w:rsidRDefault="00676882" w:rsidP="00DF45FA">
            <w:pPr>
              <w:pStyle w:val="Tabletext"/>
            </w:pPr>
            <w:r w:rsidRPr="003355F3">
              <w:t>Central</w:t>
            </w:r>
            <w:r>
              <w:t xml:space="preserve"> </w:t>
            </w:r>
            <w:r w:rsidRPr="003355F3">
              <w:t>evaporative</w:t>
            </w:r>
          </w:p>
        </w:tc>
        <w:tc>
          <w:tcPr>
            <w:tcW w:w="1587" w:type="dxa"/>
            <w:shd w:val="clear" w:color="auto" w:fill="auto"/>
          </w:tcPr>
          <w:p w14:paraId="086F8DC4" w14:textId="77777777" w:rsidR="00676882" w:rsidRDefault="00676882" w:rsidP="00DF45FA">
            <w:pPr>
              <w:pStyle w:val="Tabletext"/>
              <w:jc w:val="center"/>
            </w:pPr>
            <w:r w:rsidRPr="003355F3">
              <w:t>15</w:t>
            </w:r>
          </w:p>
        </w:tc>
        <w:tc>
          <w:tcPr>
            <w:tcW w:w="1587" w:type="dxa"/>
            <w:shd w:val="clear" w:color="auto" w:fill="auto"/>
          </w:tcPr>
          <w:p w14:paraId="3A9E5DBD" w14:textId="77777777" w:rsidR="00676882" w:rsidRDefault="00676882" w:rsidP="00DF45FA">
            <w:pPr>
              <w:pStyle w:val="Tabletext"/>
              <w:jc w:val="center"/>
            </w:pPr>
            <w:r w:rsidRPr="003355F3">
              <w:t>20%</w:t>
            </w:r>
          </w:p>
        </w:tc>
        <w:tc>
          <w:tcPr>
            <w:tcW w:w="1587" w:type="dxa"/>
            <w:shd w:val="clear" w:color="auto" w:fill="auto"/>
          </w:tcPr>
          <w:p w14:paraId="687EE4B7" w14:textId="77777777" w:rsidR="00676882" w:rsidRDefault="00676882" w:rsidP="00DF45FA">
            <w:pPr>
              <w:pStyle w:val="Tabletext"/>
              <w:jc w:val="center"/>
            </w:pPr>
            <w:r w:rsidRPr="003355F3">
              <w:t>0.9</w:t>
            </w:r>
          </w:p>
        </w:tc>
        <w:tc>
          <w:tcPr>
            <w:tcW w:w="1588" w:type="dxa"/>
            <w:shd w:val="clear" w:color="auto" w:fill="auto"/>
            <w:vAlign w:val="center"/>
          </w:tcPr>
          <w:p w14:paraId="67191E24" w14:textId="77777777" w:rsidR="00676882" w:rsidRDefault="00676882" w:rsidP="00DF45FA">
            <w:pPr>
              <w:pStyle w:val="Tabletext"/>
            </w:pPr>
            <w:r w:rsidRPr="003355F3">
              <w:t>Electricity</w:t>
            </w:r>
          </w:p>
        </w:tc>
      </w:tr>
      <w:tr w:rsidR="00676882" w14:paraId="4D3E1736" w14:textId="77777777" w:rsidTr="00DF45FA">
        <w:trPr>
          <w:gridBefore w:val="1"/>
          <w:wBefore w:w="454" w:type="dxa"/>
        </w:trPr>
        <w:tc>
          <w:tcPr>
            <w:tcW w:w="1587" w:type="dxa"/>
            <w:shd w:val="clear" w:color="auto" w:fill="auto"/>
            <w:vAlign w:val="center"/>
          </w:tcPr>
          <w:p w14:paraId="062DD9AF" w14:textId="77777777" w:rsidR="00676882" w:rsidRDefault="00676882" w:rsidP="00DF45FA">
            <w:pPr>
              <w:pStyle w:val="Tabletext"/>
            </w:pPr>
            <w:r w:rsidRPr="003355F3">
              <w:t>Room</w:t>
            </w:r>
            <w:r>
              <w:t xml:space="preserve"> </w:t>
            </w:r>
            <w:r w:rsidRPr="003355F3">
              <w:t>HP</w:t>
            </w:r>
            <w:r>
              <w:t xml:space="preserve"> </w:t>
            </w:r>
            <w:r w:rsidRPr="003355F3">
              <w:t>(Cool)</w:t>
            </w:r>
          </w:p>
        </w:tc>
        <w:tc>
          <w:tcPr>
            <w:tcW w:w="1587" w:type="dxa"/>
            <w:shd w:val="clear" w:color="auto" w:fill="auto"/>
          </w:tcPr>
          <w:p w14:paraId="2804C98B" w14:textId="77777777" w:rsidR="00676882" w:rsidRDefault="00676882" w:rsidP="00DF45FA">
            <w:pPr>
              <w:pStyle w:val="Tabletext"/>
              <w:jc w:val="center"/>
            </w:pPr>
            <w:r w:rsidRPr="003355F3">
              <w:t>4.466</w:t>
            </w:r>
          </w:p>
        </w:tc>
        <w:tc>
          <w:tcPr>
            <w:tcW w:w="1587" w:type="dxa"/>
            <w:shd w:val="clear" w:color="auto" w:fill="auto"/>
          </w:tcPr>
          <w:p w14:paraId="5AB4B176" w14:textId="77777777" w:rsidR="00676882" w:rsidRDefault="00676882" w:rsidP="00DF45FA">
            <w:pPr>
              <w:pStyle w:val="Tabletext"/>
              <w:jc w:val="center"/>
            </w:pPr>
            <w:r w:rsidRPr="003355F3">
              <w:t>0%</w:t>
            </w:r>
          </w:p>
        </w:tc>
        <w:tc>
          <w:tcPr>
            <w:tcW w:w="1587" w:type="dxa"/>
            <w:shd w:val="clear" w:color="auto" w:fill="auto"/>
          </w:tcPr>
          <w:p w14:paraId="6108DF25" w14:textId="77777777" w:rsidR="00676882" w:rsidRDefault="00676882" w:rsidP="00DF45FA">
            <w:pPr>
              <w:pStyle w:val="Tabletext"/>
              <w:jc w:val="center"/>
            </w:pPr>
            <w:r w:rsidRPr="003355F3">
              <w:t>0.3</w:t>
            </w:r>
            <w:r>
              <w:t xml:space="preserve"> </w:t>
            </w:r>
            <w:r w:rsidRPr="003355F3">
              <w:t>(0.55)</w:t>
            </w:r>
          </w:p>
        </w:tc>
        <w:tc>
          <w:tcPr>
            <w:tcW w:w="1588" w:type="dxa"/>
            <w:shd w:val="clear" w:color="auto" w:fill="auto"/>
            <w:vAlign w:val="center"/>
          </w:tcPr>
          <w:p w14:paraId="2C658222" w14:textId="77777777" w:rsidR="00676882" w:rsidRDefault="00676882" w:rsidP="00DF45FA">
            <w:pPr>
              <w:pStyle w:val="Tabletext"/>
            </w:pPr>
            <w:r w:rsidRPr="003355F3">
              <w:t>Electricity</w:t>
            </w:r>
          </w:p>
        </w:tc>
      </w:tr>
      <w:tr w:rsidR="00676882" w14:paraId="07D5A7C9" w14:textId="77777777" w:rsidTr="00DF45FA">
        <w:trPr>
          <w:gridBefore w:val="1"/>
          <w:wBefore w:w="454" w:type="dxa"/>
        </w:trPr>
        <w:tc>
          <w:tcPr>
            <w:tcW w:w="7936" w:type="dxa"/>
            <w:gridSpan w:val="5"/>
            <w:tcBorders>
              <w:bottom w:val="single" w:sz="4" w:space="0" w:color="646464"/>
            </w:tcBorders>
            <w:shd w:val="clear" w:color="auto" w:fill="auto"/>
          </w:tcPr>
          <w:p w14:paraId="620D49AF" w14:textId="77777777" w:rsidR="00676882" w:rsidRDefault="00676882" w:rsidP="00DF45FA">
            <w:pPr>
              <w:pStyle w:val="Note"/>
            </w:pPr>
            <w:r w:rsidRPr="00074099">
              <w:rPr>
                <w:rStyle w:val="Notelabel"/>
              </w:rPr>
              <w:t>a</w:t>
            </w:r>
            <w:r>
              <w:rPr>
                <w:rStyle w:val="Notelabel"/>
              </w:rPr>
              <w:t xml:space="preserve"> </w:t>
            </w:r>
            <w:r w:rsidRPr="00827462">
              <w:rPr>
                <w:iCs/>
              </w:rPr>
              <w:t>Cooling</w:t>
            </w:r>
            <w:r>
              <w:rPr>
                <w:iCs/>
              </w:rPr>
              <w:t xml:space="preserve"> </w:t>
            </w:r>
            <w:r w:rsidRPr="00827462">
              <w:rPr>
                <w:iCs/>
              </w:rPr>
              <w:t>data</w:t>
            </w:r>
            <w:r>
              <w:rPr>
                <w:iCs/>
              </w:rPr>
              <w:t xml:space="preserve"> </w:t>
            </w:r>
            <w:r w:rsidRPr="00827462">
              <w:rPr>
                <w:iCs/>
              </w:rPr>
              <w:t>is</w:t>
            </w:r>
            <w:r>
              <w:rPr>
                <w:iCs/>
              </w:rPr>
              <w:t xml:space="preserve"> </w:t>
            </w:r>
            <w:r w:rsidRPr="00827462">
              <w:rPr>
                <w:iCs/>
              </w:rPr>
              <w:t>included</w:t>
            </w:r>
            <w:r>
              <w:rPr>
                <w:iCs/>
              </w:rPr>
              <w:t xml:space="preserve"> </w:t>
            </w:r>
            <w:r w:rsidRPr="00827462">
              <w:rPr>
                <w:iCs/>
              </w:rPr>
              <w:t>in</w:t>
            </w:r>
            <w:r>
              <w:rPr>
                <w:iCs/>
              </w:rPr>
              <w:t xml:space="preserve"> </w:t>
            </w:r>
            <w:r w:rsidRPr="00827462">
              <w:rPr>
                <w:iCs/>
              </w:rPr>
              <w:t>this</w:t>
            </w:r>
            <w:r>
              <w:rPr>
                <w:iCs/>
              </w:rPr>
              <w:t xml:space="preserve"> </w:t>
            </w:r>
            <w:proofErr w:type="gramStart"/>
            <w:r w:rsidRPr="00827462">
              <w:rPr>
                <w:iCs/>
              </w:rPr>
              <w:t>table,</w:t>
            </w:r>
            <w:proofErr w:type="gramEnd"/>
            <w:r>
              <w:rPr>
                <w:iCs/>
              </w:rPr>
              <w:t xml:space="preserve"> </w:t>
            </w:r>
            <w:r w:rsidRPr="00827462">
              <w:rPr>
                <w:iCs/>
              </w:rPr>
              <w:t>however</w:t>
            </w:r>
            <w:r>
              <w:rPr>
                <w:iCs/>
              </w:rPr>
              <w:t xml:space="preserve">, </w:t>
            </w:r>
            <w:r w:rsidRPr="00827462">
              <w:rPr>
                <w:iCs/>
              </w:rPr>
              <w:t>it</w:t>
            </w:r>
            <w:r>
              <w:rPr>
                <w:iCs/>
              </w:rPr>
              <w:t xml:space="preserve"> </w:t>
            </w:r>
            <w:r w:rsidRPr="00827462">
              <w:rPr>
                <w:iCs/>
              </w:rPr>
              <w:t>is</w:t>
            </w:r>
            <w:r>
              <w:rPr>
                <w:iCs/>
              </w:rPr>
              <w:t xml:space="preserve"> </w:t>
            </w:r>
            <w:r w:rsidRPr="00827462">
              <w:rPr>
                <w:iCs/>
              </w:rPr>
              <w:t>not</w:t>
            </w:r>
            <w:r>
              <w:rPr>
                <w:iCs/>
              </w:rPr>
              <w:t xml:space="preserve"> </w:t>
            </w:r>
            <w:r w:rsidRPr="00827462">
              <w:rPr>
                <w:iCs/>
              </w:rPr>
              <w:t>used</w:t>
            </w:r>
            <w:r>
              <w:rPr>
                <w:iCs/>
              </w:rPr>
              <w:t xml:space="preserve"> </w:t>
            </w:r>
            <w:r w:rsidRPr="00827462">
              <w:rPr>
                <w:iCs/>
              </w:rPr>
              <w:t>in</w:t>
            </w:r>
            <w:r>
              <w:rPr>
                <w:iCs/>
              </w:rPr>
              <w:t xml:space="preserve"> </w:t>
            </w:r>
            <w:r w:rsidRPr="00827462">
              <w:rPr>
                <w:iCs/>
              </w:rPr>
              <w:t>the</w:t>
            </w:r>
            <w:r>
              <w:rPr>
                <w:iCs/>
              </w:rPr>
              <w:t xml:space="preserve"> </w:t>
            </w:r>
            <w:r w:rsidRPr="00827462">
              <w:rPr>
                <w:iCs/>
              </w:rPr>
              <w:t>heating</w:t>
            </w:r>
            <w:r>
              <w:rPr>
                <w:iCs/>
              </w:rPr>
              <w:t xml:space="preserve"> </w:t>
            </w:r>
            <w:r w:rsidRPr="00827462">
              <w:rPr>
                <w:iCs/>
              </w:rPr>
              <w:t>activity</w:t>
            </w:r>
            <w:r>
              <w:rPr>
                <w:iCs/>
              </w:rPr>
              <w:t xml:space="preserve"> </w:t>
            </w:r>
            <w:r w:rsidRPr="00827462">
              <w:rPr>
                <w:iCs/>
              </w:rPr>
              <w:t>calculations.</w:t>
            </w:r>
            <w:r>
              <w:rPr>
                <w:iCs/>
              </w:rPr>
              <w:t xml:space="preserve"> </w:t>
            </w:r>
            <w:r w:rsidRPr="00827462">
              <w:rPr>
                <w:iCs/>
              </w:rPr>
              <w:t>Cooling</w:t>
            </w:r>
            <w:r>
              <w:rPr>
                <w:iCs/>
              </w:rPr>
              <w:t xml:space="preserve"> </w:t>
            </w:r>
            <w:r w:rsidRPr="00827462">
              <w:rPr>
                <w:iCs/>
              </w:rPr>
              <w:t>data</w:t>
            </w:r>
            <w:r>
              <w:rPr>
                <w:iCs/>
              </w:rPr>
              <w:t xml:space="preserve"> </w:t>
            </w:r>
            <w:r w:rsidRPr="00827462">
              <w:rPr>
                <w:iCs/>
              </w:rPr>
              <w:t>is</w:t>
            </w:r>
            <w:r>
              <w:rPr>
                <w:iCs/>
              </w:rPr>
              <w:t xml:space="preserve"> </w:t>
            </w:r>
            <w:r w:rsidRPr="00827462">
              <w:rPr>
                <w:iCs/>
              </w:rPr>
              <w:t>however</w:t>
            </w:r>
            <w:r>
              <w:rPr>
                <w:iCs/>
              </w:rPr>
              <w:t xml:space="preserve"> </w:t>
            </w:r>
            <w:r w:rsidRPr="00827462">
              <w:rPr>
                <w:iCs/>
              </w:rPr>
              <w:t>used</w:t>
            </w:r>
            <w:r>
              <w:rPr>
                <w:iCs/>
              </w:rPr>
              <w:t xml:space="preserve"> </w:t>
            </w:r>
            <w:r w:rsidRPr="00827462">
              <w:rPr>
                <w:iCs/>
              </w:rPr>
              <w:t>in</w:t>
            </w:r>
            <w:r>
              <w:rPr>
                <w:iCs/>
              </w:rPr>
              <w:t xml:space="preserve"> </w:t>
            </w:r>
            <w:r w:rsidRPr="00827462">
              <w:rPr>
                <w:iCs/>
              </w:rPr>
              <w:t>relation</w:t>
            </w:r>
            <w:r>
              <w:rPr>
                <w:iCs/>
              </w:rPr>
              <w:t xml:space="preserve"> </w:t>
            </w:r>
            <w:r w:rsidRPr="00827462">
              <w:rPr>
                <w:iCs/>
              </w:rPr>
              <w:t>to</w:t>
            </w:r>
            <w:r>
              <w:rPr>
                <w:iCs/>
              </w:rPr>
              <w:t xml:space="preserve"> </w:t>
            </w:r>
            <w:r w:rsidRPr="00827462">
              <w:rPr>
                <w:iCs/>
              </w:rPr>
              <w:t>the</w:t>
            </w:r>
            <w:r>
              <w:rPr>
                <w:iCs/>
              </w:rPr>
              <w:t xml:space="preserve"> </w:t>
            </w:r>
            <w:r w:rsidRPr="00827462">
              <w:rPr>
                <w:iCs/>
              </w:rPr>
              <w:t>insulation</w:t>
            </w:r>
            <w:r>
              <w:rPr>
                <w:iCs/>
              </w:rPr>
              <w:t xml:space="preserve"> </w:t>
            </w:r>
            <w:r w:rsidRPr="00827462">
              <w:rPr>
                <w:iCs/>
              </w:rPr>
              <w:t>activity</w:t>
            </w:r>
            <w:r>
              <w:rPr>
                <w:iCs/>
              </w:rPr>
              <w:t xml:space="preserve"> </w:t>
            </w:r>
            <w:r w:rsidRPr="00827462">
              <w:rPr>
                <w:iCs/>
              </w:rPr>
              <w:t>and</w:t>
            </w:r>
            <w:r>
              <w:rPr>
                <w:iCs/>
              </w:rPr>
              <w:t xml:space="preserve"> </w:t>
            </w:r>
            <w:r w:rsidRPr="00827462">
              <w:rPr>
                <w:iCs/>
              </w:rPr>
              <w:t>is</w:t>
            </w:r>
            <w:r>
              <w:rPr>
                <w:iCs/>
              </w:rPr>
              <w:t xml:space="preserve"> </w:t>
            </w:r>
            <w:r w:rsidRPr="00827462">
              <w:rPr>
                <w:iCs/>
              </w:rPr>
              <w:t>therefore</w:t>
            </w:r>
            <w:r>
              <w:rPr>
                <w:iCs/>
              </w:rPr>
              <w:t xml:space="preserve"> </w:t>
            </w:r>
            <w:r w:rsidRPr="00827462">
              <w:rPr>
                <w:iCs/>
              </w:rPr>
              <w:t>relevant</w:t>
            </w:r>
            <w:r>
              <w:rPr>
                <w:iCs/>
              </w:rPr>
              <w:t xml:space="preserve"> </w:t>
            </w:r>
            <w:r w:rsidRPr="00827462">
              <w:rPr>
                <w:iCs/>
              </w:rPr>
              <w:t>in</w:t>
            </w:r>
            <w:r>
              <w:rPr>
                <w:iCs/>
              </w:rPr>
              <w:t xml:space="preserve"> </w:t>
            </w:r>
            <w:r w:rsidRPr="00827462">
              <w:rPr>
                <w:iCs/>
              </w:rPr>
              <w:t>respect</w:t>
            </w:r>
            <w:r>
              <w:rPr>
                <w:iCs/>
              </w:rPr>
              <w:t xml:space="preserve"> </w:t>
            </w:r>
            <w:r w:rsidRPr="00827462">
              <w:rPr>
                <w:iCs/>
              </w:rPr>
              <w:t>of</w:t>
            </w:r>
            <w:r>
              <w:rPr>
                <w:iCs/>
              </w:rPr>
              <w:t xml:space="preserve"> </w:t>
            </w:r>
            <w:r w:rsidRPr="00827462">
              <w:rPr>
                <w:iCs/>
              </w:rPr>
              <w:t>that</w:t>
            </w:r>
            <w:r>
              <w:rPr>
                <w:iCs/>
              </w:rPr>
              <w:t xml:space="preserve"> </w:t>
            </w:r>
            <w:r w:rsidRPr="00827462">
              <w:rPr>
                <w:iCs/>
              </w:rPr>
              <w:t>activity</w:t>
            </w:r>
            <w:r>
              <w:rPr>
                <w:iCs/>
              </w:rPr>
              <w:t xml:space="preserve"> </w:t>
            </w:r>
            <w:r w:rsidRPr="00827462">
              <w:rPr>
                <w:iCs/>
              </w:rPr>
              <w:t>– see</w:t>
            </w:r>
            <w:r>
              <w:rPr>
                <w:iCs/>
              </w:rPr>
              <w:t xml:space="preserve"> </w:t>
            </w:r>
            <w:r>
              <w:rPr>
                <w:i/>
                <w:iCs/>
              </w:rPr>
              <w:t xml:space="preserve">appendix section </w:t>
            </w:r>
            <w:r w:rsidRPr="009E4AB1">
              <w:fldChar w:fldCharType="begin"/>
            </w:r>
            <w:r w:rsidRPr="009E4AB1">
              <w:instrText xml:space="preserve"> REF _Ref76305970 \r \h  \* MERGEFORMAT </w:instrText>
            </w:r>
            <w:r w:rsidRPr="009E4AB1">
              <w:fldChar w:fldCharType="separate"/>
            </w:r>
            <w:r>
              <w:t>C.3</w:t>
            </w:r>
            <w:r w:rsidRPr="009E4AB1">
              <w:fldChar w:fldCharType="end"/>
            </w:r>
            <w:r w:rsidRPr="00827462">
              <w:rPr>
                <w:iCs/>
              </w:rPr>
              <w:t>.</w:t>
            </w:r>
          </w:p>
          <w:p w14:paraId="32D09AF6" w14:textId="77777777" w:rsidR="00676882" w:rsidRDefault="00676882" w:rsidP="00DF45FA">
            <w:pPr>
              <w:pStyle w:val="Source"/>
            </w:pPr>
            <w:r>
              <w:t>Source: Energy Efficient Strategies</w:t>
            </w:r>
          </w:p>
        </w:tc>
      </w:tr>
      <w:tr w:rsidR="00676882" w14:paraId="52D3AC90" w14:textId="77777777" w:rsidTr="00DF45FA">
        <w:trPr>
          <w:gridBefore w:val="1"/>
          <w:wBefore w:w="454" w:type="dxa"/>
          <w:trHeight w:hRule="exact" w:val="160"/>
        </w:trPr>
        <w:tc>
          <w:tcPr>
            <w:tcW w:w="7936" w:type="dxa"/>
            <w:gridSpan w:val="5"/>
            <w:tcBorders>
              <w:top w:val="single" w:sz="4" w:space="0" w:color="646464"/>
              <w:bottom w:val="nil"/>
            </w:tcBorders>
            <w:shd w:val="clear" w:color="auto" w:fill="auto"/>
          </w:tcPr>
          <w:p w14:paraId="2A928A62" w14:textId="77777777" w:rsidR="00676882" w:rsidRDefault="00676882" w:rsidP="00DF45FA">
            <w:pPr>
              <w:pStyle w:val="spacer"/>
            </w:pPr>
          </w:p>
        </w:tc>
      </w:tr>
    </w:tbl>
    <w:p w14:paraId="1D8FFDC9" w14:textId="77777777" w:rsidR="00676882" w:rsidRDefault="00676882" w:rsidP="00676882">
      <w:pPr>
        <w:pStyle w:val="BodyText"/>
        <w:rPr>
          <w:rFonts w:asciiTheme="minorHAnsi" w:hAnsiTheme="minorHAnsi" w:cstheme="minorBidi"/>
        </w:rPr>
      </w:pPr>
      <w:r>
        <w:t>Notes Regarding the above tables:</w:t>
      </w:r>
    </w:p>
    <w:p w14:paraId="3807C9F5" w14:textId="77777777" w:rsidR="00676882" w:rsidRDefault="00676882" w:rsidP="00676882">
      <w:pPr>
        <w:pStyle w:val="ListNumber"/>
        <w:numPr>
          <w:ilvl w:val="0"/>
          <w:numId w:val="58"/>
        </w:numPr>
      </w:pPr>
      <w:r>
        <w:t xml:space="preserve">The performance assumptions relating to heating and cooling equipment stock (excluding </w:t>
      </w:r>
      <w:proofErr w:type="gramStart"/>
      <w:r>
        <w:t>20 year old</w:t>
      </w:r>
      <w:proofErr w:type="gramEnd"/>
      <w:r>
        <w:t xml:space="preserve"> stock) match those assumed in the EEIS scheme except that in the case of heat pumps the performance assumptions have been downgraded (approximately 80 per cent) to reflect more accurately the expected performance when rated according to the GEMS 2019 determination that applies seasonal rating principles. In the case of cooling performance, the performance assumptions have been upgraded (approximately 140 per cent) to reflect more accurately the expected performance when rated according to the GEMS 2019 determination that applies seasonal rating principles.</w:t>
      </w:r>
    </w:p>
    <w:p w14:paraId="1DDB8FDA" w14:textId="77777777" w:rsidR="00676882" w:rsidRDefault="00676882" w:rsidP="00676882">
      <w:pPr>
        <w:pStyle w:val="ListNumber"/>
      </w:pPr>
      <w:r>
        <w:t>Heat pump, gas and firewood heating equipment of 20 years of age is assumed to have a performance level of 10 per cent worse than the general stock. There is no expected degradation in the performance of resistance electric type heating equipment.</w:t>
      </w:r>
    </w:p>
    <w:p w14:paraId="0B2A5B7D" w14:textId="77777777" w:rsidR="00676882" w:rsidRDefault="00676882" w:rsidP="00676882">
      <w:pPr>
        <w:pStyle w:val="ListNumber"/>
      </w:pPr>
      <w:r>
        <w:t xml:space="preserve">Duct losses have been assumed to be 20 per cent for the general stock and 30 per cent for </w:t>
      </w:r>
      <w:proofErr w:type="gramStart"/>
      <w:r>
        <w:t>20 year old</w:t>
      </w:r>
      <w:proofErr w:type="gramEnd"/>
      <w:r>
        <w:t xml:space="preserve"> stock (the EEIS scheme assumed 25 per cent for all existing stock). New equipment entering the stock is subject to minimum performance requirements under the NCC 2019 and as such is expected to suffer losses of only 15 per cent.</w:t>
      </w:r>
    </w:p>
    <w:p w14:paraId="73049436" w14:textId="77777777" w:rsidR="00676882" w:rsidRDefault="00676882" w:rsidP="00676882">
      <w:pPr>
        <w:pStyle w:val="ListNumber"/>
      </w:pPr>
      <w:r>
        <w:t>Zoning constraints account for the fact that capacity limits associated with some heater types (</w:t>
      </w:r>
      <w:proofErr w:type="gramStart"/>
      <w:r>
        <w:t>particular room</w:t>
      </w:r>
      <w:proofErr w:type="gramEnd"/>
      <w:r>
        <w:t xml:space="preserve"> type heaters as distinct from central type heaters) mean that not all of the dwelling can be heated. In the case of central heating a maximum of 70 per cent of the dwelling is assumed to be heated with some utility, service and corridor areas assumed to be excluded.</w:t>
      </w:r>
    </w:p>
    <w:p w14:paraId="11B6D89A" w14:textId="77777777" w:rsidR="00676882" w:rsidRDefault="00676882" w:rsidP="00676882">
      <w:pPr>
        <w:pStyle w:val="Heading3AP"/>
      </w:pPr>
      <w:r>
        <w:t>Costs</w:t>
      </w:r>
    </w:p>
    <w:p w14:paraId="2EA03E86" w14:textId="77777777" w:rsidR="00676882" w:rsidRDefault="00676882" w:rsidP="00676882">
      <w:pPr>
        <w:rPr>
          <w:rFonts w:asciiTheme="minorHAnsi" w:hAnsiTheme="minorHAnsi" w:cstheme="minorBidi"/>
        </w:rPr>
      </w:pPr>
      <w:r>
        <w:t xml:space="preserve">No comprehensive survey data was readily available for the cost of supply and install of heating equipment in the ACT. Reference was instead made to the Sustainability Victoria Zero Net Carbon model study </w:t>
      </w:r>
      <w:sdt>
        <w:sdtPr>
          <w:id w:val="1498847910"/>
          <w:citation/>
        </w:sdtPr>
        <w:sdtContent>
          <w:r>
            <w:fldChar w:fldCharType="begin"/>
          </w:r>
          <w:r>
            <w:instrText xml:space="preserve"> CITATION Sus211 \l 3081 </w:instrText>
          </w:r>
          <w:r>
            <w:fldChar w:fldCharType="separate"/>
          </w:r>
          <w:r>
            <w:rPr>
              <w:noProof/>
            </w:rPr>
            <w:t>(Sustainability Victoria, 2021)</w:t>
          </w:r>
          <w:r>
            <w:fldChar w:fldCharType="end"/>
          </w:r>
        </w:sdtContent>
      </w:sdt>
      <w:r>
        <w:t xml:space="preserve"> that surveyed a space conditioning equipment supply and install companies to estimate costs across the range of space conditioning equipment as well as across a range of efficiency levels (noting that some space conditioning equipment only comes in a single efficiency level (e.g. resistance electric heating).</w:t>
      </w:r>
    </w:p>
    <w:p w14:paraId="548B6575" w14:textId="77777777" w:rsidR="00676882" w:rsidRDefault="00676882" w:rsidP="00676882">
      <w:r>
        <w:t xml:space="preserve">The results of that analysis are detailed in the </w:t>
      </w:r>
      <w:r w:rsidRPr="00074099">
        <w:t>following</w:t>
      </w:r>
      <w:r>
        <w:t xml:space="preserve"> </w:t>
      </w:r>
      <w:r w:rsidRPr="00074099">
        <w:t>charts</w:t>
      </w:r>
      <w:r>
        <w:t xml:space="preserve"> </w:t>
      </w:r>
      <w:r w:rsidRPr="00074099">
        <w:t>(see</w:t>
      </w:r>
      <w:r>
        <w:t xml:space="preserve"> </w:t>
      </w:r>
      <w:r w:rsidRPr="009E4AB1">
        <w:fldChar w:fldCharType="begin"/>
      </w:r>
      <w:r w:rsidRPr="009E4AB1">
        <w:instrText xml:space="preserve"> REF _Ref80699671 \h  \* MERGEFORMAT </w:instrText>
      </w:r>
      <w:r w:rsidRPr="009E4AB1">
        <w:fldChar w:fldCharType="separate"/>
      </w:r>
      <w:r w:rsidRPr="00F32FCC">
        <w:t>Figure C.3</w:t>
      </w:r>
      <w:r w:rsidRPr="009E4AB1">
        <w:fldChar w:fldCharType="end"/>
      </w:r>
      <w:r w:rsidRPr="00074099">
        <w:t>,</w:t>
      </w:r>
      <w:r>
        <w:t xml:space="preserve"> </w:t>
      </w:r>
      <w:r w:rsidRPr="009E4AB1">
        <w:fldChar w:fldCharType="begin"/>
      </w:r>
      <w:r w:rsidRPr="009E4AB1">
        <w:instrText xml:space="preserve"> REF _Ref80699675 \h  \* MERGEFORMAT </w:instrText>
      </w:r>
      <w:r w:rsidRPr="009E4AB1">
        <w:fldChar w:fldCharType="separate"/>
      </w:r>
      <w:r w:rsidRPr="00F32FCC">
        <w:t>Figure C.4</w:t>
      </w:r>
      <w:r w:rsidRPr="009E4AB1">
        <w:fldChar w:fldCharType="end"/>
      </w:r>
      <w:r w:rsidRPr="00074099">
        <w:t>,</w:t>
      </w:r>
      <w:r>
        <w:t xml:space="preserve"> </w:t>
      </w:r>
      <w:r w:rsidRPr="009E4AB1">
        <w:fldChar w:fldCharType="begin"/>
      </w:r>
      <w:r w:rsidRPr="009E4AB1">
        <w:instrText xml:space="preserve"> REF _Ref80699681 \h  \* MERGEFORMAT </w:instrText>
      </w:r>
      <w:r w:rsidRPr="009E4AB1">
        <w:fldChar w:fldCharType="separate"/>
      </w:r>
      <w:r w:rsidRPr="00F32FCC">
        <w:t>Figure C.5</w:t>
      </w:r>
      <w:r w:rsidRPr="009E4AB1">
        <w:fldChar w:fldCharType="end"/>
      </w:r>
      <w:r w:rsidRPr="00074099">
        <w:t xml:space="preserve"> &amp; </w:t>
      </w:r>
      <w:r w:rsidRPr="009E4AB1">
        <w:fldChar w:fldCharType="begin"/>
      </w:r>
      <w:r w:rsidRPr="009E4AB1">
        <w:instrText xml:space="preserve"> REF _Ref80699687 \h  \* MERGEFORMAT </w:instrText>
      </w:r>
      <w:r w:rsidRPr="009E4AB1">
        <w:fldChar w:fldCharType="separate"/>
      </w:r>
      <w:r w:rsidRPr="00F32FCC">
        <w:t>Figure C.6</w:t>
      </w:r>
      <w:r w:rsidRPr="009E4AB1">
        <w:fldChar w:fldCharType="end"/>
      </w:r>
      <w:r w:rsidRPr="00074099">
        <w:t>) that</w:t>
      </w:r>
      <w:r>
        <w:t xml:space="preserve"> </w:t>
      </w:r>
      <w:r w:rsidRPr="00074099">
        <w:t>include</w:t>
      </w:r>
      <w:r>
        <w:t xml:space="preserve"> </w:t>
      </w:r>
      <w:r w:rsidRPr="00074099">
        <w:t>the</w:t>
      </w:r>
      <w:r>
        <w:t xml:space="preserve"> </w:t>
      </w:r>
      <w:r w:rsidRPr="00074099">
        <w:t>specifications</w:t>
      </w:r>
      <w:r>
        <w:t xml:space="preserve"> </w:t>
      </w:r>
      <w:r w:rsidRPr="00074099">
        <w:t>of</w:t>
      </w:r>
      <w:r>
        <w:t xml:space="preserve"> </w:t>
      </w:r>
      <w:r w:rsidRPr="00074099">
        <w:t>the</w:t>
      </w:r>
      <w:r>
        <w:t xml:space="preserve"> </w:t>
      </w:r>
      <w:r w:rsidRPr="00074099">
        <w:t>derived</w:t>
      </w:r>
      <w:r>
        <w:t xml:space="preserve"> </w:t>
      </w:r>
      <w:r w:rsidRPr="00074099">
        <w:t>cost</w:t>
      </w:r>
      <w:r>
        <w:t xml:space="preserve"> </w:t>
      </w:r>
      <w:r w:rsidRPr="00074099">
        <w:t>curves.</w:t>
      </w:r>
      <w:r>
        <w:t xml:space="preserve"> </w:t>
      </w:r>
      <w:r w:rsidRPr="00074099">
        <w:t>These</w:t>
      </w:r>
      <w:r>
        <w:t xml:space="preserve"> </w:t>
      </w:r>
      <w:r w:rsidRPr="00074099">
        <w:t>cost</w:t>
      </w:r>
      <w:r>
        <w:t xml:space="preserve"> </w:t>
      </w:r>
      <w:r w:rsidRPr="00074099">
        <w:t>curves</w:t>
      </w:r>
      <w:r>
        <w:t xml:space="preserve"> </w:t>
      </w:r>
      <w:r w:rsidRPr="00074099">
        <w:t>describe</w:t>
      </w:r>
      <w:r>
        <w:t xml:space="preserve"> </w:t>
      </w:r>
      <w:r w:rsidRPr="00074099">
        <w:t>the</w:t>
      </w:r>
      <w:r>
        <w:t xml:space="preserve"> </w:t>
      </w:r>
      <w:r w:rsidRPr="00074099">
        <w:t>cost</w:t>
      </w:r>
      <w:r>
        <w:t xml:space="preserve"> </w:t>
      </w:r>
      <w:r w:rsidRPr="00074099">
        <w:t>of</w:t>
      </w:r>
      <w:r>
        <w:t xml:space="preserve"> </w:t>
      </w:r>
      <w:r w:rsidRPr="00074099">
        <w:t>supply</w:t>
      </w:r>
      <w:r>
        <w:t xml:space="preserve"> </w:t>
      </w:r>
      <w:r w:rsidRPr="00074099">
        <w:t>and</w:t>
      </w:r>
      <w:r>
        <w:t xml:space="preserve"> </w:t>
      </w:r>
      <w:r w:rsidRPr="00074099">
        <w:t>installation</w:t>
      </w:r>
      <w:r>
        <w:t xml:space="preserve"> </w:t>
      </w:r>
      <w:r w:rsidRPr="00074099">
        <w:t>per</w:t>
      </w:r>
      <w:r>
        <w:t xml:space="preserve"> </w:t>
      </w:r>
      <w:r w:rsidRPr="00074099">
        <w:t>m</w:t>
      </w:r>
      <w:r w:rsidRPr="00074099">
        <w:rPr>
          <w:vertAlign w:val="superscript"/>
        </w:rPr>
        <w:t>2</w:t>
      </w:r>
      <w:r>
        <w:rPr>
          <w:vertAlign w:val="superscript"/>
        </w:rPr>
        <w:t xml:space="preserve"> </w:t>
      </w:r>
      <w:r w:rsidRPr="00074099">
        <w:t>of</w:t>
      </w:r>
      <w:r>
        <w:t xml:space="preserve"> floor area serviced. The following three space conditioning types were found to have a fixed cost per m</w:t>
      </w:r>
      <w:r>
        <w:rPr>
          <w:vertAlign w:val="superscript"/>
        </w:rPr>
        <w:t>2</w:t>
      </w:r>
      <w:r>
        <w:t>:</w:t>
      </w:r>
    </w:p>
    <w:p w14:paraId="02C01DFD" w14:textId="77777777" w:rsidR="00676882" w:rsidRDefault="00676882" w:rsidP="00676882">
      <w:pPr>
        <w:pStyle w:val="ListBullet"/>
      </w:pPr>
      <w:r>
        <w:t>electric panel heating – $22.27 / m</w:t>
      </w:r>
      <w:r>
        <w:rPr>
          <w:vertAlign w:val="superscript"/>
        </w:rPr>
        <w:t>2</w:t>
      </w:r>
    </w:p>
    <w:p w14:paraId="1F4B1647" w14:textId="77777777" w:rsidR="00676882" w:rsidRDefault="00676882" w:rsidP="00676882">
      <w:pPr>
        <w:pStyle w:val="ListBullet"/>
      </w:pPr>
      <w:r>
        <w:t>floor slab heating – $72.00 / m</w:t>
      </w:r>
      <w:r>
        <w:rPr>
          <w:vertAlign w:val="superscript"/>
        </w:rPr>
        <w:t>2</w:t>
      </w:r>
    </w:p>
    <w:p w14:paraId="1EA27172" w14:textId="77777777" w:rsidR="00676882" w:rsidRDefault="00676882" w:rsidP="00676882">
      <w:pPr>
        <w:pStyle w:val="ListBullet"/>
      </w:pPr>
      <w:r>
        <w:t>wood fired slow combustion heating – $17.28 / m</w:t>
      </w:r>
      <w:r>
        <w:rPr>
          <w:vertAlign w:val="superscript"/>
        </w:rPr>
        <w:t>2</w:t>
      </w:r>
      <w:r>
        <w:t>.</w:t>
      </w:r>
    </w:p>
    <w:p w14:paraId="58E6F01D" w14:textId="77777777" w:rsidR="00676882" w:rsidRDefault="00676882" w:rsidP="00676882">
      <w:r>
        <w:lastRenderedPageBreak/>
        <w:t>Costs were adjusted to account for differences in building costs when comparing Victoria and the ACT (100 per cent) as well as for building cost price increases since 2016 (113 per cent). The net impact of these two factors was a 13 per cent increase in costs over and above that assumed in the Sustainability Victoria Zero Net Carbon study.</w:t>
      </w:r>
    </w:p>
    <w:p w14:paraId="2E96703D" w14:textId="77777777" w:rsidR="00676882" w:rsidRDefault="00676882" w:rsidP="00676882">
      <w:bookmarkStart w:id="445" w:name="_Ref80699671"/>
      <w:bookmarkStart w:id="446" w:name="_Ref80699662"/>
      <w:bookmarkStart w:id="447" w:name="_Toc80719293"/>
      <w:r w:rsidRPr="00074099">
        <w:rPr>
          <w:rStyle w:val="CaptionLabel"/>
        </w:rPr>
        <w:t>Figure </w:t>
      </w:r>
      <w:r w:rsidRPr="00074099">
        <w:rPr>
          <w:rStyle w:val="CaptionLabel"/>
        </w:rPr>
        <w:fldChar w:fldCharType="begin"/>
      </w:r>
      <w:r w:rsidRPr="00074099">
        <w:rPr>
          <w:rStyle w:val="CaptionLabel"/>
        </w:rPr>
        <w:instrText xml:space="preserve"> STYLEREF 9 \S \* MERGEFORMAT </w:instrText>
      </w:r>
      <w:r w:rsidRPr="00074099">
        <w:rPr>
          <w:rStyle w:val="CaptionLabel"/>
        </w:rPr>
        <w:fldChar w:fldCharType="separate"/>
      </w:r>
      <w:r>
        <w:rPr>
          <w:rStyle w:val="CaptionLabel"/>
          <w:noProof/>
        </w:rPr>
        <w:t>C</w:t>
      </w:r>
      <w:r w:rsidRPr="00074099">
        <w:rPr>
          <w:rStyle w:val="CaptionLabel"/>
        </w:rPr>
        <w:fldChar w:fldCharType="end"/>
      </w:r>
      <w:r w:rsidRPr="00074099">
        <w:rPr>
          <w:rStyle w:val="CaptionLabel"/>
        </w:rPr>
        <w:t>.</w:t>
      </w:r>
      <w:r w:rsidRPr="00074099">
        <w:rPr>
          <w:rStyle w:val="CaptionLabel"/>
        </w:rPr>
        <w:fldChar w:fldCharType="begin"/>
      </w:r>
      <w:r w:rsidRPr="00074099">
        <w:rPr>
          <w:rStyle w:val="CaptionLabel"/>
        </w:rPr>
        <w:instrText xml:space="preserve"> SEQ Figure_AP \* ARABIC \S 9 \* MERGEFORMAT </w:instrText>
      </w:r>
      <w:r w:rsidRPr="00074099">
        <w:rPr>
          <w:rStyle w:val="CaptionLabel"/>
        </w:rPr>
        <w:fldChar w:fldCharType="separate"/>
      </w:r>
      <w:r>
        <w:rPr>
          <w:rStyle w:val="CaptionLabel"/>
          <w:noProof/>
        </w:rPr>
        <w:t>3</w:t>
      </w:r>
      <w:r w:rsidRPr="00074099">
        <w:rPr>
          <w:rStyle w:val="CaptionLabel"/>
        </w:rPr>
        <w:fldChar w:fldCharType="end"/>
      </w:r>
      <w:bookmarkEnd w:id="445"/>
      <w:r>
        <w:tab/>
        <w:t>Cost curve analysis for selected space conditioning equipment – central gas ducted</w:t>
      </w:r>
      <w:bookmarkEnd w:id="446"/>
      <w:bookmarkEnd w:id="447"/>
    </w:p>
    <w:p w14:paraId="5C5C969F" w14:textId="77777777" w:rsidR="00676882" w:rsidRDefault="00676882" w:rsidP="00676882">
      <w:r>
        <w:rPr>
          <w:noProof/>
        </w:rPr>
        <w:drawing>
          <wp:inline distT="0" distB="0" distL="0" distR="0" wp14:anchorId="3C0819A6" wp14:editId="1DCCDAE9">
            <wp:extent cx="4547870" cy="2646045"/>
            <wp:effectExtent l="0" t="0" r="0" b="0"/>
            <wp:docPr id="592" name="Picture 592" descr="Shows a slightly increasing relationship between the stars and the dollar cost per meter squared.&#10;&#10;Equation: y = 20.816 times e to the 0.0114x&#10;&#10;R-squared: 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Picture 592" descr="Shows a slightly increasing relationship between the stars and the dollar cost per meter squared.&#10;&#10;Equation: y = 20.816 times e to the 0.0114x&#10;&#10;R-squared: 0.0028"/>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4547870" cy="2646045"/>
                    </a:xfrm>
                    <a:prstGeom prst="rect">
                      <a:avLst/>
                    </a:prstGeom>
                    <a:noFill/>
                  </pic:spPr>
                </pic:pic>
              </a:graphicData>
            </a:graphic>
          </wp:inline>
        </w:drawing>
      </w:r>
    </w:p>
    <w:p w14:paraId="670B3005" w14:textId="77777777" w:rsidR="00676882" w:rsidRPr="006B0263" w:rsidRDefault="00676882" w:rsidP="00676882">
      <w:pPr>
        <w:rPr>
          <w:i/>
          <w:iCs/>
          <w:sz w:val="16"/>
          <w:szCs w:val="16"/>
        </w:rPr>
      </w:pPr>
      <w:r w:rsidRPr="006B0263">
        <w:rPr>
          <w:i/>
          <w:iCs/>
          <w:sz w:val="16"/>
          <w:szCs w:val="16"/>
        </w:rPr>
        <w:t>Source: Energy Efficient Strategies</w:t>
      </w:r>
    </w:p>
    <w:p w14:paraId="333E1CFD" w14:textId="77777777" w:rsidR="00676882" w:rsidRDefault="00676882" w:rsidP="00676882">
      <w:bookmarkStart w:id="448" w:name="_Ref80699675"/>
      <w:bookmarkStart w:id="449" w:name="_Toc80719294"/>
      <w:r w:rsidRPr="00074099">
        <w:rPr>
          <w:rStyle w:val="CaptionLabel"/>
        </w:rPr>
        <w:t>Figure </w:t>
      </w:r>
      <w:r w:rsidRPr="00074099">
        <w:rPr>
          <w:rStyle w:val="CaptionLabel"/>
        </w:rPr>
        <w:fldChar w:fldCharType="begin"/>
      </w:r>
      <w:r w:rsidRPr="00074099">
        <w:rPr>
          <w:rStyle w:val="CaptionLabel"/>
        </w:rPr>
        <w:instrText xml:space="preserve"> STYLEREF 9 \S \* MERGEFORMAT </w:instrText>
      </w:r>
      <w:r w:rsidRPr="00074099">
        <w:rPr>
          <w:rStyle w:val="CaptionLabel"/>
        </w:rPr>
        <w:fldChar w:fldCharType="separate"/>
      </w:r>
      <w:r>
        <w:rPr>
          <w:rStyle w:val="CaptionLabel"/>
          <w:noProof/>
        </w:rPr>
        <w:t>C</w:t>
      </w:r>
      <w:r w:rsidRPr="00074099">
        <w:rPr>
          <w:rStyle w:val="CaptionLabel"/>
        </w:rPr>
        <w:fldChar w:fldCharType="end"/>
      </w:r>
      <w:r w:rsidRPr="00074099">
        <w:rPr>
          <w:rStyle w:val="CaptionLabel"/>
        </w:rPr>
        <w:t>.</w:t>
      </w:r>
      <w:r w:rsidRPr="00074099">
        <w:rPr>
          <w:rStyle w:val="CaptionLabel"/>
        </w:rPr>
        <w:fldChar w:fldCharType="begin"/>
      </w:r>
      <w:r w:rsidRPr="00074099">
        <w:rPr>
          <w:rStyle w:val="CaptionLabel"/>
        </w:rPr>
        <w:instrText xml:space="preserve"> SEQ Figure_AP \* ARABIC \S 9 \* MERGEFORMAT </w:instrText>
      </w:r>
      <w:r w:rsidRPr="00074099">
        <w:rPr>
          <w:rStyle w:val="CaptionLabel"/>
        </w:rPr>
        <w:fldChar w:fldCharType="separate"/>
      </w:r>
      <w:r>
        <w:rPr>
          <w:rStyle w:val="CaptionLabel"/>
          <w:noProof/>
        </w:rPr>
        <w:t>4</w:t>
      </w:r>
      <w:r w:rsidRPr="00074099">
        <w:rPr>
          <w:rStyle w:val="CaptionLabel"/>
        </w:rPr>
        <w:fldChar w:fldCharType="end"/>
      </w:r>
      <w:bookmarkEnd w:id="448"/>
      <w:r>
        <w:tab/>
        <w:t>Cost curve analysis for selected space conditioning equipment – central ducted reverse cycle</w:t>
      </w:r>
      <w:bookmarkEnd w:id="449"/>
    </w:p>
    <w:p w14:paraId="70EAE256" w14:textId="77777777" w:rsidR="00676882" w:rsidRDefault="00676882" w:rsidP="00676882">
      <w:pPr>
        <w:pStyle w:val="BodyText"/>
      </w:pPr>
      <w:r>
        <w:rPr>
          <w:noProof/>
        </w:rPr>
        <w:drawing>
          <wp:inline distT="0" distB="0" distL="0" distR="0" wp14:anchorId="56F6DBCF" wp14:editId="575B72C2">
            <wp:extent cx="4547870" cy="2646045"/>
            <wp:effectExtent l="0" t="0" r="0" b="0"/>
            <wp:docPr id="593" name="Picture 593" descr="Shows an increasing relationship between the stars and the dollar cost per meter squared.&#10;&#10;Equation: y = 48.285 times e to the 0.01749x&#10;&#10;R-squared: 0.8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 name="Picture 593" descr="Shows an increasing relationship between the stars and the dollar cost per meter squared.&#10;&#10;Equation: y = 48.285 times e to the 0.01749x&#10;&#10;R-squared: 0.8705"/>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4547870" cy="2646045"/>
                    </a:xfrm>
                    <a:prstGeom prst="rect">
                      <a:avLst/>
                    </a:prstGeom>
                    <a:noFill/>
                  </pic:spPr>
                </pic:pic>
              </a:graphicData>
            </a:graphic>
          </wp:inline>
        </w:drawing>
      </w:r>
    </w:p>
    <w:p w14:paraId="7DF9E191" w14:textId="77777777" w:rsidR="00676882" w:rsidRPr="00123358" w:rsidRDefault="00676882" w:rsidP="00676882">
      <w:pPr>
        <w:rPr>
          <w:i/>
          <w:iCs/>
          <w:sz w:val="16"/>
          <w:szCs w:val="16"/>
        </w:rPr>
      </w:pPr>
      <w:r w:rsidRPr="00123358">
        <w:rPr>
          <w:i/>
          <w:iCs/>
          <w:sz w:val="16"/>
          <w:szCs w:val="16"/>
        </w:rPr>
        <w:t>Source: Energy Efficient Strategies</w:t>
      </w:r>
    </w:p>
    <w:p w14:paraId="764F8044" w14:textId="77777777" w:rsidR="00676882" w:rsidRDefault="00676882" w:rsidP="00676882">
      <w:pPr>
        <w:pStyle w:val="BodyText"/>
      </w:pPr>
    </w:p>
    <w:p w14:paraId="62F8B600" w14:textId="77777777" w:rsidR="00676882" w:rsidRDefault="00676882" w:rsidP="00676882">
      <w:pPr>
        <w:pStyle w:val="BodyText"/>
        <w:keepNext/>
        <w:keepLines/>
      </w:pPr>
      <w:bookmarkStart w:id="450" w:name="_Ref80699681"/>
      <w:bookmarkStart w:id="451" w:name="_Toc80719295"/>
      <w:r w:rsidRPr="00074099">
        <w:rPr>
          <w:rStyle w:val="CaptionLabel"/>
        </w:rPr>
        <w:lastRenderedPageBreak/>
        <w:t>Figure </w:t>
      </w:r>
      <w:r w:rsidRPr="00074099">
        <w:rPr>
          <w:rStyle w:val="CaptionLabel"/>
        </w:rPr>
        <w:fldChar w:fldCharType="begin"/>
      </w:r>
      <w:r w:rsidRPr="00074099">
        <w:rPr>
          <w:rStyle w:val="CaptionLabel"/>
        </w:rPr>
        <w:instrText xml:space="preserve"> STYLEREF 9 \S \* MERGEFORMAT </w:instrText>
      </w:r>
      <w:r w:rsidRPr="00074099">
        <w:rPr>
          <w:rStyle w:val="CaptionLabel"/>
        </w:rPr>
        <w:fldChar w:fldCharType="separate"/>
      </w:r>
      <w:r>
        <w:rPr>
          <w:rStyle w:val="CaptionLabel"/>
          <w:noProof/>
        </w:rPr>
        <w:t>C</w:t>
      </w:r>
      <w:r w:rsidRPr="00074099">
        <w:rPr>
          <w:rStyle w:val="CaptionLabel"/>
        </w:rPr>
        <w:fldChar w:fldCharType="end"/>
      </w:r>
      <w:r w:rsidRPr="00074099">
        <w:rPr>
          <w:rStyle w:val="CaptionLabel"/>
        </w:rPr>
        <w:t>.</w:t>
      </w:r>
      <w:r w:rsidRPr="00074099">
        <w:rPr>
          <w:rStyle w:val="CaptionLabel"/>
        </w:rPr>
        <w:fldChar w:fldCharType="begin"/>
      </w:r>
      <w:r w:rsidRPr="00074099">
        <w:rPr>
          <w:rStyle w:val="CaptionLabel"/>
        </w:rPr>
        <w:instrText xml:space="preserve"> SEQ Figure_AP \* ARABIC \S 9 \* MERGEFORMAT </w:instrText>
      </w:r>
      <w:r w:rsidRPr="00074099">
        <w:rPr>
          <w:rStyle w:val="CaptionLabel"/>
        </w:rPr>
        <w:fldChar w:fldCharType="separate"/>
      </w:r>
      <w:r>
        <w:rPr>
          <w:rStyle w:val="CaptionLabel"/>
          <w:noProof/>
        </w:rPr>
        <w:t>5</w:t>
      </w:r>
      <w:r w:rsidRPr="00074099">
        <w:rPr>
          <w:rStyle w:val="CaptionLabel"/>
        </w:rPr>
        <w:fldChar w:fldCharType="end"/>
      </w:r>
      <w:bookmarkEnd w:id="450"/>
      <w:r>
        <w:tab/>
        <w:t>Cost curve analysis for selected space conditioning equipment – room gas</w:t>
      </w:r>
      <w:bookmarkEnd w:id="451"/>
    </w:p>
    <w:p w14:paraId="7A6AFD3B" w14:textId="77777777" w:rsidR="00676882" w:rsidRDefault="00676882" w:rsidP="00676882">
      <w:pPr>
        <w:pStyle w:val="BodyText"/>
        <w:keepNext/>
        <w:keepLines/>
      </w:pPr>
      <w:r>
        <w:rPr>
          <w:noProof/>
        </w:rPr>
        <w:drawing>
          <wp:inline distT="0" distB="0" distL="0" distR="0" wp14:anchorId="6A4E5F28" wp14:editId="5BA563D6">
            <wp:extent cx="4547870" cy="2646045"/>
            <wp:effectExtent l="0" t="0" r="5080" b="1905"/>
            <wp:docPr id="595" name="Picture 595" descr="Shows an increasing relationship between the stars and the dollar cost per meter squared.&#10;&#10;Equation: y = 39.12 times e to the 0.1174x&#10;&#10;R-squared: 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 name="Picture 595" descr="Shows an increasing relationship between the stars and the dollar cost per meter squared.&#10;&#10;Equation: y = 39.12 times e to the 0.1174x&#10;&#10;R-squared: 0.53"/>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547870" cy="2646045"/>
                    </a:xfrm>
                    <a:prstGeom prst="rect">
                      <a:avLst/>
                    </a:prstGeom>
                    <a:noFill/>
                  </pic:spPr>
                </pic:pic>
              </a:graphicData>
            </a:graphic>
          </wp:inline>
        </w:drawing>
      </w:r>
    </w:p>
    <w:p w14:paraId="7581BB77" w14:textId="77777777" w:rsidR="00676882" w:rsidRPr="00123358" w:rsidRDefault="00676882" w:rsidP="00676882">
      <w:pPr>
        <w:keepNext/>
        <w:keepLines/>
        <w:rPr>
          <w:i/>
          <w:iCs/>
          <w:sz w:val="16"/>
          <w:szCs w:val="16"/>
        </w:rPr>
      </w:pPr>
      <w:r w:rsidRPr="00123358">
        <w:rPr>
          <w:i/>
          <w:iCs/>
          <w:sz w:val="16"/>
          <w:szCs w:val="16"/>
        </w:rPr>
        <w:t>Source: Energy Efficient Strategies</w:t>
      </w:r>
    </w:p>
    <w:p w14:paraId="0D01A7F7" w14:textId="77777777" w:rsidR="00676882" w:rsidRDefault="00676882" w:rsidP="00676882">
      <w:pPr>
        <w:pStyle w:val="BodyText"/>
      </w:pPr>
      <w:bookmarkStart w:id="452" w:name="_Ref80699687"/>
      <w:bookmarkStart w:id="453" w:name="_Toc80719296"/>
      <w:r w:rsidRPr="00074099">
        <w:rPr>
          <w:rStyle w:val="CaptionLabel"/>
        </w:rPr>
        <w:t>Figure </w:t>
      </w:r>
      <w:r w:rsidRPr="00074099">
        <w:rPr>
          <w:rStyle w:val="CaptionLabel"/>
        </w:rPr>
        <w:fldChar w:fldCharType="begin"/>
      </w:r>
      <w:r w:rsidRPr="00074099">
        <w:rPr>
          <w:rStyle w:val="CaptionLabel"/>
        </w:rPr>
        <w:instrText xml:space="preserve"> STYLEREF 9 \S \* MERGEFORMAT </w:instrText>
      </w:r>
      <w:r w:rsidRPr="00074099">
        <w:rPr>
          <w:rStyle w:val="CaptionLabel"/>
        </w:rPr>
        <w:fldChar w:fldCharType="separate"/>
      </w:r>
      <w:r>
        <w:rPr>
          <w:rStyle w:val="CaptionLabel"/>
          <w:noProof/>
        </w:rPr>
        <w:t>C</w:t>
      </w:r>
      <w:r w:rsidRPr="00074099">
        <w:rPr>
          <w:rStyle w:val="CaptionLabel"/>
        </w:rPr>
        <w:fldChar w:fldCharType="end"/>
      </w:r>
      <w:r w:rsidRPr="00074099">
        <w:rPr>
          <w:rStyle w:val="CaptionLabel"/>
        </w:rPr>
        <w:t>.</w:t>
      </w:r>
      <w:r w:rsidRPr="00074099">
        <w:rPr>
          <w:rStyle w:val="CaptionLabel"/>
        </w:rPr>
        <w:fldChar w:fldCharType="begin"/>
      </w:r>
      <w:r w:rsidRPr="00074099">
        <w:rPr>
          <w:rStyle w:val="CaptionLabel"/>
        </w:rPr>
        <w:instrText xml:space="preserve"> SEQ Figure_AP \* ARABIC \S 9 \* MERGEFORMAT </w:instrText>
      </w:r>
      <w:r w:rsidRPr="00074099">
        <w:rPr>
          <w:rStyle w:val="CaptionLabel"/>
        </w:rPr>
        <w:fldChar w:fldCharType="separate"/>
      </w:r>
      <w:r>
        <w:rPr>
          <w:rStyle w:val="CaptionLabel"/>
          <w:noProof/>
        </w:rPr>
        <w:t>6</w:t>
      </w:r>
      <w:r w:rsidRPr="00074099">
        <w:rPr>
          <w:rStyle w:val="CaptionLabel"/>
        </w:rPr>
        <w:fldChar w:fldCharType="end"/>
      </w:r>
      <w:bookmarkEnd w:id="452"/>
      <w:r>
        <w:tab/>
        <w:t>Cost curve analysis for selected space conditioning equipment</w:t>
      </w:r>
      <w:bookmarkEnd w:id="453"/>
    </w:p>
    <w:p w14:paraId="13955938" w14:textId="77777777" w:rsidR="00676882" w:rsidRDefault="00676882" w:rsidP="00676882">
      <w:pPr>
        <w:pStyle w:val="BodyText"/>
      </w:pPr>
      <w:r>
        <w:rPr>
          <w:noProof/>
        </w:rPr>
        <w:drawing>
          <wp:inline distT="0" distB="0" distL="0" distR="0" wp14:anchorId="72F3EE91" wp14:editId="13142B1D">
            <wp:extent cx="4542155" cy="2231390"/>
            <wp:effectExtent l="0" t="0" r="0" b="0"/>
            <wp:docPr id="596" name="Picture 596" descr="Shows an increasing relationship between the stars and the dollar cost per meter squared.&#10;&#10;&#10;Equation: y = 39.12 times e to the 0.1174x&#10;&#10;R-squared:0.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 name="Picture 643" descr="Shows an increasing relationship between the stars and the dollar cost per meter squared.&#10;&#10;&#10;Equation: y = 39.12 times e to the 0.1174x&#10;&#10;R-squared:0.651"/>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4542155" cy="2231390"/>
                    </a:xfrm>
                    <a:prstGeom prst="rect">
                      <a:avLst/>
                    </a:prstGeom>
                    <a:noFill/>
                  </pic:spPr>
                </pic:pic>
              </a:graphicData>
            </a:graphic>
          </wp:inline>
        </w:drawing>
      </w:r>
    </w:p>
    <w:p w14:paraId="638C6C71" w14:textId="77777777" w:rsidR="00676882" w:rsidRPr="00123358" w:rsidRDefault="00676882" w:rsidP="00676882">
      <w:pPr>
        <w:rPr>
          <w:i/>
          <w:iCs/>
          <w:sz w:val="16"/>
          <w:szCs w:val="16"/>
        </w:rPr>
      </w:pPr>
      <w:r w:rsidRPr="00123358">
        <w:rPr>
          <w:i/>
          <w:iCs/>
          <w:sz w:val="16"/>
          <w:szCs w:val="16"/>
        </w:rPr>
        <w:t>Source: Energy Efficient Strategies</w:t>
      </w:r>
    </w:p>
    <w:p w14:paraId="1D29269C" w14:textId="77777777" w:rsidR="00676882" w:rsidRDefault="00676882" w:rsidP="00676882">
      <w:pPr>
        <w:pStyle w:val="Heading2AP"/>
      </w:pPr>
      <w:bookmarkStart w:id="454" w:name="_Toc80481709"/>
      <w:bookmarkStart w:id="455" w:name="_Toc80700346"/>
      <w:bookmarkStart w:id="456" w:name="_Toc80700594"/>
      <w:bookmarkStart w:id="457" w:name="_Toc80481716"/>
      <w:bookmarkStart w:id="458" w:name="_Toc80700353"/>
      <w:bookmarkStart w:id="459" w:name="_Toc80700601"/>
      <w:bookmarkStart w:id="460" w:name="_Toc76321083"/>
      <w:bookmarkStart w:id="461" w:name="_Toc80712623"/>
      <w:bookmarkStart w:id="462" w:name="_Ref76307721"/>
      <w:bookmarkEnd w:id="454"/>
      <w:bookmarkEnd w:id="455"/>
      <w:bookmarkEnd w:id="456"/>
      <w:bookmarkEnd w:id="457"/>
      <w:bookmarkEnd w:id="458"/>
      <w:bookmarkEnd w:id="459"/>
      <w:r>
        <w:t>Performance-based upgrades</w:t>
      </w:r>
      <w:bookmarkEnd w:id="460"/>
      <w:bookmarkEnd w:id="461"/>
    </w:p>
    <w:p w14:paraId="4EBAF64E" w14:textId="77777777" w:rsidR="00676882" w:rsidRDefault="00676882" w:rsidP="00676882">
      <w:pPr>
        <w:pStyle w:val="Heading3AP"/>
        <w:numPr>
          <w:ilvl w:val="2"/>
          <w:numId w:val="45"/>
        </w:numPr>
      </w:pPr>
      <w:r>
        <w:t>Overview</w:t>
      </w:r>
    </w:p>
    <w:p w14:paraId="7587DAAF" w14:textId="77777777" w:rsidR="00676882" w:rsidRDefault="00676882" w:rsidP="00676882">
      <w:pPr>
        <w:pStyle w:val="Heading4AP"/>
        <w:numPr>
          <w:ilvl w:val="3"/>
          <w:numId w:val="45"/>
        </w:numPr>
      </w:pPr>
      <w:r>
        <w:t>Proposed regulatory requirement</w:t>
      </w:r>
    </w:p>
    <w:p w14:paraId="77DD6F4C" w14:textId="77777777" w:rsidR="00676882" w:rsidRDefault="00676882" w:rsidP="00676882">
      <w:pPr>
        <w:pStyle w:val="Caption"/>
        <w:keepNext w:val="0"/>
        <w:numPr>
          <w:ilvl w:val="0"/>
          <w:numId w:val="90"/>
        </w:numPr>
        <w:spacing w:before="70" w:after="70" w:line="280" w:lineRule="atLeast"/>
        <w:ind w:left="420"/>
      </w:pPr>
      <w:r>
        <w:t>Option A: Rental properties rated as 1 star or less must be upgraded to at least 2 stars with a phase in period.</w:t>
      </w:r>
    </w:p>
    <w:p w14:paraId="05039D0A" w14:textId="77777777" w:rsidR="00676882" w:rsidRDefault="00676882" w:rsidP="00676882">
      <w:pPr>
        <w:pStyle w:val="Caption"/>
        <w:keepNext w:val="0"/>
        <w:numPr>
          <w:ilvl w:val="0"/>
          <w:numId w:val="90"/>
        </w:numPr>
        <w:spacing w:before="70" w:after="70" w:line="280" w:lineRule="atLeast"/>
        <w:ind w:left="420"/>
      </w:pPr>
      <w:r>
        <w:t>Option B: Rental properties rated as 2 stars or less must be upgraded to at least 3 stars with a phase in period.</w:t>
      </w:r>
    </w:p>
    <w:p w14:paraId="76AC47CB" w14:textId="77777777" w:rsidR="00676882" w:rsidRDefault="00676882" w:rsidP="00676882">
      <w:pPr>
        <w:pStyle w:val="BodyText"/>
      </w:pPr>
      <w:r>
        <w:t>The performance requirement refers to the Victorian Residential Efficiency Scorecard (the Scorecard) rating scheme.</w:t>
      </w:r>
    </w:p>
    <w:p w14:paraId="4A4B3BAB" w14:textId="77777777" w:rsidR="00676882" w:rsidRDefault="00676882" w:rsidP="00676882">
      <w:pPr>
        <w:pStyle w:val="BodyText"/>
      </w:pPr>
      <w:r>
        <w:t xml:space="preserve">This scheme is not </w:t>
      </w:r>
      <w:proofErr w:type="gramStart"/>
      <w:r>
        <w:t>as yet</w:t>
      </w:r>
      <w:proofErr w:type="gramEnd"/>
      <w:r>
        <w:t xml:space="preserve"> available in the ACT although some pilot trials have been undertaken. The scorecard tool uses operational running cost per dwelling as the basis for rating purposes. This means that a dwelling with high operational costs will score poorly and one with low operational costs will score well. High operational costs are usually indicative of poorly performing building </w:t>
      </w:r>
      <w:r>
        <w:lastRenderedPageBreak/>
        <w:t>shells, inefficient appliances and or a lack of on-site renewable energy supply (typically PV installations).</w:t>
      </w:r>
    </w:p>
    <w:p w14:paraId="433CF1F4" w14:textId="77777777" w:rsidR="00676882" w:rsidRDefault="00676882" w:rsidP="00676882">
      <w:pPr>
        <w:pStyle w:val="BodyText"/>
      </w:pPr>
      <w:r>
        <w:t xml:space="preserve">The scorecard has a rating scale from 1 to 10 stars (technically a dwelling can score zero stars, but the minimum rating awarded is 1 star where its energy consumption is more than 300 per cent of a </w:t>
      </w:r>
      <w:proofErr w:type="gramStart"/>
      <w:r>
        <w:t>3 star</w:t>
      </w:r>
      <w:proofErr w:type="gramEnd"/>
      <w:r>
        <w:t xml:space="preserve"> level)). Stars are graded as a percentage of the </w:t>
      </w:r>
      <w:proofErr w:type="gramStart"/>
      <w:r>
        <w:t>3 star</w:t>
      </w:r>
      <w:proofErr w:type="gramEnd"/>
      <w:r>
        <w:t xml:space="preserve"> level which designates an average energy cost for the particular jurisdiction.</w:t>
      </w:r>
    </w:p>
    <w:p w14:paraId="141AE786" w14:textId="77777777" w:rsidR="00676882" w:rsidRDefault="00676882" w:rsidP="00676882">
      <w:pPr>
        <w:pStyle w:val="BodyText"/>
      </w:pPr>
      <w:r>
        <w:t xml:space="preserve">Whilst some work has been done to establish what the </w:t>
      </w:r>
      <w:proofErr w:type="gramStart"/>
      <w:r>
        <w:t>3 star</w:t>
      </w:r>
      <w:proofErr w:type="gramEnd"/>
      <w:r>
        <w:t xml:space="preserve"> rating level should be in the ACT there are some clear underestimates in the analysis (average heating energy cost is assumed to be less than average hot water energy cost for instance). To get a more realistic estimate of the expected </w:t>
      </w:r>
      <w:proofErr w:type="gramStart"/>
      <w:r>
        <w:t>3 star</w:t>
      </w:r>
      <w:proofErr w:type="gramEnd"/>
      <w:r>
        <w:t xml:space="preserve"> level, reference was made to the analysis undertaken in the Residential Energy Disclosure (RED) study </w:t>
      </w:r>
      <w:sdt>
        <w:sdtPr>
          <w:id w:val="1499234282"/>
          <w:citation/>
        </w:sdtPr>
        <w:sdtContent>
          <w:r>
            <w:fldChar w:fldCharType="begin"/>
          </w:r>
          <w:r>
            <w:instrText xml:space="preserve"> CITATION ACI21 \l 3081 </w:instrText>
          </w:r>
          <w:r>
            <w:fldChar w:fldCharType="separate"/>
          </w:r>
          <w:r>
            <w:rPr>
              <w:noProof/>
            </w:rPr>
            <w:t>(ACIL Allen, 2021)</w:t>
          </w:r>
          <w:r>
            <w:fldChar w:fldCharType="end"/>
          </w:r>
        </w:sdtContent>
      </w:sdt>
      <w:r>
        <w:t xml:space="preserve"> prepared for NSW Department of Planning, Industry and Environment, 2021). Using the model developed for that study, the weighted average energy cost for an ACT dwelling was found to be $1,950 per annum. This is somewhat less than a value of just under $2,100 cited in the most recent AER survey of energy costs by jurisdiction. Each of the other star ratings are estimated as a percentage of the </w:t>
      </w:r>
      <w:proofErr w:type="gramStart"/>
      <w:r>
        <w:t>3 star</w:t>
      </w:r>
      <w:proofErr w:type="gramEnd"/>
      <w:r>
        <w:t xml:space="preserve"> level. The application of the AER value of $2,100 to the </w:t>
      </w:r>
      <w:proofErr w:type="gramStart"/>
      <w:r>
        <w:t>3 star</w:t>
      </w:r>
      <w:proofErr w:type="gramEnd"/>
      <w:r>
        <w:t xml:space="preserve"> band level results in a star band scale as shown in the far right hand column of </w:t>
      </w:r>
      <w:r w:rsidRPr="009E4AB1">
        <w:fldChar w:fldCharType="begin"/>
      </w:r>
      <w:r w:rsidRPr="009E4AB1">
        <w:instrText xml:space="preserve"> REF _Ref80699704 \h  \* MERGEFORMAT </w:instrText>
      </w:r>
      <w:r w:rsidRPr="009E4AB1">
        <w:fldChar w:fldCharType="separate"/>
      </w:r>
      <w:r w:rsidRPr="00F32FCC">
        <w:t>Table C.7</w:t>
      </w:r>
      <w:r w:rsidRPr="009E4AB1">
        <w:fldChar w:fldCharType="end"/>
      </w:r>
      <w:r>
        <w:t>.</w:t>
      </w:r>
    </w:p>
    <w:p w14:paraId="6730B6E6" w14:textId="77777777" w:rsidR="00676882" w:rsidRDefault="00676882" w:rsidP="00676882">
      <w:pPr>
        <w:pStyle w:val="BodyText"/>
      </w:pPr>
      <w:r>
        <w:t>What this assumed star band arrangement would mean in terms of the proposed regulations is that:</w:t>
      </w:r>
    </w:p>
    <w:p w14:paraId="52E590BC" w14:textId="77777777" w:rsidR="00676882" w:rsidRDefault="00676882" w:rsidP="00676882">
      <w:pPr>
        <w:pStyle w:val="Caption"/>
        <w:keepNext w:val="0"/>
        <w:numPr>
          <w:ilvl w:val="0"/>
          <w:numId w:val="90"/>
        </w:numPr>
        <w:spacing w:before="70" w:after="70" w:line="280" w:lineRule="atLeast"/>
        <w:ind w:left="420"/>
      </w:pPr>
      <w:r>
        <w:t>Option A: Rental properties rated as 1 star or less (rated operational cost of more than $4,200) must be upgraded to at least 2 stars (rated operational cost of $4,200 or less).</w:t>
      </w:r>
    </w:p>
    <w:p w14:paraId="4BEE6DD0" w14:textId="77777777" w:rsidR="00676882" w:rsidRDefault="00676882" w:rsidP="00676882">
      <w:pPr>
        <w:pStyle w:val="Caption"/>
        <w:keepNext w:val="0"/>
        <w:numPr>
          <w:ilvl w:val="0"/>
          <w:numId w:val="90"/>
        </w:numPr>
        <w:spacing w:before="70" w:after="70" w:line="280" w:lineRule="atLeast"/>
        <w:ind w:left="420"/>
      </w:pPr>
      <w:r>
        <w:t>Option B: Rental properties rated as 2 stars or less (rated operational cost of more than $2,100) must be upgraded to at least 3 stars (rated operational cost of $2,100 or less).</w:t>
      </w:r>
    </w:p>
    <w:p w14:paraId="14F7A586" w14:textId="77777777" w:rsidR="00676882" w:rsidRDefault="00676882" w:rsidP="00676882">
      <w:pPr>
        <w:pStyle w:val="BodyText"/>
      </w:pPr>
      <w:bookmarkStart w:id="463" w:name="_Ref80699704"/>
      <w:bookmarkStart w:id="464" w:name="_Toc76321187"/>
      <w:bookmarkStart w:id="465" w:name="_Toc80719352"/>
      <w:r>
        <w:rPr>
          <w:rStyle w:val="CaptionLabel"/>
        </w:rPr>
        <w:t>Table </w:t>
      </w:r>
      <w:r>
        <w:fldChar w:fldCharType="begin"/>
      </w:r>
      <w:r>
        <w:rPr>
          <w:rStyle w:val="CaptionLabel"/>
        </w:rPr>
        <w:instrText xml:space="preserve"> STYLEREF 9 \S \* MERGEFORMAT </w:instrText>
      </w:r>
      <w:r>
        <w:fldChar w:fldCharType="separate"/>
      </w:r>
      <w:r>
        <w:rPr>
          <w:rStyle w:val="CaptionLabel"/>
          <w:noProof/>
        </w:rPr>
        <w:t>C</w:t>
      </w:r>
      <w:r>
        <w:fldChar w:fldCharType="end"/>
      </w:r>
      <w:r>
        <w:rPr>
          <w:rStyle w:val="CaptionLabel"/>
        </w:rPr>
        <w:t>.</w:t>
      </w:r>
      <w:r>
        <w:fldChar w:fldCharType="begin"/>
      </w:r>
      <w:r>
        <w:rPr>
          <w:rStyle w:val="CaptionLabel"/>
        </w:rPr>
        <w:instrText xml:space="preserve"> SEQ Table_AP \* ARABIC \S 9 \* MERGEFORMAT </w:instrText>
      </w:r>
      <w:r>
        <w:fldChar w:fldCharType="separate"/>
      </w:r>
      <w:r>
        <w:rPr>
          <w:rStyle w:val="CaptionLabel"/>
          <w:noProof/>
        </w:rPr>
        <w:t>7</w:t>
      </w:r>
      <w:r>
        <w:fldChar w:fldCharType="end"/>
      </w:r>
      <w:bookmarkEnd w:id="463"/>
      <w:r>
        <w:tab/>
        <w:t>Victorian Scorecard rating basis</w:t>
      </w:r>
      <w:bookmarkEnd w:id="464"/>
      <w:r>
        <w:t xml:space="preserve"> for the ACR</w:t>
      </w:r>
      <w:bookmarkEnd w:id="465"/>
    </w:p>
    <w:tbl>
      <w:tblPr>
        <w:tblW w:w="8385" w:type="dxa"/>
        <w:tblInd w:w="-454"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C.7"/>
        <w:tblDescription w:val="Victorian Scorecard rating basis"/>
      </w:tblPr>
      <w:tblGrid>
        <w:gridCol w:w="454"/>
        <w:gridCol w:w="2644"/>
        <w:gridCol w:w="2643"/>
        <w:gridCol w:w="2644"/>
      </w:tblGrid>
      <w:tr w:rsidR="00676882" w14:paraId="7D47FDD7" w14:textId="77777777" w:rsidTr="00DF45FA">
        <w:trPr>
          <w:tblHeader/>
        </w:trPr>
        <w:tc>
          <w:tcPr>
            <w:tcW w:w="3099" w:type="dxa"/>
            <w:gridSpan w:val="2"/>
            <w:tcBorders>
              <w:top w:val="nil"/>
              <w:left w:val="nil"/>
              <w:bottom w:val="nil"/>
              <w:right w:val="nil"/>
            </w:tcBorders>
            <w:shd w:val="clear" w:color="auto" w:fill="140034"/>
            <w:tcMar>
              <w:top w:w="0" w:type="dxa"/>
              <w:left w:w="454" w:type="dxa"/>
              <w:bottom w:w="40" w:type="dxa"/>
              <w:right w:w="0" w:type="dxa"/>
            </w:tcMar>
            <w:hideMark/>
          </w:tcPr>
          <w:p w14:paraId="7B95BACD" w14:textId="77777777" w:rsidR="00676882" w:rsidRDefault="00676882" w:rsidP="00DF45FA">
            <w:pPr>
              <w:pStyle w:val="Tablecolumnheadings"/>
            </w:pPr>
            <w:r>
              <w:t>Scorecard Star Rating</w:t>
            </w:r>
          </w:p>
        </w:tc>
        <w:tc>
          <w:tcPr>
            <w:tcW w:w="2645" w:type="dxa"/>
            <w:tcBorders>
              <w:top w:val="nil"/>
              <w:left w:val="nil"/>
              <w:bottom w:val="nil"/>
              <w:right w:val="nil"/>
            </w:tcBorders>
            <w:shd w:val="clear" w:color="auto" w:fill="140034"/>
            <w:hideMark/>
          </w:tcPr>
          <w:p w14:paraId="3A2C425C" w14:textId="77777777" w:rsidR="00676882" w:rsidRDefault="00676882" w:rsidP="00DF45FA">
            <w:pPr>
              <w:pStyle w:val="Tablecolumnheadings"/>
            </w:pPr>
            <w:r>
              <w:t xml:space="preserve">Percentage of </w:t>
            </w:r>
            <w:proofErr w:type="gramStart"/>
            <w:r>
              <w:t>3 star</w:t>
            </w:r>
            <w:proofErr w:type="gramEnd"/>
            <w:r>
              <w:t xml:space="preserve"> rating</w:t>
            </w:r>
          </w:p>
        </w:tc>
        <w:tc>
          <w:tcPr>
            <w:tcW w:w="2646" w:type="dxa"/>
            <w:tcBorders>
              <w:top w:val="nil"/>
              <w:left w:val="nil"/>
              <w:bottom w:val="nil"/>
              <w:right w:val="single" w:sz="6" w:space="0" w:color="140034"/>
            </w:tcBorders>
            <w:shd w:val="clear" w:color="auto" w:fill="140034"/>
            <w:hideMark/>
          </w:tcPr>
          <w:p w14:paraId="4EFA8EE0" w14:textId="77777777" w:rsidR="00676882" w:rsidRDefault="00676882" w:rsidP="00DF45FA">
            <w:pPr>
              <w:pStyle w:val="Tablecolumnheadings"/>
            </w:pPr>
            <w:r>
              <w:t>Annual Operating Cost</w:t>
            </w:r>
            <w:r>
              <w:rPr>
                <w:vertAlign w:val="superscript"/>
              </w:rPr>
              <w:t>a</w:t>
            </w:r>
          </w:p>
        </w:tc>
      </w:tr>
      <w:tr w:rsidR="00676882" w14:paraId="0EFAFBE4" w14:textId="77777777" w:rsidTr="00DF45FA">
        <w:trPr>
          <w:gridBefore w:val="1"/>
          <w:wBefore w:w="454" w:type="dxa"/>
        </w:trPr>
        <w:tc>
          <w:tcPr>
            <w:tcW w:w="2645" w:type="dxa"/>
            <w:tcBorders>
              <w:top w:val="nil"/>
              <w:left w:val="nil"/>
              <w:bottom w:val="single" w:sz="4" w:space="0" w:color="646464"/>
              <w:right w:val="nil"/>
            </w:tcBorders>
            <w:hideMark/>
          </w:tcPr>
          <w:p w14:paraId="4DE21279" w14:textId="77777777" w:rsidR="00676882" w:rsidRDefault="00676882" w:rsidP="00DF45FA">
            <w:pPr>
              <w:pStyle w:val="Tabletext"/>
            </w:pPr>
            <w:r>
              <w:t>1</w:t>
            </w:r>
          </w:p>
        </w:tc>
        <w:tc>
          <w:tcPr>
            <w:tcW w:w="2645" w:type="dxa"/>
            <w:tcBorders>
              <w:top w:val="nil"/>
              <w:left w:val="nil"/>
              <w:bottom w:val="single" w:sz="4" w:space="0" w:color="646464"/>
              <w:right w:val="nil"/>
            </w:tcBorders>
            <w:vAlign w:val="center"/>
            <w:hideMark/>
          </w:tcPr>
          <w:p w14:paraId="74EB7F0D" w14:textId="77777777" w:rsidR="00676882" w:rsidRDefault="00676882" w:rsidP="00DF45FA">
            <w:pPr>
              <w:pStyle w:val="Tabletext"/>
              <w:jc w:val="right"/>
            </w:pPr>
            <w:r>
              <w:t>300%</w:t>
            </w:r>
          </w:p>
        </w:tc>
        <w:tc>
          <w:tcPr>
            <w:tcW w:w="2646" w:type="dxa"/>
            <w:tcBorders>
              <w:top w:val="nil"/>
              <w:left w:val="nil"/>
              <w:bottom w:val="single" w:sz="4" w:space="0" w:color="646464"/>
              <w:right w:val="nil"/>
            </w:tcBorders>
            <w:hideMark/>
          </w:tcPr>
          <w:p w14:paraId="0976006D" w14:textId="77777777" w:rsidR="00676882" w:rsidRDefault="00676882" w:rsidP="00DF45FA">
            <w:pPr>
              <w:pStyle w:val="Tabletext"/>
              <w:jc w:val="right"/>
            </w:pPr>
            <w:r>
              <w:t>$6300</w:t>
            </w:r>
          </w:p>
        </w:tc>
      </w:tr>
      <w:tr w:rsidR="00676882" w14:paraId="41394B44"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4D9E0656" w14:textId="77777777" w:rsidR="00676882" w:rsidRDefault="00676882" w:rsidP="00DF45FA">
            <w:pPr>
              <w:pStyle w:val="Tabletext"/>
            </w:pPr>
            <w:r>
              <w:t>2</w:t>
            </w:r>
          </w:p>
        </w:tc>
        <w:tc>
          <w:tcPr>
            <w:tcW w:w="2645" w:type="dxa"/>
            <w:tcBorders>
              <w:top w:val="single" w:sz="4" w:space="0" w:color="646464"/>
              <w:left w:val="nil"/>
              <w:bottom w:val="single" w:sz="4" w:space="0" w:color="646464"/>
              <w:right w:val="nil"/>
            </w:tcBorders>
            <w:vAlign w:val="center"/>
            <w:hideMark/>
          </w:tcPr>
          <w:p w14:paraId="4265E709" w14:textId="77777777" w:rsidR="00676882" w:rsidRDefault="00676882" w:rsidP="00DF45FA">
            <w:pPr>
              <w:pStyle w:val="Tabletext"/>
              <w:jc w:val="right"/>
            </w:pPr>
            <w:r>
              <w:t>200%</w:t>
            </w:r>
          </w:p>
        </w:tc>
        <w:tc>
          <w:tcPr>
            <w:tcW w:w="2646" w:type="dxa"/>
            <w:tcBorders>
              <w:top w:val="single" w:sz="4" w:space="0" w:color="646464"/>
              <w:left w:val="nil"/>
              <w:bottom w:val="single" w:sz="4" w:space="0" w:color="646464"/>
              <w:right w:val="nil"/>
            </w:tcBorders>
            <w:hideMark/>
          </w:tcPr>
          <w:p w14:paraId="5A5D1D48" w14:textId="77777777" w:rsidR="00676882" w:rsidRDefault="00676882" w:rsidP="00DF45FA">
            <w:pPr>
              <w:pStyle w:val="Tabletext"/>
              <w:jc w:val="right"/>
            </w:pPr>
            <w:r>
              <w:t>$4200</w:t>
            </w:r>
          </w:p>
        </w:tc>
      </w:tr>
      <w:tr w:rsidR="00676882" w14:paraId="5E5084F4"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4E09500F" w14:textId="77777777" w:rsidR="00676882" w:rsidRDefault="00676882" w:rsidP="00DF45FA">
            <w:pPr>
              <w:pStyle w:val="Tabletext"/>
              <w:rPr>
                <w:b/>
                <w:bCs/>
              </w:rPr>
            </w:pPr>
            <w:r>
              <w:rPr>
                <w:b/>
                <w:bCs/>
              </w:rPr>
              <w:t>3</w:t>
            </w:r>
          </w:p>
        </w:tc>
        <w:tc>
          <w:tcPr>
            <w:tcW w:w="2645" w:type="dxa"/>
            <w:tcBorders>
              <w:top w:val="single" w:sz="4" w:space="0" w:color="646464"/>
              <w:left w:val="nil"/>
              <w:bottom w:val="single" w:sz="4" w:space="0" w:color="646464"/>
              <w:right w:val="nil"/>
            </w:tcBorders>
            <w:vAlign w:val="center"/>
            <w:hideMark/>
          </w:tcPr>
          <w:p w14:paraId="56513FEA" w14:textId="77777777" w:rsidR="00676882" w:rsidRDefault="00676882" w:rsidP="00DF45FA">
            <w:pPr>
              <w:pStyle w:val="Tabletext"/>
              <w:jc w:val="right"/>
              <w:rPr>
                <w:b/>
                <w:bCs/>
              </w:rPr>
            </w:pPr>
            <w:r>
              <w:rPr>
                <w:b/>
                <w:bCs/>
              </w:rPr>
              <w:t>100%</w:t>
            </w:r>
          </w:p>
        </w:tc>
        <w:tc>
          <w:tcPr>
            <w:tcW w:w="2646" w:type="dxa"/>
            <w:tcBorders>
              <w:top w:val="single" w:sz="4" w:space="0" w:color="646464"/>
              <w:left w:val="nil"/>
              <w:bottom w:val="single" w:sz="4" w:space="0" w:color="646464"/>
              <w:right w:val="nil"/>
            </w:tcBorders>
            <w:hideMark/>
          </w:tcPr>
          <w:p w14:paraId="060DE681" w14:textId="77777777" w:rsidR="00676882" w:rsidRDefault="00676882" w:rsidP="00DF45FA">
            <w:pPr>
              <w:pStyle w:val="Tabletext"/>
              <w:jc w:val="right"/>
              <w:rPr>
                <w:b/>
                <w:bCs/>
              </w:rPr>
            </w:pPr>
            <w:r>
              <w:t>$2100</w:t>
            </w:r>
          </w:p>
        </w:tc>
      </w:tr>
      <w:tr w:rsidR="00676882" w14:paraId="2938DF1F"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52097748" w14:textId="77777777" w:rsidR="00676882" w:rsidRDefault="00676882" w:rsidP="00DF45FA">
            <w:pPr>
              <w:pStyle w:val="Tabletext"/>
            </w:pPr>
            <w:r>
              <w:t>4</w:t>
            </w:r>
          </w:p>
        </w:tc>
        <w:tc>
          <w:tcPr>
            <w:tcW w:w="2645" w:type="dxa"/>
            <w:tcBorders>
              <w:top w:val="single" w:sz="4" w:space="0" w:color="646464"/>
              <w:left w:val="nil"/>
              <w:bottom w:val="single" w:sz="4" w:space="0" w:color="646464"/>
              <w:right w:val="nil"/>
            </w:tcBorders>
            <w:vAlign w:val="center"/>
            <w:hideMark/>
          </w:tcPr>
          <w:p w14:paraId="5031DB8C" w14:textId="77777777" w:rsidR="00676882" w:rsidRDefault="00676882" w:rsidP="00DF45FA">
            <w:pPr>
              <w:pStyle w:val="Tabletext"/>
              <w:jc w:val="right"/>
            </w:pPr>
            <w:r>
              <w:t>75%</w:t>
            </w:r>
          </w:p>
        </w:tc>
        <w:tc>
          <w:tcPr>
            <w:tcW w:w="2646" w:type="dxa"/>
            <w:tcBorders>
              <w:top w:val="single" w:sz="4" w:space="0" w:color="646464"/>
              <w:left w:val="nil"/>
              <w:bottom w:val="single" w:sz="4" w:space="0" w:color="646464"/>
              <w:right w:val="nil"/>
            </w:tcBorders>
            <w:hideMark/>
          </w:tcPr>
          <w:p w14:paraId="23C07442" w14:textId="77777777" w:rsidR="00676882" w:rsidRDefault="00676882" w:rsidP="00DF45FA">
            <w:pPr>
              <w:pStyle w:val="Tabletext"/>
              <w:jc w:val="right"/>
            </w:pPr>
            <w:r>
              <w:t>$1575</w:t>
            </w:r>
          </w:p>
        </w:tc>
      </w:tr>
      <w:tr w:rsidR="00676882" w14:paraId="76A1780A"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05D46542" w14:textId="77777777" w:rsidR="00676882" w:rsidRDefault="00676882" w:rsidP="00DF45FA">
            <w:pPr>
              <w:pStyle w:val="Tabletext"/>
            </w:pPr>
            <w:r>
              <w:t>5</w:t>
            </w:r>
          </w:p>
        </w:tc>
        <w:tc>
          <w:tcPr>
            <w:tcW w:w="2645" w:type="dxa"/>
            <w:tcBorders>
              <w:top w:val="single" w:sz="4" w:space="0" w:color="646464"/>
              <w:left w:val="nil"/>
              <w:bottom w:val="single" w:sz="4" w:space="0" w:color="646464"/>
              <w:right w:val="nil"/>
            </w:tcBorders>
            <w:vAlign w:val="center"/>
            <w:hideMark/>
          </w:tcPr>
          <w:p w14:paraId="403D42E8" w14:textId="77777777" w:rsidR="00676882" w:rsidRDefault="00676882" w:rsidP="00DF45FA">
            <w:pPr>
              <w:pStyle w:val="Tabletext"/>
              <w:jc w:val="right"/>
            </w:pPr>
            <w:r>
              <w:t>60%</w:t>
            </w:r>
          </w:p>
        </w:tc>
        <w:tc>
          <w:tcPr>
            <w:tcW w:w="2646" w:type="dxa"/>
            <w:tcBorders>
              <w:top w:val="single" w:sz="4" w:space="0" w:color="646464"/>
              <w:left w:val="nil"/>
              <w:bottom w:val="single" w:sz="4" w:space="0" w:color="646464"/>
              <w:right w:val="nil"/>
            </w:tcBorders>
            <w:hideMark/>
          </w:tcPr>
          <w:p w14:paraId="093CA563" w14:textId="77777777" w:rsidR="00676882" w:rsidRDefault="00676882" w:rsidP="00DF45FA">
            <w:pPr>
              <w:pStyle w:val="Tabletext"/>
              <w:jc w:val="right"/>
            </w:pPr>
            <w:r>
              <w:t>$1260</w:t>
            </w:r>
          </w:p>
        </w:tc>
      </w:tr>
      <w:tr w:rsidR="00676882" w14:paraId="197EA414"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2B8716DD" w14:textId="77777777" w:rsidR="00676882" w:rsidRDefault="00676882" w:rsidP="00DF45FA">
            <w:pPr>
              <w:pStyle w:val="Tabletext"/>
            </w:pPr>
            <w:r>
              <w:t>6</w:t>
            </w:r>
          </w:p>
        </w:tc>
        <w:tc>
          <w:tcPr>
            <w:tcW w:w="2645" w:type="dxa"/>
            <w:tcBorders>
              <w:top w:val="single" w:sz="4" w:space="0" w:color="646464"/>
              <w:left w:val="nil"/>
              <w:bottom w:val="single" w:sz="4" w:space="0" w:color="646464"/>
              <w:right w:val="nil"/>
            </w:tcBorders>
            <w:vAlign w:val="center"/>
            <w:hideMark/>
          </w:tcPr>
          <w:p w14:paraId="7884E03E" w14:textId="77777777" w:rsidR="00676882" w:rsidRDefault="00676882" w:rsidP="00DF45FA">
            <w:pPr>
              <w:pStyle w:val="Tabletext"/>
              <w:jc w:val="right"/>
            </w:pPr>
            <w:r>
              <w:t>45%</w:t>
            </w:r>
          </w:p>
        </w:tc>
        <w:tc>
          <w:tcPr>
            <w:tcW w:w="2646" w:type="dxa"/>
            <w:tcBorders>
              <w:top w:val="single" w:sz="4" w:space="0" w:color="646464"/>
              <w:left w:val="nil"/>
              <w:bottom w:val="single" w:sz="4" w:space="0" w:color="646464"/>
              <w:right w:val="nil"/>
            </w:tcBorders>
            <w:hideMark/>
          </w:tcPr>
          <w:p w14:paraId="1C9BA110" w14:textId="77777777" w:rsidR="00676882" w:rsidRDefault="00676882" w:rsidP="00DF45FA">
            <w:pPr>
              <w:pStyle w:val="Tabletext"/>
              <w:jc w:val="right"/>
            </w:pPr>
            <w:r>
              <w:t>$945</w:t>
            </w:r>
          </w:p>
        </w:tc>
      </w:tr>
      <w:tr w:rsidR="00676882" w14:paraId="00FF9303"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2A694EC3" w14:textId="77777777" w:rsidR="00676882" w:rsidRDefault="00676882" w:rsidP="00DF45FA">
            <w:pPr>
              <w:pStyle w:val="Tabletext"/>
            </w:pPr>
            <w:r>
              <w:t>7</w:t>
            </w:r>
          </w:p>
        </w:tc>
        <w:tc>
          <w:tcPr>
            <w:tcW w:w="2645" w:type="dxa"/>
            <w:tcBorders>
              <w:top w:val="single" w:sz="4" w:space="0" w:color="646464"/>
              <w:left w:val="nil"/>
              <w:bottom w:val="single" w:sz="4" w:space="0" w:color="646464"/>
              <w:right w:val="nil"/>
            </w:tcBorders>
            <w:vAlign w:val="center"/>
            <w:hideMark/>
          </w:tcPr>
          <w:p w14:paraId="24FF4ADC" w14:textId="77777777" w:rsidR="00676882" w:rsidRDefault="00676882" w:rsidP="00DF45FA">
            <w:pPr>
              <w:pStyle w:val="Tabletext"/>
              <w:jc w:val="right"/>
            </w:pPr>
            <w:r>
              <w:t>30%</w:t>
            </w:r>
          </w:p>
        </w:tc>
        <w:tc>
          <w:tcPr>
            <w:tcW w:w="2646" w:type="dxa"/>
            <w:tcBorders>
              <w:top w:val="single" w:sz="4" w:space="0" w:color="646464"/>
              <w:left w:val="nil"/>
              <w:bottom w:val="single" w:sz="4" w:space="0" w:color="646464"/>
              <w:right w:val="nil"/>
            </w:tcBorders>
            <w:hideMark/>
          </w:tcPr>
          <w:p w14:paraId="70E7A05A" w14:textId="77777777" w:rsidR="00676882" w:rsidRDefault="00676882" w:rsidP="00DF45FA">
            <w:pPr>
              <w:pStyle w:val="Tabletext"/>
              <w:jc w:val="right"/>
            </w:pPr>
            <w:r>
              <w:t>$630</w:t>
            </w:r>
          </w:p>
        </w:tc>
      </w:tr>
      <w:tr w:rsidR="00676882" w14:paraId="02F9002F"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67B7865F" w14:textId="77777777" w:rsidR="00676882" w:rsidRDefault="00676882" w:rsidP="00DF45FA">
            <w:pPr>
              <w:pStyle w:val="Tabletext"/>
            </w:pPr>
            <w:r>
              <w:t>8</w:t>
            </w:r>
          </w:p>
        </w:tc>
        <w:tc>
          <w:tcPr>
            <w:tcW w:w="2645" w:type="dxa"/>
            <w:tcBorders>
              <w:top w:val="single" w:sz="4" w:space="0" w:color="646464"/>
              <w:left w:val="nil"/>
              <w:bottom w:val="single" w:sz="4" w:space="0" w:color="646464"/>
              <w:right w:val="nil"/>
            </w:tcBorders>
            <w:vAlign w:val="center"/>
            <w:hideMark/>
          </w:tcPr>
          <w:p w14:paraId="06AAD1C5" w14:textId="77777777" w:rsidR="00676882" w:rsidRDefault="00676882" w:rsidP="00DF45FA">
            <w:pPr>
              <w:pStyle w:val="Tabletext"/>
              <w:jc w:val="right"/>
            </w:pPr>
            <w:r>
              <w:t>15%</w:t>
            </w:r>
          </w:p>
        </w:tc>
        <w:tc>
          <w:tcPr>
            <w:tcW w:w="2646" w:type="dxa"/>
            <w:tcBorders>
              <w:top w:val="single" w:sz="4" w:space="0" w:color="646464"/>
              <w:left w:val="nil"/>
              <w:bottom w:val="single" w:sz="4" w:space="0" w:color="646464"/>
              <w:right w:val="nil"/>
            </w:tcBorders>
            <w:hideMark/>
          </w:tcPr>
          <w:p w14:paraId="623E16AE" w14:textId="77777777" w:rsidR="00676882" w:rsidRDefault="00676882" w:rsidP="00DF45FA">
            <w:pPr>
              <w:pStyle w:val="Tabletext"/>
              <w:jc w:val="right"/>
            </w:pPr>
            <w:r>
              <w:t>$315</w:t>
            </w:r>
          </w:p>
        </w:tc>
      </w:tr>
      <w:tr w:rsidR="00676882" w14:paraId="24DE25AB"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2588BEED" w14:textId="77777777" w:rsidR="00676882" w:rsidRDefault="00676882" w:rsidP="00DF45FA">
            <w:pPr>
              <w:pStyle w:val="Tabletext"/>
            </w:pPr>
            <w:r>
              <w:t>9</w:t>
            </w:r>
          </w:p>
        </w:tc>
        <w:tc>
          <w:tcPr>
            <w:tcW w:w="2645" w:type="dxa"/>
            <w:tcBorders>
              <w:top w:val="single" w:sz="4" w:space="0" w:color="646464"/>
              <w:left w:val="nil"/>
              <w:bottom w:val="single" w:sz="4" w:space="0" w:color="646464"/>
              <w:right w:val="nil"/>
            </w:tcBorders>
            <w:vAlign w:val="center"/>
            <w:hideMark/>
          </w:tcPr>
          <w:p w14:paraId="0A115841" w14:textId="77777777" w:rsidR="00676882" w:rsidRDefault="00676882" w:rsidP="00DF45FA">
            <w:pPr>
              <w:pStyle w:val="Tabletext"/>
              <w:jc w:val="right"/>
            </w:pPr>
            <w:r>
              <w:t>0%</w:t>
            </w:r>
          </w:p>
        </w:tc>
        <w:tc>
          <w:tcPr>
            <w:tcW w:w="2646" w:type="dxa"/>
            <w:tcBorders>
              <w:top w:val="single" w:sz="4" w:space="0" w:color="646464"/>
              <w:left w:val="nil"/>
              <w:bottom w:val="single" w:sz="4" w:space="0" w:color="646464"/>
              <w:right w:val="nil"/>
            </w:tcBorders>
            <w:hideMark/>
          </w:tcPr>
          <w:p w14:paraId="56736B09" w14:textId="77777777" w:rsidR="00676882" w:rsidRDefault="00676882" w:rsidP="00DF45FA">
            <w:pPr>
              <w:pStyle w:val="Tabletext"/>
              <w:jc w:val="right"/>
            </w:pPr>
            <w:r>
              <w:t>$0</w:t>
            </w:r>
          </w:p>
        </w:tc>
      </w:tr>
      <w:tr w:rsidR="00676882" w14:paraId="466BAE9B"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7957CC16" w14:textId="77777777" w:rsidR="00676882" w:rsidRDefault="00676882" w:rsidP="00DF45FA">
            <w:pPr>
              <w:pStyle w:val="Tabletext"/>
            </w:pPr>
            <w:r>
              <w:t>10</w:t>
            </w:r>
          </w:p>
        </w:tc>
        <w:tc>
          <w:tcPr>
            <w:tcW w:w="2645" w:type="dxa"/>
            <w:tcBorders>
              <w:top w:val="single" w:sz="4" w:space="0" w:color="646464"/>
              <w:left w:val="nil"/>
              <w:bottom w:val="single" w:sz="4" w:space="0" w:color="646464"/>
              <w:right w:val="nil"/>
            </w:tcBorders>
            <w:vAlign w:val="center"/>
            <w:hideMark/>
          </w:tcPr>
          <w:p w14:paraId="383D6652" w14:textId="77777777" w:rsidR="00676882" w:rsidRDefault="00676882" w:rsidP="00DF45FA">
            <w:pPr>
              <w:pStyle w:val="Tabletext"/>
              <w:jc w:val="right"/>
            </w:pPr>
            <w:r>
              <w:t>-13%</w:t>
            </w:r>
          </w:p>
        </w:tc>
        <w:tc>
          <w:tcPr>
            <w:tcW w:w="2646" w:type="dxa"/>
            <w:tcBorders>
              <w:top w:val="single" w:sz="4" w:space="0" w:color="646464"/>
              <w:left w:val="nil"/>
              <w:bottom w:val="single" w:sz="4" w:space="0" w:color="646464"/>
              <w:right w:val="nil"/>
            </w:tcBorders>
            <w:hideMark/>
          </w:tcPr>
          <w:p w14:paraId="268B3B39" w14:textId="77777777" w:rsidR="00676882" w:rsidRDefault="00676882" w:rsidP="00DF45FA">
            <w:pPr>
              <w:pStyle w:val="Tabletext"/>
              <w:jc w:val="right"/>
            </w:pPr>
            <w:r>
              <w:t>$-273</w:t>
            </w:r>
          </w:p>
        </w:tc>
      </w:tr>
      <w:tr w:rsidR="00676882" w14:paraId="05FB4960" w14:textId="77777777" w:rsidTr="00DF45FA">
        <w:trPr>
          <w:gridBefore w:val="1"/>
          <w:wBefore w:w="454" w:type="dxa"/>
        </w:trPr>
        <w:tc>
          <w:tcPr>
            <w:tcW w:w="7936" w:type="dxa"/>
            <w:gridSpan w:val="3"/>
            <w:tcBorders>
              <w:top w:val="single" w:sz="4" w:space="0" w:color="646464"/>
              <w:left w:val="nil"/>
              <w:bottom w:val="single" w:sz="4" w:space="0" w:color="646464"/>
              <w:right w:val="nil"/>
            </w:tcBorders>
            <w:hideMark/>
          </w:tcPr>
          <w:p w14:paraId="2C16534A" w14:textId="77777777" w:rsidR="00676882" w:rsidRDefault="00676882" w:rsidP="00DF45FA">
            <w:pPr>
              <w:pStyle w:val="Note"/>
            </w:pPr>
            <w:r>
              <w:rPr>
                <w:rStyle w:val="Notelabel"/>
              </w:rPr>
              <w:t xml:space="preserve">a </w:t>
            </w:r>
            <w:r>
              <w:t>Values based on analysis undertaken in the RED study</w:t>
            </w:r>
          </w:p>
          <w:p w14:paraId="6F8615B2" w14:textId="77777777" w:rsidR="00676882" w:rsidRDefault="00676882" w:rsidP="00DF45FA">
            <w:pPr>
              <w:pStyle w:val="Source"/>
              <w:spacing w:line="256" w:lineRule="auto"/>
            </w:pPr>
            <w:r>
              <w:t>Source: Energy Efficient Strategies</w:t>
            </w:r>
          </w:p>
        </w:tc>
      </w:tr>
      <w:tr w:rsidR="00676882" w14:paraId="26C5A49C" w14:textId="77777777" w:rsidTr="00DF45FA">
        <w:trPr>
          <w:gridBefore w:val="1"/>
          <w:wBefore w:w="454" w:type="dxa"/>
          <w:trHeight w:val="160"/>
        </w:trPr>
        <w:tc>
          <w:tcPr>
            <w:tcW w:w="7936" w:type="dxa"/>
            <w:gridSpan w:val="3"/>
            <w:tcBorders>
              <w:top w:val="single" w:sz="4" w:space="0" w:color="646464"/>
              <w:left w:val="nil"/>
              <w:bottom w:val="nil"/>
              <w:right w:val="nil"/>
            </w:tcBorders>
          </w:tcPr>
          <w:p w14:paraId="143A9728" w14:textId="77777777" w:rsidR="00676882" w:rsidRDefault="00676882" w:rsidP="00DF45FA">
            <w:pPr>
              <w:pStyle w:val="spacer"/>
              <w:spacing w:line="256" w:lineRule="auto"/>
            </w:pPr>
          </w:p>
        </w:tc>
      </w:tr>
    </w:tbl>
    <w:p w14:paraId="0748CEAA" w14:textId="77777777" w:rsidR="00676882" w:rsidRDefault="00676882" w:rsidP="00676882">
      <w:pPr>
        <w:pStyle w:val="Heading3AP"/>
        <w:numPr>
          <w:ilvl w:val="2"/>
          <w:numId w:val="45"/>
        </w:numPr>
      </w:pPr>
      <w:r>
        <w:t>Stock categorisation</w:t>
      </w:r>
    </w:p>
    <w:p w14:paraId="0F2D0902" w14:textId="77777777" w:rsidR="00676882" w:rsidRDefault="00676882" w:rsidP="00676882">
      <w:pPr>
        <w:pStyle w:val="BodyText"/>
        <w:rPr>
          <w:rFonts w:asciiTheme="minorHAnsi" w:hAnsiTheme="minorHAnsi" w:cstheme="minorBidi"/>
        </w:rPr>
      </w:pPr>
      <w:r>
        <w:t>All stock was simply categorised according to its expected Scorecard rating as determined via reference to the stock profile developed for the RED model i.e:</w:t>
      </w:r>
    </w:p>
    <w:p w14:paraId="4DBF3C83" w14:textId="77777777" w:rsidR="00676882" w:rsidRDefault="00676882" w:rsidP="00676882">
      <w:pPr>
        <w:pStyle w:val="Caption"/>
        <w:keepNext w:val="0"/>
        <w:numPr>
          <w:ilvl w:val="0"/>
          <w:numId w:val="90"/>
        </w:numPr>
        <w:spacing w:before="70" w:after="70" w:line="280" w:lineRule="atLeast"/>
        <w:ind w:left="420"/>
      </w:pPr>
      <w:r>
        <w:t>1 Star</w:t>
      </w:r>
    </w:p>
    <w:p w14:paraId="3C813C91" w14:textId="77777777" w:rsidR="00676882" w:rsidRDefault="00676882" w:rsidP="00676882">
      <w:pPr>
        <w:pStyle w:val="Caption"/>
        <w:keepNext w:val="0"/>
        <w:numPr>
          <w:ilvl w:val="0"/>
          <w:numId w:val="90"/>
        </w:numPr>
        <w:spacing w:before="70" w:after="70" w:line="280" w:lineRule="atLeast"/>
        <w:ind w:left="420"/>
      </w:pPr>
      <w:r>
        <w:t>2 Star</w:t>
      </w:r>
    </w:p>
    <w:p w14:paraId="44FD4B63" w14:textId="77777777" w:rsidR="00676882" w:rsidRDefault="00676882" w:rsidP="00676882">
      <w:pPr>
        <w:pStyle w:val="Caption"/>
        <w:keepNext w:val="0"/>
        <w:numPr>
          <w:ilvl w:val="0"/>
          <w:numId w:val="90"/>
        </w:numPr>
        <w:spacing w:before="70" w:after="70" w:line="280" w:lineRule="atLeast"/>
        <w:ind w:left="420"/>
      </w:pPr>
      <w:r>
        <w:t>3 Star</w:t>
      </w:r>
    </w:p>
    <w:p w14:paraId="4441DE18" w14:textId="77777777" w:rsidR="00676882" w:rsidRDefault="00676882" w:rsidP="00676882">
      <w:pPr>
        <w:pStyle w:val="Caption"/>
        <w:keepNext w:val="0"/>
        <w:numPr>
          <w:ilvl w:val="0"/>
          <w:numId w:val="90"/>
        </w:numPr>
        <w:spacing w:before="70" w:after="70" w:line="280" w:lineRule="atLeast"/>
        <w:ind w:left="420"/>
      </w:pPr>
      <w:r>
        <w:lastRenderedPageBreak/>
        <w:t>4 Star</w:t>
      </w:r>
    </w:p>
    <w:p w14:paraId="2DF22359" w14:textId="77777777" w:rsidR="00676882" w:rsidRDefault="00676882" w:rsidP="00676882">
      <w:pPr>
        <w:pStyle w:val="Caption"/>
        <w:keepNext w:val="0"/>
        <w:numPr>
          <w:ilvl w:val="0"/>
          <w:numId w:val="90"/>
        </w:numPr>
        <w:spacing w:before="70" w:after="70" w:line="280" w:lineRule="atLeast"/>
        <w:ind w:left="420"/>
      </w:pPr>
      <w:r>
        <w:t>5 Star</w:t>
      </w:r>
    </w:p>
    <w:p w14:paraId="3D42E500" w14:textId="77777777" w:rsidR="00676882" w:rsidRDefault="00676882" w:rsidP="00676882">
      <w:pPr>
        <w:pStyle w:val="Caption"/>
        <w:keepNext w:val="0"/>
        <w:numPr>
          <w:ilvl w:val="0"/>
          <w:numId w:val="90"/>
        </w:numPr>
        <w:spacing w:before="70" w:after="70" w:line="280" w:lineRule="atLeast"/>
        <w:ind w:left="420"/>
      </w:pPr>
      <w:r>
        <w:t>6 Star</w:t>
      </w:r>
    </w:p>
    <w:p w14:paraId="4A57F868" w14:textId="77777777" w:rsidR="00676882" w:rsidRDefault="00676882" w:rsidP="00676882">
      <w:pPr>
        <w:pStyle w:val="Caption"/>
        <w:keepNext w:val="0"/>
        <w:numPr>
          <w:ilvl w:val="0"/>
          <w:numId w:val="90"/>
        </w:numPr>
        <w:spacing w:before="70" w:after="70" w:line="280" w:lineRule="atLeast"/>
        <w:ind w:left="420"/>
      </w:pPr>
      <w:r>
        <w:t>7 Star</w:t>
      </w:r>
    </w:p>
    <w:p w14:paraId="2BE18B98" w14:textId="77777777" w:rsidR="00676882" w:rsidRDefault="00676882" w:rsidP="00676882">
      <w:pPr>
        <w:pStyle w:val="Caption"/>
        <w:keepNext w:val="0"/>
        <w:numPr>
          <w:ilvl w:val="0"/>
          <w:numId w:val="90"/>
        </w:numPr>
        <w:spacing w:before="70" w:after="70" w:line="280" w:lineRule="atLeast"/>
        <w:ind w:left="420"/>
      </w:pPr>
      <w:r>
        <w:t>8 Star</w:t>
      </w:r>
    </w:p>
    <w:p w14:paraId="06B50995" w14:textId="77777777" w:rsidR="00676882" w:rsidRDefault="00676882" w:rsidP="00676882">
      <w:pPr>
        <w:pStyle w:val="Caption"/>
        <w:keepNext w:val="0"/>
        <w:numPr>
          <w:ilvl w:val="0"/>
          <w:numId w:val="90"/>
        </w:numPr>
        <w:spacing w:before="70" w:after="70" w:line="280" w:lineRule="atLeast"/>
        <w:ind w:left="420"/>
      </w:pPr>
      <w:r>
        <w:t>9 Star</w:t>
      </w:r>
    </w:p>
    <w:p w14:paraId="6A3D57EB" w14:textId="77777777" w:rsidR="00676882" w:rsidRDefault="00676882" w:rsidP="00676882">
      <w:pPr>
        <w:pStyle w:val="Caption"/>
        <w:keepNext w:val="0"/>
        <w:numPr>
          <w:ilvl w:val="0"/>
          <w:numId w:val="90"/>
        </w:numPr>
        <w:spacing w:before="70" w:after="70" w:line="280" w:lineRule="atLeast"/>
        <w:ind w:left="420"/>
      </w:pPr>
      <w:r>
        <w:t>10 Star.</w:t>
      </w:r>
    </w:p>
    <w:p w14:paraId="4E62B474" w14:textId="77777777" w:rsidR="00676882" w:rsidRDefault="00676882" w:rsidP="00676882">
      <w:pPr>
        <w:pStyle w:val="BodyText"/>
      </w:pPr>
      <w:r>
        <w:t>Within the actual model only the relevant cohorts were assessed:</w:t>
      </w:r>
    </w:p>
    <w:p w14:paraId="3BB19710" w14:textId="77777777" w:rsidR="00676882" w:rsidRDefault="00676882" w:rsidP="00676882">
      <w:pPr>
        <w:pStyle w:val="Caption"/>
        <w:keepNext w:val="0"/>
        <w:numPr>
          <w:ilvl w:val="0"/>
          <w:numId w:val="90"/>
        </w:numPr>
        <w:spacing w:before="70" w:after="70" w:line="280" w:lineRule="atLeast"/>
        <w:ind w:left="420"/>
      </w:pPr>
      <w:r>
        <w:t>2 Star Minimum: BAU = Less than 2 Star, Upgraded = 2 star</w:t>
      </w:r>
    </w:p>
    <w:p w14:paraId="26FD213F" w14:textId="77777777" w:rsidR="00676882" w:rsidRDefault="00676882" w:rsidP="00676882">
      <w:pPr>
        <w:pStyle w:val="Caption"/>
        <w:keepNext w:val="0"/>
        <w:numPr>
          <w:ilvl w:val="0"/>
          <w:numId w:val="90"/>
        </w:numPr>
        <w:spacing w:before="70" w:after="70" w:line="280" w:lineRule="atLeast"/>
        <w:ind w:left="420"/>
      </w:pPr>
      <w:r>
        <w:t>3 Star Minimum: BAU = Less than 3 Star, Upgraded = 3 star.</w:t>
      </w:r>
    </w:p>
    <w:p w14:paraId="57F13EF5" w14:textId="77777777" w:rsidR="00676882" w:rsidRDefault="00676882" w:rsidP="00676882">
      <w:pPr>
        <w:pStyle w:val="BodyText"/>
      </w:pPr>
      <w:r>
        <w:t>All existing cohorts equal to or above a 3 Star rating were simply ignored as the regulations would not impact on these cohorts.</w:t>
      </w:r>
    </w:p>
    <w:p w14:paraId="5D092B5F" w14:textId="77777777" w:rsidR="00676882" w:rsidRDefault="00676882" w:rsidP="00676882">
      <w:pPr>
        <w:pStyle w:val="Heading3AP"/>
        <w:numPr>
          <w:ilvl w:val="2"/>
          <w:numId w:val="45"/>
        </w:numPr>
      </w:pPr>
      <w:r>
        <w:t>Stock profile</w:t>
      </w:r>
    </w:p>
    <w:p w14:paraId="43D1CAB5" w14:textId="77777777" w:rsidR="00676882" w:rsidRDefault="00676882" w:rsidP="00676882">
      <w:pPr>
        <w:pStyle w:val="BodyText"/>
      </w:pPr>
      <w:r>
        <w:t xml:space="preserve">Based on the analysis undertaken in the RED study the existing stock profiles are estimated to be as shown in </w:t>
      </w:r>
      <w:r w:rsidRPr="009E4AB1">
        <w:fldChar w:fldCharType="begin"/>
      </w:r>
      <w:r w:rsidRPr="009E4AB1">
        <w:instrText xml:space="preserve"> REF _Ref80715722 \h  \* MERGEFORMAT </w:instrText>
      </w:r>
      <w:r w:rsidRPr="009E4AB1">
        <w:fldChar w:fldCharType="separate"/>
      </w:r>
      <w:r w:rsidRPr="00F32FCC">
        <w:t>Table C.8</w:t>
      </w:r>
      <w:r w:rsidRPr="009E4AB1">
        <w:fldChar w:fldCharType="end"/>
      </w:r>
      <w:r>
        <w:t>. For class 2 dwellings there are no dwellings of less than 2 stars rating, this means that for class 2 dwellings the first regulatory option (upgrade to 2 stars) would not be applicable (only class 1 dwellings would be affected). The other noteworthy aspect is that the proportion of the stock that is less than 2 stars is relatively small (</w:t>
      </w:r>
      <w:proofErr w:type="gramStart"/>
      <w:r>
        <w:t>i.e.</w:t>
      </w:r>
      <w:proofErr w:type="gramEnd"/>
      <w:r>
        <w:t xml:space="preserve"> limited scope for upgrades) whereas the proportion of the stock that is less than 3 stars is relatively large (i.e. significant scope for upgrades).</w:t>
      </w:r>
    </w:p>
    <w:p w14:paraId="625A4A82" w14:textId="77777777" w:rsidR="00676882" w:rsidRDefault="00676882" w:rsidP="00676882">
      <w:pPr>
        <w:pStyle w:val="BodyText"/>
      </w:pPr>
      <w:bookmarkStart w:id="466" w:name="_Ref80715722"/>
      <w:bookmarkStart w:id="467" w:name="_Toc76321188"/>
      <w:bookmarkStart w:id="468" w:name="_Toc80719353"/>
      <w:r>
        <w:rPr>
          <w:rStyle w:val="CaptionLabel"/>
        </w:rPr>
        <w:t>Table </w:t>
      </w:r>
      <w:r>
        <w:fldChar w:fldCharType="begin"/>
      </w:r>
      <w:r>
        <w:rPr>
          <w:rStyle w:val="CaptionLabel"/>
        </w:rPr>
        <w:instrText xml:space="preserve"> STYLEREF 9 \S \* MERGEFORMAT </w:instrText>
      </w:r>
      <w:r>
        <w:fldChar w:fldCharType="separate"/>
      </w:r>
      <w:r>
        <w:rPr>
          <w:rStyle w:val="CaptionLabel"/>
          <w:noProof/>
        </w:rPr>
        <w:t>C</w:t>
      </w:r>
      <w:r>
        <w:fldChar w:fldCharType="end"/>
      </w:r>
      <w:r>
        <w:rPr>
          <w:rStyle w:val="CaptionLabel"/>
        </w:rPr>
        <w:t>.</w:t>
      </w:r>
      <w:r>
        <w:fldChar w:fldCharType="begin"/>
      </w:r>
      <w:r>
        <w:rPr>
          <w:rStyle w:val="CaptionLabel"/>
        </w:rPr>
        <w:instrText xml:space="preserve"> SEQ Table_AP \* ARABIC \S 9 \* MERGEFORMAT </w:instrText>
      </w:r>
      <w:r>
        <w:fldChar w:fldCharType="separate"/>
      </w:r>
      <w:r>
        <w:rPr>
          <w:rStyle w:val="CaptionLabel"/>
          <w:noProof/>
        </w:rPr>
        <w:t>8</w:t>
      </w:r>
      <w:r>
        <w:fldChar w:fldCharType="end"/>
      </w:r>
      <w:bookmarkEnd w:id="466"/>
      <w:r>
        <w:tab/>
        <w:t>Propensity of Existing ACT Housing - Victorian Scorecard Rating Basis</w:t>
      </w:r>
      <w:bookmarkEnd w:id="467"/>
      <w:bookmarkEnd w:id="468"/>
    </w:p>
    <w:tbl>
      <w:tblPr>
        <w:tblW w:w="8385" w:type="dxa"/>
        <w:tblInd w:w="-454"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C.8"/>
        <w:tblDescription w:val="Propensity of Existing ACT Housing - Victorian Scorecard Rating Basis"/>
      </w:tblPr>
      <w:tblGrid>
        <w:gridCol w:w="454"/>
        <w:gridCol w:w="2644"/>
        <w:gridCol w:w="2643"/>
        <w:gridCol w:w="2644"/>
      </w:tblGrid>
      <w:tr w:rsidR="00676882" w14:paraId="5EB36DA9" w14:textId="77777777" w:rsidTr="00DF45FA">
        <w:trPr>
          <w:tblHeader/>
        </w:trPr>
        <w:tc>
          <w:tcPr>
            <w:tcW w:w="3099" w:type="dxa"/>
            <w:gridSpan w:val="2"/>
            <w:tcBorders>
              <w:top w:val="nil"/>
              <w:left w:val="nil"/>
              <w:bottom w:val="nil"/>
              <w:right w:val="nil"/>
            </w:tcBorders>
            <w:shd w:val="clear" w:color="auto" w:fill="140034"/>
            <w:tcMar>
              <w:top w:w="0" w:type="dxa"/>
              <w:left w:w="454" w:type="dxa"/>
              <w:bottom w:w="40" w:type="dxa"/>
              <w:right w:w="0" w:type="dxa"/>
            </w:tcMar>
            <w:hideMark/>
          </w:tcPr>
          <w:p w14:paraId="3CE94561" w14:textId="77777777" w:rsidR="00676882" w:rsidRDefault="00676882" w:rsidP="00DF45FA">
            <w:pPr>
              <w:pStyle w:val="Tablecolumnheadings"/>
            </w:pPr>
            <w:r>
              <w:t>Scorecard Star Rating</w:t>
            </w:r>
          </w:p>
        </w:tc>
        <w:tc>
          <w:tcPr>
            <w:tcW w:w="2645" w:type="dxa"/>
            <w:tcBorders>
              <w:top w:val="nil"/>
              <w:left w:val="nil"/>
              <w:bottom w:val="nil"/>
              <w:right w:val="nil"/>
            </w:tcBorders>
            <w:shd w:val="clear" w:color="auto" w:fill="140034"/>
            <w:hideMark/>
          </w:tcPr>
          <w:p w14:paraId="5C176025" w14:textId="77777777" w:rsidR="00676882" w:rsidRDefault="00676882" w:rsidP="00DF45FA">
            <w:pPr>
              <w:pStyle w:val="Tablecolumnheadings"/>
            </w:pPr>
            <w:r>
              <w:t>Propensity – Class 1</w:t>
            </w:r>
          </w:p>
        </w:tc>
        <w:tc>
          <w:tcPr>
            <w:tcW w:w="2646" w:type="dxa"/>
            <w:tcBorders>
              <w:top w:val="nil"/>
              <w:left w:val="nil"/>
              <w:bottom w:val="nil"/>
              <w:right w:val="single" w:sz="6" w:space="0" w:color="140034"/>
            </w:tcBorders>
            <w:shd w:val="clear" w:color="auto" w:fill="140034"/>
            <w:hideMark/>
          </w:tcPr>
          <w:p w14:paraId="07D05758" w14:textId="77777777" w:rsidR="00676882" w:rsidRDefault="00676882" w:rsidP="00DF45FA">
            <w:pPr>
              <w:pStyle w:val="Tablecolumnheadings"/>
            </w:pPr>
            <w:r>
              <w:t>Propensity – Class 2</w:t>
            </w:r>
          </w:p>
        </w:tc>
      </w:tr>
      <w:tr w:rsidR="00676882" w14:paraId="1341F51E" w14:textId="77777777" w:rsidTr="00DF45FA">
        <w:trPr>
          <w:gridBefore w:val="1"/>
          <w:wBefore w:w="454" w:type="dxa"/>
        </w:trPr>
        <w:tc>
          <w:tcPr>
            <w:tcW w:w="2645" w:type="dxa"/>
            <w:tcBorders>
              <w:top w:val="nil"/>
              <w:left w:val="nil"/>
              <w:bottom w:val="single" w:sz="4" w:space="0" w:color="646464"/>
              <w:right w:val="nil"/>
            </w:tcBorders>
            <w:hideMark/>
          </w:tcPr>
          <w:p w14:paraId="2482CA0F" w14:textId="77777777" w:rsidR="00676882" w:rsidRDefault="00676882" w:rsidP="00DF45FA">
            <w:pPr>
              <w:pStyle w:val="Tabletext"/>
            </w:pPr>
            <w:r>
              <w:t>0</w:t>
            </w:r>
          </w:p>
        </w:tc>
        <w:tc>
          <w:tcPr>
            <w:tcW w:w="2645" w:type="dxa"/>
            <w:tcBorders>
              <w:top w:val="nil"/>
              <w:left w:val="nil"/>
              <w:bottom w:val="single" w:sz="4" w:space="0" w:color="646464"/>
              <w:right w:val="nil"/>
            </w:tcBorders>
            <w:hideMark/>
          </w:tcPr>
          <w:p w14:paraId="488E56DF" w14:textId="77777777" w:rsidR="00676882" w:rsidRDefault="00676882" w:rsidP="00DF45FA">
            <w:pPr>
              <w:pStyle w:val="Tabletext"/>
              <w:jc w:val="right"/>
            </w:pPr>
            <w:r>
              <w:t>0.2%</w:t>
            </w:r>
          </w:p>
        </w:tc>
        <w:tc>
          <w:tcPr>
            <w:tcW w:w="2646" w:type="dxa"/>
            <w:tcBorders>
              <w:top w:val="nil"/>
              <w:left w:val="nil"/>
              <w:bottom w:val="single" w:sz="4" w:space="0" w:color="646464"/>
              <w:right w:val="nil"/>
            </w:tcBorders>
            <w:hideMark/>
          </w:tcPr>
          <w:p w14:paraId="17A79669" w14:textId="77777777" w:rsidR="00676882" w:rsidRDefault="00676882" w:rsidP="00DF45FA">
            <w:pPr>
              <w:pStyle w:val="Tabletext"/>
              <w:jc w:val="right"/>
            </w:pPr>
            <w:r>
              <w:t>0.0%</w:t>
            </w:r>
          </w:p>
        </w:tc>
      </w:tr>
      <w:tr w:rsidR="00676882" w14:paraId="61F66767"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64653180" w14:textId="77777777" w:rsidR="00676882" w:rsidRDefault="00676882" w:rsidP="00DF45FA">
            <w:pPr>
              <w:pStyle w:val="Tabletext"/>
            </w:pPr>
            <w:r>
              <w:t>1</w:t>
            </w:r>
          </w:p>
        </w:tc>
        <w:tc>
          <w:tcPr>
            <w:tcW w:w="2645" w:type="dxa"/>
            <w:tcBorders>
              <w:top w:val="single" w:sz="4" w:space="0" w:color="646464"/>
              <w:left w:val="nil"/>
              <w:bottom w:val="single" w:sz="4" w:space="0" w:color="646464"/>
              <w:right w:val="nil"/>
            </w:tcBorders>
            <w:hideMark/>
          </w:tcPr>
          <w:p w14:paraId="1928DEC8" w14:textId="77777777" w:rsidR="00676882" w:rsidRDefault="00676882" w:rsidP="00DF45FA">
            <w:pPr>
              <w:pStyle w:val="Tabletext"/>
              <w:jc w:val="right"/>
            </w:pPr>
            <w:r>
              <w:t>6.6%</w:t>
            </w:r>
          </w:p>
        </w:tc>
        <w:tc>
          <w:tcPr>
            <w:tcW w:w="2646" w:type="dxa"/>
            <w:tcBorders>
              <w:top w:val="single" w:sz="4" w:space="0" w:color="646464"/>
              <w:left w:val="nil"/>
              <w:bottom w:val="single" w:sz="4" w:space="0" w:color="646464"/>
              <w:right w:val="nil"/>
            </w:tcBorders>
            <w:hideMark/>
          </w:tcPr>
          <w:p w14:paraId="4FF76BFB" w14:textId="77777777" w:rsidR="00676882" w:rsidRDefault="00676882" w:rsidP="00DF45FA">
            <w:pPr>
              <w:pStyle w:val="Tabletext"/>
              <w:jc w:val="right"/>
            </w:pPr>
            <w:r>
              <w:t>0.0%</w:t>
            </w:r>
          </w:p>
        </w:tc>
      </w:tr>
      <w:tr w:rsidR="00676882" w14:paraId="0C902135"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44E9D7D9" w14:textId="77777777" w:rsidR="00676882" w:rsidRDefault="00676882" w:rsidP="00DF45FA">
            <w:pPr>
              <w:pStyle w:val="Tabletext"/>
            </w:pPr>
            <w:r>
              <w:t>2</w:t>
            </w:r>
          </w:p>
        </w:tc>
        <w:tc>
          <w:tcPr>
            <w:tcW w:w="2645" w:type="dxa"/>
            <w:tcBorders>
              <w:top w:val="single" w:sz="4" w:space="0" w:color="646464"/>
              <w:left w:val="nil"/>
              <w:bottom w:val="single" w:sz="4" w:space="0" w:color="646464"/>
              <w:right w:val="nil"/>
            </w:tcBorders>
            <w:hideMark/>
          </w:tcPr>
          <w:p w14:paraId="5A0A7C38" w14:textId="77777777" w:rsidR="00676882" w:rsidRDefault="00676882" w:rsidP="00DF45FA">
            <w:pPr>
              <w:pStyle w:val="Tabletext"/>
              <w:jc w:val="right"/>
            </w:pPr>
            <w:r>
              <w:t>42.7%</w:t>
            </w:r>
          </w:p>
        </w:tc>
        <w:tc>
          <w:tcPr>
            <w:tcW w:w="2646" w:type="dxa"/>
            <w:tcBorders>
              <w:top w:val="single" w:sz="4" w:space="0" w:color="646464"/>
              <w:left w:val="nil"/>
              <w:bottom w:val="single" w:sz="4" w:space="0" w:color="646464"/>
              <w:right w:val="nil"/>
            </w:tcBorders>
            <w:hideMark/>
          </w:tcPr>
          <w:p w14:paraId="5F4C48C2" w14:textId="77777777" w:rsidR="00676882" w:rsidRDefault="00676882" w:rsidP="00DF45FA">
            <w:pPr>
              <w:pStyle w:val="Tabletext"/>
              <w:jc w:val="right"/>
            </w:pPr>
            <w:r>
              <w:t>10.9%</w:t>
            </w:r>
          </w:p>
        </w:tc>
      </w:tr>
      <w:tr w:rsidR="00676882" w14:paraId="18D22F4C"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1056A2DB" w14:textId="77777777" w:rsidR="00676882" w:rsidRDefault="00676882" w:rsidP="00DF45FA">
            <w:pPr>
              <w:pStyle w:val="Tabletext"/>
            </w:pPr>
            <w:r>
              <w:t>3</w:t>
            </w:r>
          </w:p>
        </w:tc>
        <w:tc>
          <w:tcPr>
            <w:tcW w:w="2645" w:type="dxa"/>
            <w:tcBorders>
              <w:top w:val="single" w:sz="4" w:space="0" w:color="646464"/>
              <w:left w:val="nil"/>
              <w:bottom w:val="single" w:sz="4" w:space="0" w:color="646464"/>
              <w:right w:val="nil"/>
            </w:tcBorders>
            <w:hideMark/>
          </w:tcPr>
          <w:p w14:paraId="66B272AA" w14:textId="77777777" w:rsidR="00676882" w:rsidRDefault="00676882" w:rsidP="00DF45FA">
            <w:pPr>
              <w:pStyle w:val="Tabletext"/>
              <w:jc w:val="right"/>
            </w:pPr>
            <w:r>
              <w:t>27.3%</w:t>
            </w:r>
          </w:p>
        </w:tc>
        <w:tc>
          <w:tcPr>
            <w:tcW w:w="2646" w:type="dxa"/>
            <w:tcBorders>
              <w:top w:val="single" w:sz="4" w:space="0" w:color="646464"/>
              <w:left w:val="nil"/>
              <w:bottom w:val="single" w:sz="4" w:space="0" w:color="646464"/>
              <w:right w:val="nil"/>
            </w:tcBorders>
            <w:hideMark/>
          </w:tcPr>
          <w:p w14:paraId="66E5CC0E" w14:textId="77777777" w:rsidR="00676882" w:rsidRDefault="00676882" w:rsidP="00DF45FA">
            <w:pPr>
              <w:pStyle w:val="Tabletext"/>
              <w:jc w:val="right"/>
            </w:pPr>
            <w:r>
              <w:t>24.0%</w:t>
            </w:r>
          </w:p>
        </w:tc>
      </w:tr>
      <w:tr w:rsidR="00676882" w14:paraId="235F4898"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526D33E6" w14:textId="77777777" w:rsidR="00676882" w:rsidRDefault="00676882" w:rsidP="00DF45FA">
            <w:pPr>
              <w:pStyle w:val="Tabletext"/>
            </w:pPr>
            <w:r>
              <w:t>4</w:t>
            </w:r>
          </w:p>
        </w:tc>
        <w:tc>
          <w:tcPr>
            <w:tcW w:w="2645" w:type="dxa"/>
            <w:tcBorders>
              <w:top w:val="single" w:sz="4" w:space="0" w:color="646464"/>
              <w:left w:val="nil"/>
              <w:bottom w:val="single" w:sz="4" w:space="0" w:color="646464"/>
              <w:right w:val="nil"/>
            </w:tcBorders>
            <w:hideMark/>
          </w:tcPr>
          <w:p w14:paraId="426CEEB9" w14:textId="77777777" w:rsidR="00676882" w:rsidRDefault="00676882" w:rsidP="00DF45FA">
            <w:pPr>
              <w:pStyle w:val="Tabletext"/>
              <w:jc w:val="right"/>
            </w:pPr>
            <w:r>
              <w:t>15.6%</w:t>
            </w:r>
          </w:p>
        </w:tc>
        <w:tc>
          <w:tcPr>
            <w:tcW w:w="2646" w:type="dxa"/>
            <w:tcBorders>
              <w:top w:val="single" w:sz="4" w:space="0" w:color="646464"/>
              <w:left w:val="nil"/>
              <w:bottom w:val="single" w:sz="4" w:space="0" w:color="646464"/>
              <w:right w:val="nil"/>
            </w:tcBorders>
            <w:hideMark/>
          </w:tcPr>
          <w:p w14:paraId="680F05D2" w14:textId="77777777" w:rsidR="00676882" w:rsidRDefault="00676882" w:rsidP="00DF45FA">
            <w:pPr>
              <w:pStyle w:val="Tabletext"/>
              <w:jc w:val="right"/>
            </w:pPr>
            <w:r>
              <w:t>42.0%</w:t>
            </w:r>
          </w:p>
        </w:tc>
      </w:tr>
      <w:tr w:rsidR="00676882" w14:paraId="46E6E823"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1970BA00" w14:textId="77777777" w:rsidR="00676882" w:rsidRDefault="00676882" w:rsidP="00DF45FA">
            <w:pPr>
              <w:pStyle w:val="Tabletext"/>
            </w:pPr>
            <w:r>
              <w:t>5</w:t>
            </w:r>
          </w:p>
        </w:tc>
        <w:tc>
          <w:tcPr>
            <w:tcW w:w="2645" w:type="dxa"/>
            <w:tcBorders>
              <w:top w:val="single" w:sz="4" w:space="0" w:color="646464"/>
              <w:left w:val="nil"/>
              <w:bottom w:val="single" w:sz="4" w:space="0" w:color="646464"/>
              <w:right w:val="nil"/>
            </w:tcBorders>
            <w:hideMark/>
          </w:tcPr>
          <w:p w14:paraId="149C501E" w14:textId="77777777" w:rsidR="00676882" w:rsidRDefault="00676882" w:rsidP="00DF45FA">
            <w:pPr>
              <w:pStyle w:val="Tabletext"/>
              <w:jc w:val="right"/>
            </w:pPr>
            <w:r>
              <w:t>4.9%</w:t>
            </w:r>
          </w:p>
        </w:tc>
        <w:tc>
          <w:tcPr>
            <w:tcW w:w="2646" w:type="dxa"/>
            <w:tcBorders>
              <w:top w:val="single" w:sz="4" w:space="0" w:color="646464"/>
              <w:left w:val="nil"/>
              <w:bottom w:val="single" w:sz="4" w:space="0" w:color="646464"/>
              <w:right w:val="nil"/>
            </w:tcBorders>
            <w:hideMark/>
          </w:tcPr>
          <w:p w14:paraId="4BBA58A1" w14:textId="77777777" w:rsidR="00676882" w:rsidRDefault="00676882" w:rsidP="00DF45FA">
            <w:pPr>
              <w:pStyle w:val="Tabletext"/>
              <w:jc w:val="right"/>
            </w:pPr>
            <w:r>
              <w:t>21.0%</w:t>
            </w:r>
          </w:p>
        </w:tc>
      </w:tr>
      <w:tr w:rsidR="00676882" w14:paraId="3D6D8718"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236463C7" w14:textId="77777777" w:rsidR="00676882" w:rsidRDefault="00676882" w:rsidP="00DF45FA">
            <w:pPr>
              <w:pStyle w:val="Tabletext"/>
            </w:pPr>
            <w:r>
              <w:t>6</w:t>
            </w:r>
          </w:p>
        </w:tc>
        <w:tc>
          <w:tcPr>
            <w:tcW w:w="2645" w:type="dxa"/>
            <w:tcBorders>
              <w:top w:val="single" w:sz="4" w:space="0" w:color="646464"/>
              <w:left w:val="nil"/>
              <w:bottom w:val="single" w:sz="4" w:space="0" w:color="646464"/>
              <w:right w:val="nil"/>
            </w:tcBorders>
            <w:hideMark/>
          </w:tcPr>
          <w:p w14:paraId="5D5493B2" w14:textId="77777777" w:rsidR="00676882" w:rsidRDefault="00676882" w:rsidP="00DF45FA">
            <w:pPr>
              <w:pStyle w:val="Tabletext"/>
              <w:jc w:val="right"/>
            </w:pPr>
            <w:r>
              <w:t>2.2%</w:t>
            </w:r>
          </w:p>
        </w:tc>
        <w:tc>
          <w:tcPr>
            <w:tcW w:w="2646" w:type="dxa"/>
            <w:tcBorders>
              <w:top w:val="single" w:sz="4" w:space="0" w:color="646464"/>
              <w:left w:val="nil"/>
              <w:bottom w:val="single" w:sz="4" w:space="0" w:color="646464"/>
              <w:right w:val="nil"/>
            </w:tcBorders>
            <w:hideMark/>
          </w:tcPr>
          <w:p w14:paraId="10B2FBAB" w14:textId="77777777" w:rsidR="00676882" w:rsidRDefault="00676882" w:rsidP="00DF45FA">
            <w:pPr>
              <w:pStyle w:val="Tabletext"/>
              <w:jc w:val="right"/>
            </w:pPr>
            <w:r>
              <w:t>2.1%</w:t>
            </w:r>
          </w:p>
        </w:tc>
      </w:tr>
      <w:tr w:rsidR="00676882" w14:paraId="5B99F6BF"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2DE4717F" w14:textId="77777777" w:rsidR="00676882" w:rsidRDefault="00676882" w:rsidP="00DF45FA">
            <w:pPr>
              <w:pStyle w:val="Tabletext"/>
            </w:pPr>
            <w:r>
              <w:t>7</w:t>
            </w:r>
          </w:p>
        </w:tc>
        <w:tc>
          <w:tcPr>
            <w:tcW w:w="2645" w:type="dxa"/>
            <w:tcBorders>
              <w:top w:val="single" w:sz="4" w:space="0" w:color="646464"/>
              <w:left w:val="nil"/>
              <w:bottom w:val="single" w:sz="4" w:space="0" w:color="646464"/>
              <w:right w:val="nil"/>
            </w:tcBorders>
            <w:hideMark/>
          </w:tcPr>
          <w:p w14:paraId="2FE2DD72" w14:textId="77777777" w:rsidR="00676882" w:rsidRDefault="00676882" w:rsidP="00DF45FA">
            <w:pPr>
              <w:pStyle w:val="Tabletext"/>
              <w:jc w:val="right"/>
            </w:pPr>
            <w:r>
              <w:t>0.4%</w:t>
            </w:r>
          </w:p>
        </w:tc>
        <w:tc>
          <w:tcPr>
            <w:tcW w:w="2646" w:type="dxa"/>
            <w:tcBorders>
              <w:top w:val="single" w:sz="4" w:space="0" w:color="646464"/>
              <w:left w:val="nil"/>
              <w:bottom w:val="single" w:sz="4" w:space="0" w:color="646464"/>
              <w:right w:val="nil"/>
            </w:tcBorders>
            <w:hideMark/>
          </w:tcPr>
          <w:p w14:paraId="2D561CC2" w14:textId="77777777" w:rsidR="00676882" w:rsidRDefault="00676882" w:rsidP="00DF45FA">
            <w:pPr>
              <w:pStyle w:val="Tabletext"/>
              <w:jc w:val="right"/>
            </w:pPr>
            <w:r>
              <w:t>0.0%</w:t>
            </w:r>
          </w:p>
        </w:tc>
      </w:tr>
      <w:tr w:rsidR="00676882" w14:paraId="1A11DA85"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3C9BE709" w14:textId="77777777" w:rsidR="00676882" w:rsidRDefault="00676882" w:rsidP="00DF45FA">
            <w:pPr>
              <w:pStyle w:val="Tabletext"/>
            </w:pPr>
            <w:r>
              <w:t>8</w:t>
            </w:r>
          </w:p>
        </w:tc>
        <w:tc>
          <w:tcPr>
            <w:tcW w:w="2645" w:type="dxa"/>
            <w:tcBorders>
              <w:top w:val="single" w:sz="4" w:space="0" w:color="646464"/>
              <w:left w:val="nil"/>
              <w:bottom w:val="single" w:sz="4" w:space="0" w:color="646464"/>
              <w:right w:val="nil"/>
            </w:tcBorders>
            <w:vAlign w:val="center"/>
            <w:hideMark/>
          </w:tcPr>
          <w:p w14:paraId="43FB2274" w14:textId="77777777" w:rsidR="00676882" w:rsidRDefault="00676882" w:rsidP="00DF45FA">
            <w:pPr>
              <w:pStyle w:val="Tabletext"/>
              <w:jc w:val="right"/>
            </w:pPr>
            <w:r>
              <w:t>0.00%</w:t>
            </w:r>
          </w:p>
        </w:tc>
        <w:tc>
          <w:tcPr>
            <w:tcW w:w="2646" w:type="dxa"/>
            <w:tcBorders>
              <w:top w:val="single" w:sz="4" w:space="0" w:color="646464"/>
              <w:left w:val="nil"/>
              <w:bottom w:val="single" w:sz="4" w:space="0" w:color="646464"/>
              <w:right w:val="nil"/>
            </w:tcBorders>
            <w:hideMark/>
          </w:tcPr>
          <w:p w14:paraId="1465A259" w14:textId="77777777" w:rsidR="00676882" w:rsidRDefault="00676882" w:rsidP="00DF45FA">
            <w:pPr>
              <w:pStyle w:val="Tabletext"/>
              <w:jc w:val="right"/>
            </w:pPr>
            <w:r>
              <w:t>0.0%</w:t>
            </w:r>
          </w:p>
        </w:tc>
      </w:tr>
      <w:tr w:rsidR="00676882" w14:paraId="2F0F41F1" w14:textId="77777777" w:rsidTr="00DF45FA">
        <w:trPr>
          <w:gridBefore w:val="1"/>
          <w:wBefore w:w="454" w:type="dxa"/>
        </w:trPr>
        <w:tc>
          <w:tcPr>
            <w:tcW w:w="2645" w:type="dxa"/>
            <w:tcBorders>
              <w:top w:val="single" w:sz="4" w:space="0" w:color="646464"/>
              <w:left w:val="nil"/>
              <w:bottom w:val="single" w:sz="4" w:space="0" w:color="646464"/>
              <w:right w:val="nil"/>
            </w:tcBorders>
            <w:hideMark/>
          </w:tcPr>
          <w:p w14:paraId="39F8DDE8" w14:textId="77777777" w:rsidR="00676882" w:rsidRDefault="00676882" w:rsidP="00DF45FA">
            <w:pPr>
              <w:pStyle w:val="Tabletext"/>
            </w:pPr>
            <w:r>
              <w:t>9</w:t>
            </w:r>
          </w:p>
        </w:tc>
        <w:tc>
          <w:tcPr>
            <w:tcW w:w="2645" w:type="dxa"/>
            <w:tcBorders>
              <w:top w:val="single" w:sz="4" w:space="0" w:color="646464"/>
              <w:left w:val="nil"/>
              <w:bottom w:val="single" w:sz="4" w:space="0" w:color="646464"/>
              <w:right w:val="nil"/>
            </w:tcBorders>
            <w:vAlign w:val="center"/>
            <w:hideMark/>
          </w:tcPr>
          <w:p w14:paraId="1B65F2F6" w14:textId="77777777" w:rsidR="00676882" w:rsidRDefault="00676882" w:rsidP="00DF45FA">
            <w:pPr>
              <w:pStyle w:val="Tabletext"/>
              <w:jc w:val="right"/>
            </w:pPr>
            <w:r>
              <w:t>0.00%</w:t>
            </w:r>
          </w:p>
        </w:tc>
        <w:tc>
          <w:tcPr>
            <w:tcW w:w="2646" w:type="dxa"/>
            <w:tcBorders>
              <w:top w:val="single" w:sz="4" w:space="0" w:color="646464"/>
              <w:left w:val="nil"/>
              <w:bottom w:val="single" w:sz="4" w:space="0" w:color="646464"/>
              <w:right w:val="nil"/>
            </w:tcBorders>
            <w:hideMark/>
          </w:tcPr>
          <w:p w14:paraId="31268D80" w14:textId="77777777" w:rsidR="00676882" w:rsidRDefault="00676882" w:rsidP="00DF45FA">
            <w:pPr>
              <w:pStyle w:val="Tabletext"/>
              <w:jc w:val="right"/>
            </w:pPr>
            <w:r>
              <w:t>0.0%</w:t>
            </w:r>
          </w:p>
        </w:tc>
      </w:tr>
      <w:tr w:rsidR="00676882" w14:paraId="7128644E" w14:textId="77777777" w:rsidTr="00DF45FA">
        <w:trPr>
          <w:gridBefore w:val="1"/>
          <w:wBefore w:w="454" w:type="dxa"/>
        </w:trPr>
        <w:tc>
          <w:tcPr>
            <w:tcW w:w="7936" w:type="dxa"/>
            <w:gridSpan w:val="3"/>
            <w:tcBorders>
              <w:top w:val="single" w:sz="4" w:space="0" w:color="646464"/>
              <w:left w:val="nil"/>
              <w:bottom w:val="single" w:sz="4" w:space="0" w:color="646464"/>
              <w:right w:val="nil"/>
            </w:tcBorders>
            <w:hideMark/>
          </w:tcPr>
          <w:p w14:paraId="7761773D" w14:textId="77777777" w:rsidR="00676882" w:rsidRDefault="00676882" w:rsidP="00DF45FA">
            <w:pPr>
              <w:pStyle w:val="Source"/>
              <w:spacing w:line="256" w:lineRule="auto"/>
            </w:pPr>
            <w:r>
              <w:t>Source: Energy Efficient Strategies</w:t>
            </w:r>
          </w:p>
        </w:tc>
      </w:tr>
      <w:tr w:rsidR="00676882" w14:paraId="627C429F" w14:textId="77777777" w:rsidTr="00DF45FA">
        <w:trPr>
          <w:gridBefore w:val="1"/>
          <w:wBefore w:w="454" w:type="dxa"/>
          <w:trHeight w:val="160"/>
        </w:trPr>
        <w:tc>
          <w:tcPr>
            <w:tcW w:w="7936" w:type="dxa"/>
            <w:gridSpan w:val="3"/>
            <w:tcBorders>
              <w:top w:val="single" w:sz="4" w:space="0" w:color="646464"/>
              <w:left w:val="nil"/>
              <w:bottom w:val="nil"/>
              <w:right w:val="nil"/>
            </w:tcBorders>
          </w:tcPr>
          <w:p w14:paraId="359CFBFF" w14:textId="77777777" w:rsidR="00676882" w:rsidRDefault="00676882" w:rsidP="00DF45FA">
            <w:pPr>
              <w:pStyle w:val="spacer"/>
              <w:spacing w:line="256" w:lineRule="auto"/>
            </w:pPr>
          </w:p>
        </w:tc>
      </w:tr>
    </w:tbl>
    <w:p w14:paraId="5414B78F" w14:textId="77777777" w:rsidR="00676882" w:rsidRDefault="00676882" w:rsidP="00676882">
      <w:pPr>
        <w:pStyle w:val="Heading3AP"/>
        <w:numPr>
          <w:ilvl w:val="2"/>
          <w:numId w:val="45"/>
        </w:numPr>
      </w:pPr>
      <w:r>
        <w:t>Performance characteristics</w:t>
      </w:r>
    </w:p>
    <w:p w14:paraId="39D2D512" w14:textId="77777777" w:rsidR="00676882" w:rsidRDefault="00676882" w:rsidP="00676882">
      <w:pPr>
        <w:pStyle w:val="BodyText"/>
      </w:pPr>
      <w:r>
        <w:t xml:space="preserve">Performance characteristics of the various cohorts were derived from the analysis undertaken for the ACT in the Residential Energy Disclosure (RED) study </w:t>
      </w:r>
      <w:sdt>
        <w:sdtPr>
          <w:id w:val="371275649"/>
          <w:citation/>
        </w:sdtPr>
        <w:sdtContent>
          <w:r>
            <w:fldChar w:fldCharType="begin"/>
          </w:r>
          <w:r>
            <w:instrText xml:space="preserve"> CITATION ACI21 \l 3081 </w:instrText>
          </w:r>
          <w:r>
            <w:fldChar w:fldCharType="separate"/>
          </w:r>
          <w:r>
            <w:rPr>
              <w:noProof/>
            </w:rPr>
            <w:t>(ACIL Allen, 2021)</w:t>
          </w:r>
          <w:r>
            <w:fldChar w:fldCharType="end"/>
          </w:r>
        </w:sdtContent>
      </w:sdt>
      <w:r>
        <w:t xml:space="preserve">. Upgrade pathways were selected </w:t>
      </w:r>
      <w:proofErr w:type="gramStart"/>
      <w:r>
        <w:t>on the basis of</w:t>
      </w:r>
      <w:proofErr w:type="gramEnd"/>
      <w:r>
        <w:t xml:space="preserve"> the least cost pathway, noting however that only a limited range of typical upgrade options were available from that study including upgrades to building shell, heaters, coolers, hot water systems and the addition of renewable energy supply (PVs).</w:t>
      </w:r>
    </w:p>
    <w:p w14:paraId="6844F17F" w14:textId="77777777" w:rsidR="00676882" w:rsidRDefault="00676882" w:rsidP="00676882">
      <w:pPr>
        <w:pStyle w:val="BodyText"/>
      </w:pPr>
    </w:p>
    <w:p w14:paraId="37F18CCC" w14:textId="77777777" w:rsidR="00676882" w:rsidRDefault="00676882" w:rsidP="00676882">
      <w:pPr>
        <w:pStyle w:val="BodyText"/>
      </w:pPr>
      <w:bookmarkStart w:id="469" w:name="_Toc76321189"/>
      <w:bookmarkStart w:id="470" w:name="_Toc80719354"/>
      <w:r>
        <w:rPr>
          <w:rStyle w:val="CaptionLabel"/>
        </w:rPr>
        <w:t>Table </w:t>
      </w:r>
      <w:r>
        <w:fldChar w:fldCharType="begin"/>
      </w:r>
      <w:r>
        <w:rPr>
          <w:rStyle w:val="CaptionLabel"/>
        </w:rPr>
        <w:instrText xml:space="preserve"> STYLEREF 9 \S \* MERGEFORMAT </w:instrText>
      </w:r>
      <w:r>
        <w:fldChar w:fldCharType="separate"/>
      </w:r>
      <w:r>
        <w:rPr>
          <w:rStyle w:val="CaptionLabel"/>
          <w:noProof/>
        </w:rPr>
        <w:t>C</w:t>
      </w:r>
      <w:r>
        <w:fldChar w:fldCharType="end"/>
      </w:r>
      <w:r>
        <w:rPr>
          <w:rStyle w:val="CaptionLabel"/>
        </w:rPr>
        <w:t>.</w:t>
      </w:r>
      <w:r>
        <w:fldChar w:fldCharType="begin"/>
      </w:r>
      <w:r>
        <w:rPr>
          <w:rStyle w:val="CaptionLabel"/>
        </w:rPr>
        <w:instrText xml:space="preserve"> SEQ Table_AP \* ARABIC \S 9 \* MERGEFORMAT </w:instrText>
      </w:r>
      <w:r>
        <w:fldChar w:fldCharType="separate"/>
      </w:r>
      <w:r>
        <w:rPr>
          <w:rStyle w:val="CaptionLabel"/>
          <w:noProof/>
        </w:rPr>
        <w:t>9</w:t>
      </w:r>
      <w:r>
        <w:fldChar w:fldCharType="end"/>
      </w:r>
      <w:r>
        <w:tab/>
        <w:t>Class 1 average annual energy consumption (MJ) by star rating cohort</w:t>
      </w:r>
      <w:bookmarkEnd w:id="469"/>
      <w:bookmarkEnd w:id="470"/>
    </w:p>
    <w:tbl>
      <w:tblPr>
        <w:tblW w:w="8385" w:type="dxa"/>
        <w:tblInd w:w="-454"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C.9"/>
        <w:tblDescription w:val="Class 1 average annual energy consumption (MJ) by star rating cohort"/>
      </w:tblPr>
      <w:tblGrid>
        <w:gridCol w:w="455"/>
        <w:gridCol w:w="1133"/>
        <w:gridCol w:w="1132"/>
        <w:gridCol w:w="1133"/>
        <w:gridCol w:w="1133"/>
        <w:gridCol w:w="1133"/>
        <w:gridCol w:w="1133"/>
        <w:gridCol w:w="1133"/>
      </w:tblGrid>
      <w:tr w:rsidR="00676882" w14:paraId="0DDEA310" w14:textId="77777777" w:rsidTr="00DF45FA">
        <w:trPr>
          <w:tblHeader/>
        </w:trPr>
        <w:tc>
          <w:tcPr>
            <w:tcW w:w="1587" w:type="dxa"/>
            <w:gridSpan w:val="2"/>
            <w:tcBorders>
              <w:top w:val="nil"/>
              <w:left w:val="nil"/>
              <w:bottom w:val="nil"/>
              <w:right w:val="nil"/>
            </w:tcBorders>
            <w:shd w:val="clear" w:color="auto" w:fill="140034"/>
            <w:tcMar>
              <w:top w:w="0" w:type="dxa"/>
              <w:left w:w="454" w:type="dxa"/>
              <w:bottom w:w="40" w:type="dxa"/>
              <w:right w:w="0" w:type="dxa"/>
            </w:tcMar>
            <w:hideMark/>
          </w:tcPr>
          <w:p w14:paraId="48B34B05" w14:textId="77777777" w:rsidR="00676882" w:rsidRDefault="00676882" w:rsidP="00DF45FA">
            <w:pPr>
              <w:pStyle w:val="Tablecolumnheadings"/>
            </w:pPr>
            <w:r>
              <w:lastRenderedPageBreak/>
              <w:t>Star Rating</w:t>
            </w:r>
          </w:p>
        </w:tc>
        <w:tc>
          <w:tcPr>
            <w:tcW w:w="1133" w:type="dxa"/>
            <w:tcBorders>
              <w:top w:val="nil"/>
              <w:left w:val="nil"/>
              <w:bottom w:val="nil"/>
              <w:right w:val="nil"/>
            </w:tcBorders>
            <w:shd w:val="clear" w:color="auto" w:fill="140034"/>
            <w:hideMark/>
          </w:tcPr>
          <w:p w14:paraId="2151E1A6" w14:textId="77777777" w:rsidR="00676882" w:rsidRDefault="00676882" w:rsidP="00DF45FA">
            <w:pPr>
              <w:pStyle w:val="Tablecolumnheadings"/>
            </w:pPr>
            <w:r>
              <w:t>Electrical Peak</w:t>
            </w:r>
          </w:p>
        </w:tc>
        <w:tc>
          <w:tcPr>
            <w:tcW w:w="1134" w:type="dxa"/>
            <w:tcBorders>
              <w:top w:val="nil"/>
              <w:left w:val="nil"/>
              <w:bottom w:val="nil"/>
              <w:right w:val="nil"/>
            </w:tcBorders>
            <w:shd w:val="clear" w:color="auto" w:fill="140034"/>
            <w:hideMark/>
          </w:tcPr>
          <w:p w14:paraId="5D4A672F" w14:textId="77777777" w:rsidR="00676882" w:rsidRDefault="00676882" w:rsidP="00DF45FA">
            <w:pPr>
              <w:pStyle w:val="Tablecolumnheadings"/>
            </w:pPr>
            <w:r>
              <w:t>Electrical Controlled</w:t>
            </w:r>
          </w:p>
        </w:tc>
        <w:tc>
          <w:tcPr>
            <w:tcW w:w="1134" w:type="dxa"/>
            <w:tcBorders>
              <w:top w:val="nil"/>
              <w:left w:val="nil"/>
              <w:bottom w:val="nil"/>
              <w:right w:val="nil"/>
            </w:tcBorders>
            <w:shd w:val="clear" w:color="auto" w:fill="140034"/>
            <w:hideMark/>
          </w:tcPr>
          <w:p w14:paraId="0A6553AA" w14:textId="77777777" w:rsidR="00676882" w:rsidRDefault="00676882" w:rsidP="00DF45FA">
            <w:pPr>
              <w:pStyle w:val="Tablecolumnheadings"/>
            </w:pPr>
            <w:r>
              <w:t>Gas</w:t>
            </w:r>
          </w:p>
        </w:tc>
        <w:tc>
          <w:tcPr>
            <w:tcW w:w="1134" w:type="dxa"/>
            <w:tcBorders>
              <w:top w:val="nil"/>
              <w:left w:val="nil"/>
              <w:bottom w:val="nil"/>
              <w:right w:val="nil"/>
            </w:tcBorders>
            <w:shd w:val="clear" w:color="auto" w:fill="140034"/>
            <w:hideMark/>
          </w:tcPr>
          <w:p w14:paraId="6C474F36" w14:textId="77777777" w:rsidR="00676882" w:rsidRDefault="00676882" w:rsidP="00DF45FA">
            <w:pPr>
              <w:pStyle w:val="Tablecolumnheadings"/>
            </w:pPr>
            <w:r>
              <w:t>Firewood</w:t>
            </w:r>
          </w:p>
        </w:tc>
        <w:tc>
          <w:tcPr>
            <w:tcW w:w="1134" w:type="dxa"/>
            <w:tcBorders>
              <w:top w:val="nil"/>
              <w:left w:val="nil"/>
              <w:bottom w:val="nil"/>
              <w:right w:val="nil"/>
            </w:tcBorders>
            <w:shd w:val="clear" w:color="auto" w:fill="140034"/>
            <w:hideMark/>
          </w:tcPr>
          <w:p w14:paraId="06B6BC23" w14:textId="77777777" w:rsidR="00676882" w:rsidRDefault="00676882" w:rsidP="00DF45FA">
            <w:pPr>
              <w:pStyle w:val="Tablecolumnheadings"/>
            </w:pPr>
            <w:r>
              <w:t>PV Offset</w:t>
            </w:r>
          </w:p>
        </w:tc>
        <w:tc>
          <w:tcPr>
            <w:tcW w:w="1134" w:type="dxa"/>
            <w:tcBorders>
              <w:top w:val="nil"/>
              <w:left w:val="nil"/>
              <w:bottom w:val="nil"/>
              <w:right w:val="single" w:sz="6" w:space="0" w:color="140034"/>
            </w:tcBorders>
            <w:shd w:val="clear" w:color="auto" w:fill="140034"/>
            <w:hideMark/>
          </w:tcPr>
          <w:p w14:paraId="2B5C4563" w14:textId="77777777" w:rsidR="00676882" w:rsidRDefault="00676882" w:rsidP="00DF45FA">
            <w:pPr>
              <w:pStyle w:val="Tablecolumnheadings"/>
            </w:pPr>
            <w:r>
              <w:t>PV Export</w:t>
            </w:r>
          </w:p>
        </w:tc>
      </w:tr>
      <w:tr w:rsidR="00676882" w14:paraId="4B5D7851" w14:textId="77777777" w:rsidTr="00DF45FA">
        <w:trPr>
          <w:gridBefore w:val="1"/>
          <w:wBefore w:w="454" w:type="dxa"/>
        </w:trPr>
        <w:tc>
          <w:tcPr>
            <w:tcW w:w="1133" w:type="dxa"/>
            <w:tcBorders>
              <w:top w:val="nil"/>
              <w:left w:val="nil"/>
              <w:bottom w:val="single" w:sz="4" w:space="0" w:color="646464"/>
              <w:right w:val="nil"/>
            </w:tcBorders>
            <w:hideMark/>
          </w:tcPr>
          <w:p w14:paraId="312243DA" w14:textId="77777777" w:rsidR="00676882" w:rsidRDefault="00676882" w:rsidP="00DF45FA">
            <w:pPr>
              <w:pStyle w:val="Tabletext"/>
            </w:pPr>
            <w:r>
              <w:t>&lt; 2 Star</w:t>
            </w:r>
          </w:p>
        </w:tc>
        <w:tc>
          <w:tcPr>
            <w:tcW w:w="1133" w:type="dxa"/>
            <w:tcBorders>
              <w:top w:val="nil"/>
              <w:left w:val="nil"/>
              <w:bottom w:val="single" w:sz="4" w:space="0" w:color="646464"/>
              <w:right w:val="nil"/>
            </w:tcBorders>
            <w:hideMark/>
          </w:tcPr>
          <w:p w14:paraId="0A91CE07" w14:textId="77777777" w:rsidR="00676882" w:rsidRDefault="00676882" w:rsidP="00DF45FA">
            <w:pPr>
              <w:pStyle w:val="Tabletext"/>
            </w:pPr>
            <w:r>
              <w:t xml:space="preserve"> 15,873 </w:t>
            </w:r>
          </w:p>
        </w:tc>
        <w:tc>
          <w:tcPr>
            <w:tcW w:w="1134" w:type="dxa"/>
            <w:tcBorders>
              <w:top w:val="nil"/>
              <w:left w:val="nil"/>
              <w:bottom w:val="single" w:sz="4" w:space="0" w:color="646464"/>
              <w:right w:val="nil"/>
            </w:tcBorders>
            <w:hideMark/>
          </w:tcPr>
          <w:p w14:paraId="16998F21" w14:textId="77777777" w:rsidR="00676882" w:rsidRDefault="00676882" w:rsidP="00DF45FA">
            <w:pPr>
              <w:pStyle w:val="Tabletext"/>
            </w:pPr>
            <w:r>
              <w:t xml:space="preserve"> 6,022 </w:t>
            </w:r>
          </w:p>
        </w:tc>
        <w:tc>
          <w:tcPr>
            <w:tcW w:w="1134" w:type="dxa"/>
            <w:tcBorders>
              <w:top w:val="nil"/>
              <w:left w:val="nil"/>
              <w:bottom w:val="single" w:sz="4" w:space="0" w:color="646464"/>
              <w:right w:val="nil"/>
            </w:tcBorders>
            <w:hideMark/>
          </w:tcPr>
          <w:p w14:paraId="1C149B64" w14:textId="77777777" w:rsidR="00676882" w:rsidRDefault="00676882" w:rsidP="00DF45FA">
            <w:pPr>
              <w:pStyle w:val="Tabletext"/>
            </w:pPr>
            <w:r>
              <w:t xml:space="preserve"> 104,670 </w:t>
            </w:r>
          </w:p>
        </w:tc>
        <w:tc>
          <w:tcPr>
            <w:tcW w:w="1134" w:type="dxa"/>
            <w:tcBorders>
              <w:top w:val="nil"/>
              <w:left w:val="nil"/>
              <w:bottom w:val="single" w:sz="4" w:space="0" w:color="646464"/>
              <w:right w:val="nil"/>
            </w:tcBorders>
            <w:hideMark/>
          </w:tcPr>
          <w:p w14:paraId="5D99F9DB" w14:textId="77777777" w:rsidR="00676882" w:rsidRDefault="00676882" w:rsidP="00DF45FA">
            <w:pPr>
              <w:pStyle w:val="Tabletext"/>
            </w:pPr>
            <w:r>
              <w:t xml:space="preserve"> -   </w:t>
            </w:r>
          </w:p>
        </w:tc>
        <w:tc>
          <w:tcPr>
            <w:tcW w:w="1134" w:type="dxa"/>
            <w:tcBorders>
              <w:top w:val="nil"/>
              <w:left w:val="nil"/>
              <w:bottom w:val="single" w:sz="4" w:space="0" w:color="646464"/>
              <w:right w:val="nil"/>
            </w:tcBorders>
            <w:hideMark/>
          </w:tcPr>
          <w:p w14:paraId="77133F0A" w14:textId="77777777" w:rsidR="00676882" w:rsidRDefault="00676882" w:rsidP="00DF45FA">
            <w:pPr>
              <w:pStyle w:val="Tabletext"/>
            </w:pPr>
            <w:r>
              <w:t xml:space="preserve">-341 </w:t>
            </w:r>
          </w:p>
        </w:tc>
        <w:tc>
          <w:tcPr>
            <w:tcW w:w="1134" w:type="dxa"/>
            <w:tcBorders>
              <w:top w:val="nil"/>
              <w:left w:val="nil"/>
              <w:bottom w:val="single" w:sz="4" w:space="0" w:color="646464"/>
              <w:right w:val="nil"/>
            </w:tcBorders>
            <w:hideMark/>
          </w:tcPr>
          <w:p w14:paraId="386665D5" w14:textId="77777777" w:rsidR="00676882" w:rsidRDefault="00676882" w:rsidP="00DF45FA">
            <w:pPr>
              <w:pStyle w:val="Tabletext"/>
            </w:pPr>
            <w:r>
              <w:t xml:space="preserve">-475 </w:t>
            </w:r>
          </w:p>
        </w:tc>
      </w:tr>
      <w:tr w:rsidR="00676882" w14:paraId="3B327FFC" w14:textId="77777777" w:rsidTr="00DF45FA">
        <w:trPr>
          <w:gridBefore w:val="1"/>
          <w:wBefore w:w="454" w:type="dxa"/>
        </w:trPr>
        <w:tc>
          <w:tcPr>
            <w:tcW w:w="1133" w:type="dxa"/>
            <w:tcBorders>
              <w:top w:val="single" w:sz="4" w:space="0" w:color="646464"/>
              <w:left w:val="nil"/>
              <w:bottom w:val="single" w:sz="4" w:space="0" w:color="646464"/>
              <w:right w:val="nil"/>
            </w:tcBorders>
            <w:hideMark/>
          </w:tcPr>
          <w:p w14:paraId="5BDD9065" w14:textId="77777777" w:rsidR="00676882" w:rsidRDefault="00676882" w:rsidP="00DF45FA">
            <w:pPr>
              <w:pStyle w:val="Tabletext"/>
            </w:pPr>
            <w:r>
              <w:t>2 Star</w:t>
            </w:r>
          </w:p>
        </w:tc>
        <w:tc>
          <w:tcPr>
            <w:tcW w:w="1133" w:type="dxa"/>
            <w:tcBorders>
              <w:top w:val="single" w:sz="4" w:space="0" w:color="646464"/>
              <w:left w:val="nil"/>
              <w:bottom w:val="single" w:sz="4" w:space="0" w:color="646464"/>
              <w:right w:val="nil"/>
            </w:tcBorders>
            <w:hideMark/>
          </w:tcPr>
          <w:p w14:paraId="5DF94BC8" w14:textId="77777777" w:rsidR="00676882" w:rsidRDefault="00676882" w:rsidP="00DF45FA">
            <w:pPr>
              <w:pStyle w:val="Tabletext"/>
            </w:pPr>
            <w:r>
              <w:t xml:space="preserve"> 15,159 </w:t>
            </w:r>
          </w:p>
        </w:tc>
        <w:tc>
          <w:tcPr>
            <w:tcW w:w="1134" w:type="dxa"/>
            <w:tcBorders>
              <w:top w:val="single" w:sz="4" w:space="0" w:color="646464"/>
              <w:left w:val="nil"/>
              <w:bottom w:val="single" w:sz="4" w:space="0" w:color="646464"/>
              <w:right w:val="nil"/>
            </w:tcBorders>
            <w:hideMark/>
          </w:tcPr>
          <w:p w14:paraId="3FDD105F" w14:textId="77777777" w:rsidR="00676882" w:rsidRDefault="00676882" w:rsidP="00DF45FA">
            <w:pPr>
              <w:pStyle w:val="Tabletext"/>
            </w:pPr>
            <w:r>
              <w:t xml:space="preserve"> 6,022 </w:t>
            </w:r>
          </w:p>
        </w:tc>
        <w:tc>
          <w:tcPr>
            <w:tcW w:w="1134" w:type="dxa"/>
            <w:tcBorders>
              <w:top w:val="single" w:sz="4" w:space="0" w:color="646464"/>
              <w:left w:val="nil"/>
              <w:bottom w:val="single" w:sz="4" w:space="0" w:color="646464"/>
              <w:right w:val="nil"/>
            </w:tcBorders>
            <w:hideMark/>
          </w:tcPr>
          <w:p w14:paraId="1EC9E8C0" w14:textId="77777777" w:rsidR="00676882" w:rsidRDefault="00676882" w:rsidP="00DF45FA">
            <w:pPr>
              <w:pStyle w:val="Tabletext"/>
            </w:pPr>
            <w:r>
              <w:t xml:space="preserve"> 92,614 </w:t>
            </w:r>
          </w:p>
        </w:tc>
        <w:tc>
          <w:tcPr>
            <w:tcW w:w="1134" w:type="dxa"/>
            <w:tcBorders>
              <w:top w:val="single" w:sz="4" w:space="0" w:color="646464"/>
              <w:left w:val="nil"/>
              <w:bottom w:val="single" w:sz="4" w:space="0" w:color="646464"/>
              <w:right w:val="nil"/>
            </w:tcBorders>
            <w:hideMark/>
          </w:tcPr>
          <w:p w14:paraId="42F2D83B" w14:textId="77777777" w:rsidR="00676882" w:rsidRDefault="00676882" w:rsidP="00DF45FA">
            <w:pPr>
              <w:pStyle w:val="Tabletext"/>
            </w:pPr>
            <w:r>
              <w:t xml:space="preserve"> -   </w:t>
            </w:r>
          </w:p>
        </w:tc>
        <w:tc>
          <w:tcPr>
            <w:tcW w:w="1134" w:type="dxa"/>
            <w:tcBorders>
              <w:top w:val="single" w:sz="4" w:space="0" w:color="646464"/>
              <w:left w:val="nil"/>
              <w:bottom w:val="single" w:sz="4" w:space="0" w:color="646464"/>
              <w:right w:val="nil"/>
            </w:tcBorders>
            <w:hideMark/>
          </w:tcPr>
          <w:p w14:paraId="795E1809" w14:textId="77777777" w:rsidR="00676882" w:rsidRDefault="00676882" w:rsidP="00DF45FA">
            <w:pPr>
              <w:pStyle w:val="Tabletext"/>
            </w:pPr>
            <w:r>
              <w:t xml:space="preserve">-6,591 </w:t>
            </w:r>
          </w:p>
        </w:tc>
        <w:tc>
          <w:tcPr>
            <w:tcW w:w="1134" w:type="dxa"/>
            <w:tcBorders>
              <w:top w:val="single" w:sz="4" w:space="0" w:color="646464"/>
              <w:left w:val="nil"/>
              <w:bottom w:val="single" w:sz="4" w:space="0" w:color="646464"/>
              <w:right w:val="nil"/>
            </w:tcBorders>
            <w:hideMark/>
          </w:tcPr>
          <w:p w14:paraId="29CD11D9" w14:textId="77777777" w:rsidR="00676882" w:rsidRDefault="00676882" w:rsidP="00DF45FA">
            <w:pPr>
              <w:pStyle w:val="Tabletext"/>
            </w:pPr>
            <w:r>
              <w:t xml:space="preserve">-9,498 </w:t>
            </w:r>
          </w:p>
        </w:tc>
      </w:tr>
      <w:tr w:rsidR="00676882" w14:paraId="311EB80A" w14:textId="77777777" w:rsidTr="00DF45FA">
        <w:trPr>
          <w:gridBefore w:val="1"/>
          <w:wBefore w:w="454" w:type="dxa"/>
          <w:trHeight w:val="20"/>
        </w:trPr>
        <w:tc>
          <w:tcPr>
            <w:tcW w:w="1133" w:type="dxa"/>
            <w:tcBorders>
              <w:top w:val="single" w:sz="4" w:space="0" w:color="646464"/>
              <w:left w:val="nil"/>
              <w:bottom w:val="single" w:sz="4" w:space="0" w:color="646464"/>
              <w:right w:val="nil"/>
            </w:tcBorders>
            <w:shd w:val="clear" w:color="auto" w:fill="7F7F7F" w:themeFill="text1" w:themeFillTint="80"/>
          </w:tcPr>
          <w:p w14:paraId="1B64AB55" w14:textId="77777777" w:rsidR="00676882" w:rsidRDefault="00676882" w:rsidP="00DF45FA">
            <w:pPr>
              <w:pStyle w:val="Tabletext"/>
              <w:rPr>
                <w:sz w:val="2"/>
                <w:szCs w:val="2"/>
              </w:rPr>
            </w:pPr>
          </w:p>
        </w:tc>
        <w:tc>
          <w:tcPr>
            <w:tcW w:w="1133" w:type="dxa"/>
            <w:tcBorders>
              <w:top w:val="single" w:sz="4" w:space="0" w:color="646464"/>
              <w:left w:val="nil"/>
              <w:bottom w:val="single" w:sz="4" w:space="0" w:color="646464"/>
              <w:right w:val="nil"/>
            </w:tcBorders>
            <w:shd w:val="clear" w:color="auto" w:fill="7F7F7F" w:themeFill="text1" w:themeFillTint="80"/>
          </w:tcPr>
          <w:p w14:paraId="000DABFB" w14:textId="77777777" w:rsidR="00676882" w:rsidRDefault="00676882" w:rsidP="00DF45FA">
            <w:pPr>
              <w:pStyle w:val="Tabletext"/>
              <w:rPr>
                <w:sz w:val="2"/>
                <w:szCs w:val="2"/>
              </w:rPr>
            </w:pPr>
          </w:p>
        </w:tc>
        <w:tc>
          <w:tcPr>
            <w:tcW w:w="1134" w:type="dxa"/>
            <w:tcBorders>
              <w:top w:val="single" w:sz="4" w:space="0" w:color="646464"/>
              <w:left w:val="nil"/>
              <w:bottom w:val="single" w:sz="4" w:space="0" w:color="646464"/>
              <w:right w:val="nil"/>
            </w:tcBorders>
            <w:shd w:val="clear" w:color="auto" w:fill="7F7F7F" w:themeFill="text1" w:themeFillTint="80"/>
          </w:tcPr>
          <w:p w14:paraId="278B7654" w14:textId="77777777" w:rsidR="00676882" w:rsidRDefault="00676882" w:rsidP="00DF45FA">
            <w:pPr>
              <w:pStyle w:val="Tabletext"/>
              <w:rPr>
                <w:sz w:val="2"/>
                <w:szCs w:val="2"/>
              </w:rPr>
            </w:pPr>
          </w:p>
        </w:tc>
        <w:tc>
          <w:tcPr>
            <w:tcW w:w="1134" w:type="dxa"/>
            <w:tcBorders>
              <w:top w:val="single" w:sz="4" w:space="0" w:color="646464"/>
              <w:left w:val="nil"/>
              <w:bottom w:val="single" w:sz="4" w:space="0" w:color="646464"/>
              <w:right w:val="nil"/>
            </w:tcBorders>
            <w:shd w:val="clear" w:color="auto" w:fill="7F7F7F" w:themeFill="text1" w:themeFillTint="80"/>
          </w:tcPr>
          <w:p w14:paraId="2C474C8F" w14:textId="77777777" w:rsidR="00676882" w:rsidRDefault="00676882" w:rsidP="00DF45FA">
            <w:pPr>
              <w:pStyle w:val="Tabletext"/>
              <w:rPr>
                <w:sz w:val="2"/>
                <w:szCs w:val="2"/>
              </w:rPr>
            </w:pPr>
          </w:p>
        </w:tc>
        <w:tc>
          <w:tcPr>
            <w:tcW w:w="1134" w:type="dxa"/>
            <w:tcBorders>
              <w:top w:val="single" w:sz="4" w:space="0" w:color="646464"/>
              <w:left w:val="nil"/>
              <w:bottom w:val="single" w:sz="4" w:space="0" w:color="646464"/>
              <w:right w:val="nil"/>
            </w:tcBorders>
            <w:shd w:val="clear" w:color="auto" w:fill="7F7F7F" w:themeFill="text1" w:themeFillTint="80"/>
          </w:tcPr>
          <w:p w14:paraId="4650DB79" w14:textId="77777777" w:rsidR="00676882" w:rsidRDefault="00676882" w:rsidP="00DF45FA">
            <w:pPr>
              <w:pStyle w:val="Tabletext"/>
              <w:rPr>
                <w:sz w:val="2"/>
                <w:szCs w:val="2"/>
              </w:rPr>
            </w:pPr>
          </w:p>
        </w:tc>
        <w:tc>
          <w:tcPr>
            <w:tcW w:w="1134" w:type="dxa"/>
            <w:tcBorders>
              <w:top w:val="single" w:sz="4" w:space="0" w:color="646464"/>
              <w:left w:val="nil"/>
              <w:bottom w:val="single" w:sz="4" w:space="0" w:color="646464"/>
              <w:right w:val="nil"/>
            </w:tcBorders>
            <w:shd w:val="clear" w:color="auto" w:fill="7F7F7F" w:themeFill="text1" w:themeFillTint="80"/>
          </w:tcPr>
          <w:p w14:paraId="27007C69" w14:textId="77777777" w:rsidR="00676882" w:rsidRDefault="00676882" w:rsidP="00DF45FA">
            <w:pPr>
              <w:pStyle w:val="Tabletext"/>
              <w:rPr>
                <w:sz w:val="2"/>
                <w:szCs w:val="2"/>
              </w:rPr>
            </w:pPr>
          </w:p>
        </w:tc>
        <w:tc>
          <w:tcPr>
            <w:tcW w:w="1134" w:type="dxa"/>
            <w:tcBorders>
              <w:top w:val="single" w:sz="4" w:space="0" w:color="646464"/>
              <w:left w:val="nil"/>
              <w:bottom w:val="single" w:sz="4" w:space="0" w:color="646464"/>
              <w:right w:val="nil"/>
            </w:tcBorders>
            <w:shd w:val="clear" w:color="auto" w:fill="7F7F7F" w:themeFill="text1" w:themeFillTint="80"/>
          </w:tcPr>
          <w:p w14:paraId="58B19E9C" w14:textId="77777777" w:rsidR="00676882" w:rsidRDefault="00676882" w:rsidP="00DF45FA">
            <w:pPr>
              <w:pStyle w:val="Tabletext"/>
              <w:rPr>
                <w:sz w:val="2"/>
                <w:szCs w:val="2"/>
              </w:rPr>
            </w:pPr>
          </w:p>
        </w:tc>
      </w:tr>
      <w:tr w:rsidR="00676882" w14:paraId="291B6D14" w14:textId="77777777" w:rsidTr="00DF45FA">
        <w:trPr>
          <w:gridBefore w:val="1"/>
          <w:wBefore w:w="454" w:type="dxa"/>
        </w:trPr>
        <w:tc>
          <w:tcPr>
            <w:tcW w:w="1133" w:type="dxa"/>
            <w:tcBorders>
              <w:top w:val="single" w:sz="4" w:space="0" w:color="646464"/>
              <w:left w:val="nil"/>
              <w:bottom w:val="single" w:sz="4" w:space="0" w:color="646464"/>
              <w:right w:val="nil"/>
            </w:tcBorders>
            <w:hideMark/>
          </w:tcPr>
          <w:p w14:paraId="02872AA8" w14:textId="77777777" w:rsidR="00676882" w:rsidRDefault="00676882" w:rsidP="00DF45FA">
            <w:pPr>
              <w:pStyle w:val="Tabletext"/>
            </w:pPr>
            <w:r>
              <w:t xml:space="preserve">&lt; 3 </w:t>
            </w:r>
            <w:proofErr w:type="gramStart"/>
            <w:r>
              <w:t>star</w:t>
            </w:r>
            <w:proofErr w:type="gramEnd"/>
          </w:p>
        </w:tc>
        <w:tc>
          <w:tcPr>
            <w:tcW w:w="1133" w:type="dxa"/>
            <w:tcBorders>
              <w:top w:val="single" w:sz="4" w:space="0" w:color="646464"/>
              <w:left w:val="nil"/>
              <w:bottom w:val="single" w:sz="4" w:space="0" w:color="646464"/>
              <w:right w:val="nil"/>
            </w:tcBorders>
            <w:hideMark/>
          </w:tcPr>
          <w:p w14:paraId="167C2C66" w14:textId="77777777" w:rsidR="00676882" w:rsidRDefault="00676882" w:rsidP="00DF45FA">
            <w:pPr>
              <w:pStyle w:val="Tabletext"/>
            </w:pPr>
            <w:r>
              <w:t xml:space="preserve"> 18,289 </w:t>
            </w:r>
          </w:p>
        </w:tc>
        <w:tc>
          <w:tcPr>
            <w:tcW w:w="1134" w:type="dxa"/>
            <w:tcBorders>
              <w:top w:val="single" w:sz="4" w:space="0" w:color="646464"/>
              <w:left w:val="nil"/>
              <w:bottom w:val="single" w:sz="4" w:space="0" w:color="646464"/>
              <w:right w:val="nil"/>
            </w:tcBorders>
            <w:hideMark/>
          </w:tcPr>
          <w:p w14:paraId="34C015D5" w14:textId="77777777" w:rsidR="00676882" w:rsidRDefault="00676882" w:rsidP="00DF45FA">
            <w:pPr>
              <w:pStyle w:val="Tabletext"/>
            </w:pPr>
            <w:r>
              <w:t xml:space="preserve"> 7,928 </w:t>
            </w:r>
          </w:p>
        </w:tc>
        <w:tc>
          <w:tcPr>
            <w:tcW w:w="1134" w:type="dxa"/>
            <w:tcBorders>
              <w:top w:val="single" w:sz="4" w:space="0" w:color="646464"/>
              <w:left w:val="nil"/>
              <w:bottom w:val="single" w:sz="4" w:space="0" w:color="646464"/>
              <w:right w:val="nil"/>
            </w:tcBorders>
            <w:hideMark/>
          </w:tcPr>
          <w:p w14:paraId="48124F84" w14:textId="77777777" w:rsidR="00676882" w:rsidRDefault="00676882" w:rsidP="00DF45FA">
            <w:pPr>
              <w:pStyle w:val="Tabletext"/>
            </w:pPr>
            <w:r>
              <w:t xml:space="preserve"> 47,243 </w:t>
            </w:r>
          </w:p>
        </w:tc>
        <w:tc>
          <w:tcPr>
            <w:tcW w:w="1134" w:type="dxa"/>
            <w:tcBorders>
              <w:top w:val="single" w:sz="4" w:space="0" w:color="646464"/>
              <w:left w:val="nil"/>
              <w:bottom w:val="single" w:sz="4" w:space="0" w:color="646464"/>
              <w:right w:val="nil"/>
            </w:tcBorders>
            <w:hideMark/>
          </w:tcPr>
          <w:p w14:paraId="01814B35" w14:textId="77777777" w:rsidR="00676882" w:rsidRDefault="00676882" w:rsidP="00DF45FA">
            <w:pPr>
              <w:pStyle w:val="Tabletext"/>
            </w:pPr>
            <w:r>
              <w:t xml:space="preserve"> 2,068 </w:t>
            </w:r>
          </w:p>
        </w:tc>
        <w:tc>
          <w:tcPr>
            <w:tcW w:w="1134" w:type="dxa"/>
            <w:tcBorders>
              <w:top w:val="single" w:sz="4" w:space="0" w:color="646464"/>
              <w:left w:val="nil"/>
              <w:bottom w:val="single" w:sz="4" w:space="0" w:color="646464"/>
              <w:right w:val="nil"/>
            </w:tcBorders>
            <w:hideMark/>
          </w:tcPr>
          <w:p w14:paraId="582ED1F8" w14:textId="77777777" w:rsidR="00676882" w:rsidRDefault="00676882" w:rsidP="00DF45FA">
            <w:pPr>
              <w:pStyle w:val="Tabletext"/>
            </w:pPr>
            <w:r>
              <w:t xml:space="preserve">-513 </w:t>
            </w:r>
          </w:p>
        </w:tc>
        <w:tc>
          <w:tcPr>
            <w:tcW w:w="1134" w:type="dxa"/>
            <w:tcBorders>
              <w:top w:val="single" w:sz="4" w:space="0" w:color="646464"/>
              <w:left w:val="nil"/>
              <w:bottom w:val="single" w:sz="4" w:space="0" w:color="646464"/>
              <w:right w:val="nil"/>
            </w:tcBorders>
            <w:hideMark/>
          </w:tcPr>
          <w:p w14:paraId="173A0D42" w14:textId="77777777" w:rsidR="00676882" w:rsidRDefault="00676882" w:rsidP="00DF45FA">
            <w:pPr>
              <w:pStyle w:val="Tabletext"/>
            </w:pPr>
            <w:r>
              <w:t xml:space="preserve">-773 </w:t>
            </w:r>
          </w:p>
        </w:tc>
      </w:tr>
      <w:tr w:rsidR="00676882" w14:paraId="330D2426" w14:textId="77777777" w:rsidTr="00DF45FA">
        <w:trPr>
          <w:gridBefore w:val="1"/>
          <w:wBefore w:w="454" w:type="dxa"/>
        </w:trPr>
        <w:tc>
          <w:tcPr>
            <w:tcW w:w="1133" w:type="dxa"/>
            <w:tcBorders>
              <w:top w:val="single" w:sz="4" w:space="0" w:color="646464"/>
              <w:left w:val="nil"/>
              <w:bottom w:val="single" w:sz="4" w:space="0" w:color="646464"/>
              <w:right w:val="nil"/>
            </w:tcBorders>
            <w:hideMark/>
          </w:tcPr>
          <w:p w14:paraId="1C34526A" w14:textId="77777777" w:rsidR="00676882" w:rsidRDefault="00676882" w:rsidP="00DF45FA">
            <w:pPr>
              <w:pStyle w:val="Tabletext"/>
            </w:pPr>
            <w:r>
              <w:t>3 Star</w:t>
            </w:r>
          </w:p>
        </w:tc>
        <w:tc>
          <w:tcPr>
            <w:tcW w:w="1133" w:type="dxa"/>
            <w:tcBorders>
              <w:top w:val="single" w:sz="4" w:space="0" w:color="646464"/>
              <w:left w:val="nil"/>
              <w:bottom w:val="single" w:sz="4" w:space="0" w:color="646464"/>
              <w:right w:val="nil"/>
            </w:tcBorders>
            <w:hideMark/>
          </w:tcPr>
          <w:p w14:paraId="1E4A5E30" w14:textId="77777777" w:rsidR="00676882" w:rsidRDefault="00676882" w:rsidP="00DF45FA">
            <w:pPr>
              <w:pStyle w:val="Tabletext"/>
            </w:pPr>
            <w:r>
              <w:t xml:space="preserve"> 17,560 </w:t>
            </w:r>
          </w:p>
        </w:tc>
        <w:tc>
          <w:tcPr>
            <w:tcW w:w="1134" w:type="dxa"/>
            <w:tcBorders>
              <w:top w:val="single" w:sz="4" w:space="0" w:color="646464"/>
              <w:left w:val="nil"/>
              <w:bottom w:val="single" w:sz="4" w:space="0" w:color="646464"/>
              <w:right w:val="nil"/>
            </w:tcBorders>
            <w:hideMark/>
          </w:tcPr>
          <w:p w14:paraId="260C1B53" w14:textId="77777777" w:rsidR="00676882" w:rsidRDefault="00676882" w:rsidP="00DF45FA">
            <w:pPr>
              <w:pStyle w:val="Tabletext"/>
            </w:pPr>
            <w:r>
              <w:t xml:space="preserve"> 6,095 </w:t>
            </w:r>
          </w:p>
        </w:tc>
        <w:tc>
          <w:tcPr>
            <w:tcW w:w="1134" w:type="dxa"/>
            <w:tcBorders>
              <w:top w:val="single" w:sz="4" w:space="0" w:color="646464"/>
              <w:left w:val="nil"/>
              <w:bottom w:val="single" w:sz="4" w:space="0" w:color="646464"/>
              <w:right w:val="nil"/>
            </w:tcBorders>
            <w:hideMark/>
          </w:tcPr>
          <w:p w14:paraId="3981085C" w14:textId="77777777" w:rsidR="00676882" w:rsidRDefault="00676882" w:rsidP="00DF45FA">
            <w:pPr>
              <w:pStyle w:val="Tabletext"/>
            </w:pPr>
            <w:r>
              <w:t xml:space="preserve"> 31,664 </w:t>
            </w:r>
          </w:p>
        </w:tc>
        <w:tc>
          <w:tcPr>
            <w:tcW w:w="1134" w:type="dxa"/>
            <w:tcBorders>
              <w:top w:val="single" w:sz="4" w:space="0" w:color="646464"/>
              <w:left w:val="nil"/>
              <w:bottom w:val="single" w:sz="4" w:space="0" w:color="646464"/>
              <w:right w:val="nil"/>
            </w:tcBorders>
            <w:hideMark/>
          </w:tcPr>
          <w:p w14:paraId="262A76A8" w14:textId="77777777" w:rsidR="00676882" w:rsidRDefault="00676882" w:rsidP="00DF45FA">
            <w:pPr>
              <w:pStyle w:val="Tabletext"/>
            </w:pPr>
            <w:r>
              <w:t xml:space="preserve"> 1,922 </w:t>
            </w:r>
          </w:p>
        </w:tc>
        <w:tc>
          <w:tcPr>
            <w:tcW w:w="1134" w:type="dxa"/>
            <w:tcBorders>
              <w:top w:val="single" w:sz="4" w:space="0" w:color="646464"/>
              <w:left w:val="nil"/>
              <w:bottom w:val="single" w:sz="4" w:space="0" w:color="646464"/>
              <w:right w:val="nil"/>
            </w:tcBorders>
            <w:hideMark/>
          </w:tcPr>
          <w:p w14:paraId="4616DE94" w14:textId="77777777" w:rsidR="00676882" w:rsidRDefault="00676882" w:rsidP="00DF45FA">
            <w:pPr>
              <w:pStyle w:val="Tabletext"/>
            </w:pPr>
            <w:r>
              <w:t xml:space="preserve">-7,299 </w:t>
            </w:r>
          </w:p>
        </w:tc>
        <w:tc>
          <w:tcPr>
            <w:tcW w:w="1134" w:type="dxa"/>
            <w:tcBorders>
              <w:top w:val="single" w:sz="4" w:space="0" w:color="646464"/>
              <w:left w:val="nil"/>
              <w:bottom w:val="single" w:sz="4" w:space="0" w:color="646464"/>
              <w:right w:val="nil"/>
            </w:tcBorders>
            <w:hideMark/>
          </w:tcPr>
          <w:p w14:paraId="76659B8B" w14:textId="77777777" w:rsidR="00676882" w:rsidRDefault="00676882" w:rsidP="00DF45FA">
            <w:pPr>
              <w:pStyle w:val="Tabletext"/>
            </w:pPr>
            <w:r>
              <w:t xml:space="preserve">-10,381 </w:t>
            </w:r>
          </w:p>
        </w:tc>
      </w:tr>
      <w:tr w:rsidR="00676882" w14:paraId="55B716A1" w14:textId="77777777" w:rsidTr="00DF45FA">
        <w:trPr>
          <w:gridBefore w:val="1"/>
          <w:wBefore w:w="454" w:type="dxa"/>
        </w:trPr>
        <w:tc>
          <w:tcPr>
            <w:tcW w:w="7936" w:type="dxa"/>
            <w:gridSpan w:val="7"/>
            <w:tcBorders>
              <w:top w:val="single" w:sz="4" w:space="0" w:color="646464"/>
              <w:left w:val="nil"/>
              <w:bottom w:val="single" w:sz="4" w:space="0" w:color="646464"/>
              <w:right w:val="nil"/>
            </w:tcBorders>
            <w:hideMark/>
          </w:tcPr>
          <w:p w14:paraId="1A309B00" w14:textId="77777777" w:rsidR="00676882" w:rsidRDefault="00676882" w:rsidP="00DF45FA">
            <w:pPr>
              <w:pStyle w:val="Source"/>
              <w:spacing w:line="256" w:lineRule="auto"/>
            </w:pPr>
            <w:r>
              <w:t>Source: Energy Efficient Strategies</w:t>
            </w:r>
          </w:p>
        </w:tc>
      </w:tr>
      <w:tr w:rsidR="00676882" w14:paraId="5A5CD540" w14:textId="77777777" w:rsidTr="00DF45FA">
        <w:trPr>
          <w:gridBefore w:val="1"/>
          <w:wBefore w:w="454" w:type="dxa"/>
          <w:trHeight w:val="160"/>
        </w:trPr>
        <w:tc>
          <w:tcPr>
            <w:tcW w:w="7936" w:type="dxa"/>
            <w:gridSpan w:val="7"/>
            <w:tcBorders>
              <w:top w:val="single" w:sz="4" w:space="0" w:color="646464"/>
              <w:left w:val="nil"/>
              <w:bottom w:val="nil"/>
              <w:right w:val="nil"/>
            </w:tcBorders>
          </w:tcPr>
          <w:p w14:paraId="6BEC1133" w14:textId="77777777" w:rsidR="00676882" w:rsidRDefault="00676882" w:rsidP="00DF45FA">
            <w:pPr>
              <w:pStyle w:val="spacer"/>
              <w:spacing w:line="256" w:lineRule="auto"/>
            </w:pPr>
          </w:p>
        </w:tc>
      </w:tr>
    </w:tbl>
    <w:p w14:paraId="366DDEAE" w14:textId="77777777" w:rsidR="00676882" w:rsidRDefault="00676882" w:rsidP="00676882">
      <w:pPr>
        <w:pStyle w:val="BodyText"/>
      </w:pPr>
      <w:bookmarkStart w:id="471" w:name="_Toc76321190"/>
      <w:bookmarkStart w:id="472" w:name="_Toc80719355"/>
      <w:r>
        <w:rPr>
          <w:rStyle w:val="CaptionLabel"/>
        </w:rPr>
        <w:t>Table </w:t>
      </w:r>
      <w:r>
        <w:fldChar w:fldCharType="begin"/>
      </w:r>
      <w:r>
        <w:rPr>
          <w:rStyle w:val="CaptionLabel"/>
        </w:rPr>
        <w:instrText xml:space="preserve"> STYLEREF 9 \S \* MERGEFORMAT </w:instrText>
      </w:r>
      <w:r>
        <w:fldChar w:fldCharType="separate"/>
      </w:r>
      <w:r>
        <w:rPr>
          <w:rStyle w:val="CaptionLabel"/>
          <w:noProof/>
        </w:rPr>
        <w:t>C</w:t>
      </w:r>
      <w:r>
        <w:fldChar w:fldCharType="end"/>
      </w:r>
      <w:r>
        <w:rPr>
          <w:rStyle w:val="CaptionLabel"/>
        </w:rPr>
        <w:t>.</w:t>
      </w:r>
      <w:r>
        <w:fldChar w:fldCharType="begin"/>
      </w:r>
      <w:r>
        <w:rPr>
          <w:rStyle w:val="CaptionLabel"/>
        </w:rPr>
        <w:instrText xml:space="preserve"> SEQ Table_AP \* ARABIC \S 9 \* MERGEFORMAT </w:instrText>
      </w:r>
      <w:r>
        <w:fldChar w:fldCharType="separate"/>
      </w:r>
      <w:r>
        <w:rPr>
          <w:rStyle w:val="CaptionLabel"/>
          <w:noProof/>
        </w:rPr>
        <w:t>10</w:t>
      </w:r>
      <w:r>
        <w:fldChar w:fldCharType="end"/>
      </w:r>
      <w:r>
        <w:tab/>
        <w:t>Class 2 average annual energy consumption (MJ) by star rating cohort</w:t>
      </w:r>
      <w:bookmarkEnd w:id="471"/>
      <w:bookmarkEnd w:id="472"/>
    </w:p>
    <w:tbl>
      <w:tblPr>
        <w:tblW w:w="8385" w:type="dxa"/>
        <w:tblInd w:w="-454" w:type="dxa"/>
        <w:tblBorders>
          <w:bottom w:val="single" w:sz="4" w:space="0" w:color="646464"/>
          <w:insideH w:val="single" w:sz="4" w:space="0" w:color="646464"/>
        </w:tblBorders>
        <w:tblLayout w:type="fixed"/>
        <w:tblCellMar>
          <w:left w:w="0" w:type="dxa"/>
          <w:bottom w:w="40" w:type="dxa"/>
          <w:right w:w="0" w:type="dxa"/>
        </w:tblCellMar>
        <w:tblLook w:val="04A0" w:firstRow="1" w:lastRow="0" w:firstColumn="1" w:lastColumn="0" w:noHBand="0" w:noVBand="1"/>
        <w:tblCaption w:val="Table C.10"/>
        <w:tblDescription w:val="Class 2 average annual energy consumption (MJ) by star rating cohort"/>
      </w:tblPr>
      <w:tblGrid>
        <w:gridCol w:w="455"/>
        <w:gridCol w:w="1133"/>
        <w:gridCol w:w="1132"/>
        <w:gridCol w:w="1133"/>
        <w:gridCol w:w="1133"/>
        <w:gridCol w:w="1133"/>
        <w:gridCol w:w="1133"/>
        <w:gridCol w:w="1133"/>
      </w:tblGrid>
      <w:tr w:rsidR="00676882" w14:paraId="22551AED" w14:textId="77777777" w:rsidTr="00DF45FA">
        <w:trPr>
          <w:tblHeader/>
        </w:trPr>
        <w:tc>
          <w:tcPr>
            <w:tcW w:w="1587" w:type="dxa"/>
            <w:gridSpan w:val="2"/>
            <w:tcBorders>
              <w:top w:val="nil"/>
              <w:left w:val="nil"/>
              <w:bottom w:val="nil"/>
              <w:right w:val="nil"/>
            </w:tcBorders>
            <w:shd w:val="clear" w:color="auto" w:fill="140034"/>
            <w:tcMar>
              <w:top w:w="0" w:type="dxa"/>
              <w:left w:w="454" w:type="dxa"/>
              <w:bottom w:w="40" w:type="dxa"/>
              <w:right w:w="0" w:type="dxa"/>
            </w:tcMar>
            <w:hideMark/>
          </w:tcPr>
          <w:p w14:paraId="3004784D" w14:textId="77777777" w:rsidR="00676882" w:rsidRDefault="00676882" w:rsidP="00DF45FA">
            <w:pPr>
              <w:pStyle w:val="Tablecolumnheadings"/>
            </w:pPr>
            <w:r>
              <w:t>Star Rating</w:t>
            </w:r>
          </w:p>
        </w:tc>
        <w:tc>
          <w:tcPr>
            <w:tcW w:w="1133" w:type="dxa"/>
            <w:tcBorders>
              <w:top w:val="nil"/>
              <w:left w:val="nil"/>
              <w:bottom w:val="nil"/>
              <w:right w:val="nil"/>
            </w:tcBorders>
            <w:shd w:val="clear" w:color="auto" w:fill="140034"/>
            <w:hideMark/>
          </w:tcPr>
          <w:p w14:paraId="3687F991" w14:textId="77777777" w:rsidR="00676882" w:rsidRDefault="00676882" w:rsidP="00DF45FA">
            <w:pPr>
              <w:pStyle w:val="Tablecolumnheadings"/>
            </w:pPr>
            <w:r>
              <w:t>Electrical Peak</w:t>
            </w:r>
          </w:p>
        </w:tc>
        <w:tc>
          <w:tcPr>
            <w:tcW w:w="1134" w:type="dxa"/>
            <w:tcBorders>
              <w:top w:val="nil"/>
              <w:left w:val="nil"/>
              <w:bottom w:val="nil"/>
              <w:right w:val="nil"/>
            </w:tcBorders>
            <w:shd w:val="clear" w:color="auto" w:fill="140034"/>
            <w:hideMark/>
          </w:tcPr>
          <w:p w14:paraId="197DF01E" w14:textId="77777777" w:rsidR="00676882" w:rsidRDefault="00676882" w:rsidP="00DF45FA">
            <w:pPr>
              <w:pStyle w:val="Tablecolumnheadings"/>
            </w:pPr>
            <w:r>
              <w:t>Electrical Controlled</w:t>
            </w:r>
          </w:p>
        </w:tc>
        <w:tc>
          <w:tcPr>
            <w:tcW w:w="1134" w:type="dxa"/>
            <w:tcBorders>
              <w:top w:val="nil"/>
              <w:left w:val="nil"/>
              <w:bottom w:val="nil"/>
              <w:right w:val="nil"/>
            </w:tcBorders>
            <w:shd w:val="clear" w:color="auto" w:fill="140034"/>
            <w:hideMark/>
          </w:tcPr>
          <w:p w14:paraId="0F716A78" w14:textId="77777777" w:rsidR="00676882" w:rsidRDefault="00676882" w:rsidP="00DF45FA">
            <w:pPr>
              <w:pStyle w:val="Tablecolumnheadings"/>
            </w:pPr>
            <w:r>
              <w:t>Gas</w:t>
            </w:r>
          </w:p>
        </w:tc>
        <w:tc>
          <w:tcPr>
            <w:tcW w:w="1134" w:type="dxa"/>
            <w:tcBorders>
              <w:top w:val="nil"/>
              <w:left w:val="nil"/>
              <w:bottom w:val="nil"/>
              <w:right w:val="nil"/>
            </w:tcBorders>
            <w:shd w:val="clear" w:color="auto" w:fill="140034"/>
            <w:hideMark/>
          </w:tcPr>
          <w:p w14:paraId="0D0E4095" w14:textId="77777777" w:rsidR="00676882" w:rsidRDefault="00676882" w:rsidP="00DF45FA">
            <w:pPr>
              <w:pStyle w:val="Tablecolumnheadings"/>
            </w:pPr>
            <w:r>
              <w:t>Firewood</w:t>
            </w:r>
          </w:p>
        </w:tc>
        <w:tc>
          <w:tcPr>
            <w:tcW w:w="1134" w:type="dxa"/>
            <w:tcBorders>
              <w:top w:val="nil"/>
              <w:left w:val="nil"/>
              <w:bottom w:val="nil"/>
              <w:right w:val="nil"/>
            </w:tcBorders>
            <w:shd w:val="clear" w:color="auto" w:fill="140034"/>
            <w:hideMark/>
          </w:tcPr>
          <w:p w14:paraId="76D05670" w14:textId="77777777" w:rsidR="00676882" w:rsidRDefault="00676882" w:rsidP="00DF45FA">
            <w:pPr>
              <w:pStyle w:val="Tablecolumnheadings"/>
            </w:pPr>
            <w:r>
              <w:t>PV Offset</w:t>
            </w:r>
          </w:p>
        </w:tc>
        <w:tc>
          <w:tcPr>
            <w:tcW w:w="1134" w:type="dxa"/>
            <w:tcBorders>
              <w:top w:val="nil"/>
              <w:left w:val="nil"/>
              <w:bottom w:val="nil"/>
              <w:right w:val="single" w:sz="6" w:space="0" w:color="140034"/>
            </w:tcBorders>
            <w:shd w:val="clear" w:color="auto" w:fill="140034"/>
            <w:hideMark/>
          </w:tcPr>
          <w:p w14:paraId="3190FD60" w14:textId="77777777" w:rsidR="00676882" w:rsidRDefault="00676882" w:rsidP="00DF45FA">
            <w:pPr>
              <w:pStyle w:val="Tablecolumnheadings"/>
            </w:pPr>
            <w:r>
              <w:t>PV Export</w:t>
            </w:r>
          </w:p>
        </w:tc>
      </w:tr>
      <w:tr w:rsidR="00676882" w14:paraId="6EC7A1A0" w14:textId="77777777" w:rsidTr="00DF45FA">
        <w:trPr>
          <w:gridBefore w:val="1"/>
          <w:wBefore w:w="454" w:type="dxa"/>
        </w:trPr>
        <w:tc>
          <w:tcPr>
            <w:tcW w:w="1133" w:type="dxa"/>
            <w:tcBorders>
              <w:top w:val="nil"/>
              <w:left w:val="nil"/>
              <w:bottom w:val="single" w:sz="4" w:space="0" w:color="646464"/>
              <w:right w:val="nil"/>
            </w:tcBorders>
            <w:hideMark/>
          </w:tcPr>
          <w:p w14:paraId="35F6C1C7" w14:textId="77777777" w:rsidR="00676882" w:rsidRDefault="00676882" w:rsidP="00DF45FA">
            <w:pPr>
              <w:pStyle w:val="Tabletext"/>
            </w:pPr>
            <w:r>
              <w:t xml:space="preserve">&lt; 3 </w:t>
            </w:r>
            <w:proofErr w:type="gramStart"/>
            <w:r>
              <w:t>star</w:t>
            </w:r>
            <w:proofErr w:type="gramEnd"/>
          </w:p>
        </w:tc>
        <w:tc>
          <w:tcPr>
            <w:tcW w:w="1133" w:type="dxa"/>
            <w:tcBorders>
              <w:top w:val="nil"/>
              <w:left w:val="nil"/>
              <w:bottom w:val="single" w:sz="4" w:space="0" w:color="646464"/>
              <w:right w:val="nil"/>
            </w:tcBorders>
            <w:hideMark/>
          </w:tcPr>
          <w:p w14:paraId="5674B44D" w14:textId="77777777" w:rsidR="00676882" w:rsidRDefault="00676882" w:rsidP="00DF45FA">
            <w:pPr>
              <w:pStyle w:val="Tabletext"/>
            </w:pPr>
            <w:r>
              <w:t xml:space="preserve"> 16,999 </w:t>
            </w:r>
          </w:p>
        </w:tc>
        <w:tc>
          <w:tcPr>
            <w:tcW w:w="1134" w:type="dxa"/>
            <w:tcBorders>
              <w:top w:val="nil"/>
              <w:left w:val="nil"/>
              <w:bottom w:val="single" w:sz="4" w:space="0" w:color="646464"/>
              <w:right w:val="nil"/>
            </w:tcBorders>
            <w:hideMark/>
          </w:tcPr>
          <w:p w14:paraId="5635D2FA" w14:textId="77777777" w:rsidR="00676882" w:rsidRDefault="00676882" w:rsidP="00DF45FA">
            <w:pPr>
              <w:pStyle w:val="Tabletext"/>
            </w:pPr>
            <w:r>
              <w:t xml:space="preserve"> -   </w:t>
            </w:r>
          </w:p>
        </w:tc>
        <w:tc>
          <w:tcPr>
            <w:tcW w:w="1134" w:type="dxa"/>
            <w:tcBorders>
              <w:top w:val="nil"/>
              <w:left w:val="nil"/>
              <w:bottom w:val="single" w:sz="4" w:space="0" w:color="646464"/>
              <w:right w:val="nil"/>
            </w:tcBorders>
            <w:hideMark/>
          </w:tcPr>
          <w:p w14:paraId="69EB94F6" w14:textId="77777777" w:rsidR="00676882" w:rsidRDefault="00676882" w:rsidP="00DF45FA">
            <w:pPr>
              <w:pStyle w:val="Tabletext"/>
            </w:pPr>
            <w:r>
              <w:t xml:space="preserve"> 34,028 </w:t>
            </w:r>
          </w:p>
        </w:tc>
        <w:tc>
          <w:tcPr>
            <w:tcW w:w="1134" w:type="dxa"/>
            <w:tcBorders>
              <w:top w:val="nil"/>
              <w:left w:val="nil"/>
              <w:bottom w:val="single" w:sz="4" w:space="0" w:color="646464"/>
              <w:right w:val="nil"/>
            </w:tcBorders>
            <w:hideMark/>
          </w:tcPr>
          <w:p w14:paraId="0DBEA0E6" w14:textId="77777777" w:rsidR="00676882" w:rsidRDefault="00676882" w:rsidP="00DF45FA">
            <w:pPr>
              <w:pStyle w:val="Tabletext"/>
            </w:pPr>
            <w:r>
              <w:t xml:space="preserve"> -   </w:t>
            </w:r>
          </w:p>
        </w:tc>
        <w:tc>
          <w:tcPr>
            <w:tcW w:w="1134" w:type="dxa"/>
            <w:tcBorders>
              <w:top w:val="nil"/>
              <w:left w:val="nil"/>
              <w:bottom w:val="single" w:sz="4" w:space="0" w:color="646464"/>
              <w:right w:val="nil"/>
            </w:tcBorders>
            <w:hideMark/>
          </w:tcPr>
          <w:p w14:paraId="652F50DF" w14:textId="77777777" w:rsidR="00676882" w:rsidRDefault="00676882" w:rsidP="00DF45FA">
            <w:pPr>
              <w:pStyle w:val="Tabletext"/>
            </w:pPr>
            <w:r>
              <w:t xml:space="preserve"> -   </w:t>
            </w:r>
          </w:p>
        </w:tc>
        <w:tc>
          <w:tcPr>
            <w:tcW w:w="1134" w:type="dxa"/>
            <w:tcBorders>
              <w:top w:val="nil"/>
              <w:left w:val="nil"/>
              <w:bottom w:val="single" w:sz="4" w:space="0" w:color="646464"/>
              <w:right w:val="nil"/>
            </w:tcBorders>
            <w:hideMark/>
          </w:tcPr>
          <w:p w14:paraId="633E797D" w14:textId="77777777" w:rsidR="00676882" w:rsidRDefault="00676882" w:rsidP="00DF45FA">
            <w:pPr>
              <w:pStyle w:val="Tabletext"/>
            </w:pPr>
            <w:r>
              <w:t xml:space="preserve"> -   </w:t>
            </w:r>
          </w:p>
        </w:tc>
      </w:tr>
      <w:tr w:rsidR="00676882" w14:paraId="3CD7622F" w14:textId="77777777" w:rsidTr="00DF45FA">
        <w:trPr>
          <w:gridBefore w:val="1"/>
          <w:wBefore w:w="454" w:type="dxa"/>
        </w:trPr>
        <w:tc>
          <w:tcPr>
            <w:tcW w:w="1133" w:type="dxa"/>
            <w:tcBorders>
              <w:top w:val="single" w:sz="4" w:space="0" w:color="646464"/>
              <w:left w:val="nil"/>
              <w:bottom w:val="single" w:sz="4" w:space="0" w:color="646464"/>
              <w:right w:val="nil"/>
            </w:tcBorders>
            <w:hideMark/>
          </w:tcPr>
          <w:p w14:paraId="7B906292" w14:textId="77777777" w:rsidR="00676882" w:rsidRDefault="00676882" w:rsidP="00DF45FA">
            <w:pPr>
              <w:pStyle w:val="Tabletext"/>
            </w:pPr>
            <w:r>
              <w:t>3 Star</w:t>
            </w:r>
          </w:p>
        </w:tc>
        <w:tc>
          <w:tcPr>
            <w:tcW w:w="1133" w:type="dxa"/>
            <w:tcBorders>
              <w:top w:val="single" w:sz="4" w:space="0" w:color="646464"/>
              <w:left w:val="nil"/>
              <w:bottom w:val="single" w:sz="4" w:space="0" w:color="646464"/>
              <w:right w:val="nil"/>
            </w:tcBorders>
            <w:hideMark/>
          </w:tcPr>
          <w:p w14:paraId="6D226728" w14:textId="77777777" w:rsidR="00676882" w:rsidRDefault="00676882" w:rsidP="00DF45FA">
            <w:pPr>
              <w:pStyle w:val="Tabletext"/>
            </w:pPr>
            <w:r>
              <w:t xml:space="preserve"> 14,448 </w:t>
            </w:r>
          </w:p>
        </w:tc>
        <w:tc>
          <w:tcPr>
            <w:tcW w:w="1134" w:type="dxa"/>
            <w:tcBorders>
              <w:top w:val="single" w:sz="4" w:space="0" w:color="646464"/>
              <w:left w:val="nil"/>
              <w:bottom w:val="single" w:sz="4" w:space="0" w:color="646464"/>
              <w:right w:val="nil"/>
            </w:tcBorders>
            <w:hideMark/>
          </w:tcPr>
          <w:p w14:paraId="5BDC6DEE" w14:textId="77777777" w:rsidR="00676882" w:rsidRDefault="00676882" w:rsidP="00DF45FA">
            <w:pPr>
              <w:pStyle w:val="Tabletext"/>
            </w:pPr>
            <w:r>
              <w:t xml:space="preserve"> -   </w:t>
            </w:r>
          </w:p>
        </w:tc>
        <w:tc>
          <w:tcPr>
            <w:tcW w:w="1134" w:type="dxa"/>
            <w:tcBorders>
              <w:top w:val="single" w:sz="4" w:space="0" w:color="646464"/>
              <w:left w:val="nil"/>
              <w:bottom w:val="single" w:sz="4" w:space="0" w:color="646464"/>
              <w:right w:val="nil"/>
            </w:tcBorders>
            <w:hideMark/>
          </w:tcPr>
          <w:p w14:paraId="32721BCD" w14:textId="77777777" w:rsidR="00676882" w:rsidRDefault="00676882" w:rsidP="00DF45FA">
            <w:pPr>
              <w:pStyle w:val="Tabletext"/>
            </w:pPr>
            <w:r>
              <w:t xml:space="preserve"> 29,098 </w:t>
            </w:r>
          </w:p>
        </w:tc>
        <w:tc>
          <w:tcPr>
            <w:tcW w:w="1134" w:type="dxa"/>
            <w:tcBorders>
              <w:top w:val="single" w:sz="4" w:space="0" w:color="646464"/>
              <w:left w:val="nil"/>
              <w:bottom w:val="single" w:sz="4" w:space="0" w:color="646464"/>
              <w:right w:val="nil"/>
            </w:tcBorders>
            <w:hideMark/>
          </w:tcPr>
          <w:p w14:paraId="5EA1673B" w14:textId="77777777" w:rsidR="00676882" w:rsidRDefault="00676882" w:rsidP="00DF45FA">
            <w:pPr>
              <w:pStyle w:val="Tabletext"/>
            </w:pPr>
            <w:r>
              <w:t xml:space="preserve"> -   </w:t>
            </w:r>
          </w:p>
        </w:tc>
        <w:tc>
          <w:tcPr>
            <w:tcW w:w="1134" w:type="dxa"/>
            <w:tcBorders>
              <w:top w:val="single" w:sz="4" w:space="0" w:color="646464"/>
              <w:left w:val="nil"/>
              <w:bottom w:val="single" w:sz="4" w:space="0" w:color="646464"/>
              <w:right w:val="nil"/>
            </w:tcBorders>
            <w:hideMark/>
          </w:tcPr>
          <w:p w14:paraId="71022184" w14:textId="77777777" w:rsidR="00676882" w:rsidRDefault="00676882" w:rsidP="00DF45FA">
            <w:pPr>
              <w:pStyle w:val="Tabletext"/>
            </w:pPr>
            <w:r>
              <w:t xml:space="preserve">-4,155 </w:t>
            </w:r>
          </w:p>
        </w:tc>
        <w:tc>
          <w:tcPr>
            <w:tcW w:w="1134" w:type="dxa"/>
            <w:tcBorders>
              <w:top w:val="single" w:sz="4" w:space="0" w:color="646464"/>
              <w:left w:val="nil"/>
              <w:bottom w:val="single" w:sz="4" w:space="0" w:color="646464"/>
              <w:right w:val="nil"/>
            </w:tcBorders>
            <w:hideMark/>
          </w:tcPr>
          <w:p w14:paraId="79CCB20C" w14:textId="77777777" w:rsidR="00676882" w:rsidRDefault="00676882" w:rsidP="00DF45FA">
            <w:pPr>
              <w:pStyle w:val="Tabletext"/>
            </w:pPr>
            <w:r>
              <w:t xml:space="preserve">-8,547 </w:t>
            </w:r>
          </w:p>
        </w:tc>
      </w:tr>
      <w:tr w:rsidR="00676882" w14:paraId="482B518C" w14:textId="77777777" w:rsidTr="00DF45FA">
        <w:trPr>
          <w:gridBefore w:val="1"/>
          <w:wBefore w:w="454" w:type="dxa"/>
        </w:trPr>
        <w:tc>
          <w:tcPr>
            <w:tcW w:w="7936" w:type="dxa"/>
            <w:gridSpan w:val="7"/>
            <w:tcBorders>
              <w:top w:val="single" w:sz="4" w:space="0" w:color="646464"/>
              <w:left w:val="nil"/>
              <w:bottom w:val="single" w:sz="4" w:space="0" w:color="646464"/>
              <w:right w:val="nil"/>
            </w:tcBorders>
            <w:hideMark/>
          </w:tcPr>
          <w:p w14:paraId="2DDE673D" w14:textId="77777777" w:rsidR="00676882" w:rsidRDefault="00676882" w:rsidP="00DF45FA">
            <w:pPr>
              <w:pStyle w:val="Source"/>
              <w:spacing w:line="256" w:lineRule="auto"/>
            </w:pPr>
            <w:r>
              <w:t>Source: Energy Efficient Strategies</w:t>
            </w:r>
          </w:p>
        </w:tc>
      </w:tr>
      <w:tr w:rsidR="00676882" w14:paraId="0F578619" w14:textId="77777777" w:rsidTr="00DF45FA">
        <w:trPr>
          <w:gridBefore w:val="1"/>
          <w:wBefore w:w="454" w:type="dxa"/>
          <w:trHeight w:val="160"/>
        </w:trPr>
        <w:tc>
          <w:tcPr>
            <w:tcW w:w="7936" w:type="dxa"/>
            <w:gridSpan w:val="7"/>
            <w:tcBorders>
              <w:top w:val="single" w:sz="4" w:space="0" w:color="646464"/>
              <w:left w:val="nil"/>
              <w:bottom w:val="nil"/>
              <w:right w:val="nil"/>
            </w:tcBorders>
          </w:tcPr>
          <w:p w14:paraId="40E43F27" w14:textId="77777777" w:rsidR="00676882" w:rsidRDefault="00676882" w:rsidP="00DF45FA">
            <w:pPr>
              <w:pStyle w:val="spacer"/>
              <w:spacing w:line="256" w:lineRule="auto"/>
            </w:pPr>
          </w:p>
        </w:tc>
      </w:tr>
    </w:tbl>
    <w:p w14:paraId="2BC03923" w14:textId="77777777" w:rsidR="00676882" w:rsidRDefault="00676882" w:rsidP="00676882">
      <w:pPr>
        <w:pStyle w:val="Heading3AP"/>
        <w:numPr>
          <w:ilvl w:val="2"/>
          <w:numId w:val="45"/>
        </w:numPr>
      </w:pPr>
      <w:r>
        <w:t>Upgrade costs</w:t>
      </w:r>
    </w:p>
    <w:p w14:paraId="085CB535" w14:textId="77777777" w:rsidR="00676882" w:rsidRDefault="00676882" w:rsidP="00676882">
      <w:pPr>
        <w:pStyle w:val="BodyText"/>
      </w:pPr>
      <w:r>
        <w:t>Using the RED model an assessment was undertaken on the costs associated with an upgrade to either 2 stars or 3 stars. This assessment included the capital value of any building shell enhancement plus equipment capital costs plus PV and inverter capital costs.</w:t>
      </w:r>
    </w:p>
    <w:p w14:paraId="67A05C49" w14:textId="77777777" w:rsidR="00676882" w:rsidRDefault="00676882" w:rsidP="00676882">
      <w:pPr>
        <w:pStyle w:val="BodyText"/>
      </w:pPr>
      <w:r>
        <w:t>On average the costs were as follows:</w:t>
      </w:r>
    </w:p>
    <w:p w14:paraId="0E0158E7" w14:textId="77777777" w:rsidR="00676882" w:rsidRDefault="00676882" w:rsidP="00676882">
      <w:pPr>
        <w:pStyle w:val="Caption"/>
        <w:keepNext w:val="0"/>
        <w:numPr>
          <w:ilvl w:val="0"/>
          <w:numId w:val="90"/>
        </w:numPr>
        <w:spacing w:before="70" w:after="70" w:line="280" w:lineRule="atLeast"/>
        <w:ind w:left="420"/>
      </w:pPr>
      <w:r>
        <w:t>upgrade to 2 stars = $4,620</w:t>
      </w:r>
    </w:p>
    <w:p w14:paraId="64BC5D79" w14:textId="77777777" w:rsidR="00676882" w:rsidRDefault="00676882" w:rsidP="00676882">
      <w:pPr>
        <w:pStyle w:val="Caption"/>
        <w:keepNext w:val="0"/>
        <w:numPr>
          <w:ilvl w:val="0"/>
          <w:numId w:val="90"/>
        </w:numPr>
        <w:spacing w:before="70" w:after="70" w:line="280" w:lineRule="atLeast"/>
        <w:ind w:left="420"/>
      </w:pPr>
      <w:r>
        <w:t>upgrade to 3 stars = $ 8,450.</w:t>
      </w:r>
    </w:p>
    <w:p w14:paraId="295AD6B5" w14:textId="77777777" w:rsidR="00676882" w:rsidRDefault="00676882" w:rsidP="00676882">
      <w:pPr>
        <w:pStyle w:val="BodyText"/>
        <w:tabs>
          <w:tab w:val="left" w:pos="7088"/>
        </w:tabs>
      </w:pPr>
      <w:r>
        <w:t xml:space="preserve">There was however a wide distribution of costs across the range of dwelling configurations modelled. Some dwellings needed to do very little to make the performance target whilst others (generally those with very low star ratings) had to undertake more significant upgrades. The distributions of cost are shown in </w:t>
      </w:r>
      <w:r w:rsidRPr="009E4AB1">
        <w:fldChar w:fldCharType="begin"/>
      </w:r>
      <w:r w:rsidRPr="009E4AB1">
        <w:instrText xml:space="preserve"> REF _Ref80716746 \h  \* MERGEFORMAT </w:instrText>
      </w:r>
      <w:r w:rsidRPr="009E4AB1">
        <w:fldChar w:fldCharType="separate"/>
      </w:r>
      <w:r w:rsidRPr="00F32FCC">
        <w:t>Figure C.7</w:t>
      </w:r>
      <w:r w:rsidRPr="009E4AB1">
        <w:fldChar w:fldCharType="end"/>
      </w:r>
      <w:r>
        <w:t xml:space="preserve"> (</w:t>
      </w:r>
      <w:proofErr w:type="gramStart"/>
      <w:r>
        <w:t>2 star</w:t>
      </w:r>
      <w:proofErr w:type="gramEnd"/>
      <w:r>
        <w:t xml:space="preserve"> target) and </w:t>
      </w:r>
      <w:r w:rsidRPr="009E4AB1">
        <w:fldChar w:fldCharType="begin"/>
      </w:r>
      <w:r w:rsidRPr="009E4AB1">
        <w:instrText xml:space="preserve"> REF _Ref80716754 \h  \* MERGEFORMAT </w:instrText>
      </w:r>
      <w:r w:rsidRPr="009E4AB1">
        <w:fldChar w:fldCharType="separate"/>
      </w:r>
      <w:r w:rsidRPr="00F32FCC">
        <w:t>Figure C.8</w:t>
      </w:r>
      <w:r w:rsidRPr="009E4AB1">
        <w:fldChar w:fldCharType="end"/>
      </w:r>
      <w:r>
        <w:t xml:space="preserve"> (3 star target). </w:t>
      </w:r>
    </w:p>
    <w:p w14:paraId="1CEB98E0" w14:textId="77777777" w:rsidR="00676882" w:rsidRDefault="00676882" w:rsidP="00676882">
      <w:pPr>
        <w:pStyle w:val="BodyText"/>
      </w:pPr>
      <w:r>
        <w:t xml:space="preserve">It should be noted that these costs include for the full cost of any heating, cooling or hot water equipment being replaced irrespective of the age of the pre-existing equipment. Significantly lower costs would be applicable if the extended lifespan of the newly installed equipment (compared to the incumbent equipment) were </w:t>
      </w:r>
      <w:proofErr w:type="gramStart"/>
      <w:r>
        <w:t>taken into account</w:t>
      </w:r>
      <w:proofErr w:type="gramEnd"/>
      <w:r>
        <w:t xml:space="preserve"> (existing equipment would on average be half-way through its lifespan) or alternatively if the requirement was such that equipment must only be replaced at the end of its life. Additionally, the cost of some improvement measures such as upgrading to a heat pump type water heater have been dropping significantly in the past few years.</w:t>
      </w:r>
    </w:p>
    <w:p w14:paraId="155488EB" w14:textId="77777777" w:rsidR="00676882" w:rsidRPr="00A3484B" w:rsidRDefault="00676882" w:rsidP="00676882">
      <w:pPr>
        <w:pStyle w:val="BodyText"/>
      </w:pPr>
      <w:r>
        <w:t>Furthermore, the range of improvement options examined for this performance-based method were by necessity somewhat limited. For some dwellings there are likely to be a range of lower cost alternative solutions not covered by the model. In consideration of these various factors, the cost estimates for this improvement measure as reported above have a discount factored in of 20 per cent to account for the noted limitations and conservative nature of the model.</w:t>
      </w:r>
      <w:r w:rsidRPr="00A3484B">
        <w:t xml:space="preserve"> </w:t>
      </w:r>
    </w:p>
    <w:p w14:paraId="6715540B" w14:textId="77777777" w:rsidR="00676882" w:rsidRDefault="00676882" w:rsidP="00676882">
      <w:pPr>
        <w:keepNext/>
        <w:keepLines/>
        <w:spacing w:after="240"/>
      </w:pPr>
      <w:bookmarkStart w:id="473" w:name="_Ref80716746"/>
      <w:bookmarkStart w:id="474" w:name="_Toc80719297"/>
      <w:bookmarkStart w:id="475" w:name="_Hlk80468119"/>
      <w:bookmarkEnd w:id="462"/>
      <w:r w:rsidRPr="009227FD">
        <w:rPr>
          <w:rStyle w:val="CaptionLabel"/>
        </w:rPr>
        <w:lastRenderedPageBreak/>
        <w:t>Figure </w:t>
      </w:r>
      <w:r w:rsidRPr="009227FD">
        <w:rPr>
          <w:rStyle w:val="CaptionLabel"/>
        </w:rPr>
        <w:fldChar w:fldCharType="begin"/>
      </w:r>
      <w:r w:rsidRPr="009227FD">
        <w:rPr>
          <w:rStyle w:val="CaptionLabel"/>
        </w:rPr>
        <w:instrText xml:space="preserve"> STYLEREF 9 \S \* MERGEFORMAT </w:instrText>
      </w:r>
      <w:r w:rsidRPr="009227FD">
        <w:rPr>
          <w:rStyle w:val="CaptionLabel"/>
        </w:rPr>
        <w:fldChar w:fldCharType="separate"/>
      </w:r>
      <w:r>
        <w:rPr>
          <w:rStyle w:val="CaptionLabel"/>
          <w:noProof/>
        </w:rPr>
        <w:t>C</w:t>
      </w:r>
      <w:r w:rsidRPr="009227FD">
        <w:rPr>
          <w:rStyle w:val="CaptionLabel"/>
        </w:rPr>
        <w:fldChar w:fldCharType="end"/>
      </w:r>
      <w:r w:rsidRPr="009227FD">
        <w:rPr>
          <w:rStyle w:val="CaptionLabel"/>
        </w:rPr>
        <w:t>.</w:t>
      </w:r>
      <w:r w:rsidRPr="009227FD">
        <w:rPr>
          <w:rStyle w:val="CaptionLabel"/>
        </w:rPr>
        <w:fldChar w:fldCharType="begin"/>
      </w:r>
      <w:r w:rsidRPr="009227FD">
        <w:rPr>
          <w:rStyle w:val="CaptionLabel"/>
        </w:rPr>
        <w:instrText xml:space="preserve"> SEQ Figure_AP \* ARABIC \S 9 \* MERGEFORMAT </w:instrText>
      </w:r>
      <w:r w:rsidRPr="009227FD">
        <w:rPr>
          <w:rStyle w:val="CaptionLabel"/>
        </w:rPr>
        <w:fldChar w:fldCharType="separate"/>
      </w:r>
      <w:r>
        <w:rPr>
          <w:rStyle w:val="CaptionLabel"/>
          <w:noProof/>
        </w:rPr>
        <w:t>7</w:t>
      </w:r>
      <w:r w:rsidRPr="009227FD">
        <w:rPr>
          <w:rStyle w:val="CaptionLabel"/>
        </w:rPr>
        <w:fldChar w:fldCharType="end"/>
      </w:r>
      <w:bookmarkEnd w:id="473"/>
      <w:r>
        <w:tab/>
        <w:t>Distribution of costs to upgrade to 2 stars</w:t>
      </w:r>
      <w:bookmarkEnd w:id="474"/>
      <w:r>
        <w:t xml:space="preserve"> </w:t>
      </w:r>
    </w:p>
    <w:p w14:paraId="38461E6F" w14:textId="77777777" w:rsidR="00676882" w:rsidRDefault="00676882" w:rsidP="00676882">
      <w:pPr>
        <w:keepNext/>
        <w:keepLines/>
        <w:rPr>
          <w:i/>
          <w:iCs/>
          <w:sz w:val="16"/>
          <w:szCs w:val="16"/>
        </w:rPr>
      </w:pPr>
      <w:r>
        <w:rPr>
          <w:noProof/>
        </w:rPr>
        <w:drawing>
          <wp:inline distT="0" distB="0" distL="0" distR="0" wp14:anchorId="07C6A386" wp14:editId="6A7BF0B1">
            <wp:extent cx="5039360" cy="2369185"/>
            <wp:effectExtent l="0" t="0" r="8890" b="0"/>
            <wp:docPr id="1" name="Chart 1" descr="This figure shows a distribution of costs, where $4,000 to $6,000 is the most common category, with some values up to $12,000 and as low as $2,000.">
              <a:extLst xmlns:a="http://schemas.openxmlformats.org/drawingml/2006/main">
                <a:ext uri="{FF2B5EF4-FFF2-40B4-BE49-F238E27FC236}">
                  <a16:creationId xmlns:a16="http://schemas.microsoft.com/office/drawing/2014/main" id="{42632612-748A-4DF6-92AF-202A150E532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9"/>
              </a:graphicData>
            </a:graphic>
          </wp:inline>
        </w:drawing>
      </w:r>
    </w:p>
    <w:p w14:paraId="750A6C80" w14:textId="77777777" w:rsidR="00676882" w:rsidRPr="001F74AF" w:rsidRDefault="00676882" w:rsidP="00676882">
      <w:pPr>
        <w:keepNext/>
        <w:keepLines/>
      </w:pPr>
      <w:r w:rsidRPr="006B0263">
        <w:rPr>
          <w:i/>
          <w:iCs/>
          <w:sz w:val="16"/>
          <w:szCs w:val="16"/>
        </w:rPr>
        <w:t>Source: Energy Efficient Strategies</w:t>
      </w:r>
      <w:r w:rsidRPr="006B0263" w:rsidDel="00CD3041">
        <w:rPr>
          <w:i/>
          <w:iCs/>
          <w:sz w:val="16"/>
          <w:szCs w:val="16"/>
        </w:rPr>
        <w:t xml:space="preserve"> </w:t>
      </w:r>
    </w:p>
    <w:p w14:paraId="2BF16516" w14:textId="77777777" w:rsidR="00676882" w:rsidRDefault="00676882" w:rsidP="00676882">
      <w:pPr>
        <w:pStyle w:val="BodyText"/>
      </w:pPr>
      <w:bookmarkStart w:id="476" w:name="_Ref80716754"/>
      <w:bookmarkStart w:id="477" w:name="_Toc80719298"/>
      <w:r w:rsidRPr="009227FD">
        <w:rPr>
          <w:rStyle w:val="CaptionLabel"/>
        </w:rPr>
        <w:t>Figure </w:t>
      </w:r>
      <w:r w:rsidRPr="009227FD">
        <w:rPr>
          <w:rStyle w:val="CaptionLabel"/>
        </w:rPr>
        <w:fldChar w:fldCharType="begin"/>
      </w:r>
      <w:r w:rsidRPr="009227FD">
        <w:rPr>
          <w:rStyle w:val="CaptionLabel"/>
        </w:rPr>
        <w:instrText xml:space="preserve"> STYLEREF 9 \S \* MERGEFORMAT </w:instrText>
      </w:r>
      <w:r w:rsidRPr="009227FD">
        <w:rPr>
          <w:rStyle w:val="CaptionLabel"/>
        </w:rPr>
        <w:fldChar w:fldCharType="separate"/>
      </w:r>
      <w:r>
        <w:rPr>
          <w:rStyle w:val="CaptionLabel"/>
          <w:noProof/>
        </w:rPr>
        <w:t>C</w:t>
      </w:r>
      <w:r w:rsidRPr="009227FD">
        <w:rPr>
          <w:rStyle w:val="CaptionLabel"/>
        </w:rPr>
        <w:fldChar w:fldCharType="end"/>
      </w:r>
      <w:r w:rsidRPr="009227FD">
        <w:rPr>
          <w:rStyle w:val="CaptionLabel"/>
        </w:rPr>
        <w:t>.</w:t>
      </w:r>
      <w:r w:rsidRPr="009227FD">
        <w:rPr>
          <w:rStyle w:val="CaptionLabel"/>
        </w:rPr>
        <w:fldChar w:fldCharType="begin"/>
      </w:r>
      <w:r w:rsidRPr="009227FD">
        <w:rPr>
          <w:rStyle w:val="CaptionLabel"/>
        </w:rPr>
        <w:instrText xml:space="preserve"> SEQ Figure_AP \* ARABIC \S 9 \* MERGEFORMAT </w:instrText>
      </w:r>
      <w:r w:rsidRPr="009227FD">
        <w:rPr>
          <w:rStyle w:val="CaptionLabel"/>
        </w:rPr>
        <w:fldChar w:fldCharType="separate"/>
      </w:r>
      <w:r>
        <w:rPr>
          <w:rStyle w:val="CaptionLabel"/>
          <w:noProof/>
        </w:rPr>
        <w:t>8</w:t>
      </w:r>
      <w:r w:rsidRPr="009227FD">
        <w:rPr>
          <w:rStyle w:val="CaptionLabel"/>
        </w:rPr>
        <w:fldChar w:fldCharType="end"/>
      </w:r>
      <w:bookmarkEnd w:id="476"/>
      <w:r>
        <w:tab/>
        <w:t>Distribution of costs to upgrade to 3 stars</w:t>
      </w:r>
      <w:bookmarkEnd w:id="477"/>
    </w:p>
    <w:p w14:paraId="66BFB6C3" w14:textId="77777777" w:rsidR="00676882" w:rsidRDefault="00676882" w:rsidP="00676882">
      <w:pPr>
        <w:pStyle w:val="BodyText"/>
        <w:spacing w:after="0" w:line="0" w:lineRule="atLeast"/>
      </w:pPr>
      <w:r>
        <w:rPr>
          <w:noProof/>
        </w:rPr>
        <w:drawing>
          <wp:inline distT="0" distB="0" distL="0" distR="0" wp14:anchorId="2FCDAC2A" wp14:editId="00529663">
            <wp:extent cx="5039360" cy="2344420"/>
            <wp:effectExtent l="0" t="0" r="8890" b="0"/>
            <wp:docPr id="590" name="Chart 590" descr="A distribution of costs, with representative values from the $2,000 to $4,000 category, all the way up to a $14,000 to $16,000 category, then with some tail values up to $30,000.">
              <a:extLst xmlns:a="http://schemas.openxmlformats.org/drawingml/2006/main">
                <a:ext uri="{FF2B5EF4-FFF2-40B4-BE49-F238E27FC236}">
                  <a16:creationId xmlns:a16="http://schemas.microsoft.com/office/drawing/2014/main" id="{20932847-AD2C-4EDF-A3D4-3D328750F9C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0"/>
              </a:graphicData>
            </a:graphic>
          </wp:inline>
        </w:drawing>
      </w:r>
    </w:p>
    <w:p w14:paraId="63D33266" w14:textId="77777777" w:rsidR="00676882" w:rsidRDefault="00676882" w:rsidP="00676882">
      <w:pPr>
        <w:pStyle w:val="BodyText"/>
        <w:spacing w:after="0" w:line="0" w:lineRule="atLeast"/>
      </w:pPr>
      <w:r w:rsidRPr="00123358">
        <w:rPr>
          <w:i/>
          <w:iCs/>
          <w:sz w:val="16"/>
          <w:szCs w:val="16"/>
        </w:rPr>
        <w:t>Source: Energy Efficient Strategies</w:t>
      </w:r>
    </w:p>
    <w:p w14:paraId="384171E9" w14:textId="77777777" w:rsidR="00676882" w:rsidRDefault="00676882" w:rsidP="00676882">
      <w:pPr>
        <w:pStyle w:val="Heading2AP"/>
      </w:pPr>
      <w:bookmarkStart w:id="478" w:name="_Toc80481719"/>
      <w:bookmarkStart w:id="479" w:name="_Toc80700356"/>
      <w:bookmarkStart w:id="480" w:name="_Toc80700604"/>
      <w:bookmarkStart w:id="481" w:name="_Toc80481726"/>
      <w:bookmarkStart w:id="482" w:name="_Toc80700363"/>
      <w:bookmarkStart w:id="483" w:name="_Toc80700611"/>
      <w:bookmarkStart w:id="484" w:name="_Toc80712625"/>
      <w:bookmarkEnd w:id="475"/>
      <w:bookmarkEnd w:id="478"/>
      <w:bookmarkEnd w:id="479"/>
      <w:bookmarkEnd w:id="480"/>
      <w:bookmarkEnd w:id="481"/>
      <w:bookmarkEnd w:id="482"/>
      <w:bookmarkEnd w:id="483"/>
      <w:r>
        <w:t>Greenhouse gas intensity of fuels</w:t>
      </w:r>
      <w:bookmarkEnd w:id="484"/>
    </w:p>
    <w:p w14:paraId="41BBBEFA" w14:textId="77777777" w:rsidR="00676882" w:rsidRDefault="00676882" w:rsidP="00676882">
      <w:pPr>
        <w:pStyle w:val="BodyText"/>
        <w:rPr>
          <w:rFonts w:asciiTheme="minorHAnsi" w:hAnsiTheme="minorHAnsi" w:cstheme="minorBidi"/>
        </w:rPr>
      </w:pPr>
      <w:r>
        <w:t xml:space="preserve">The model developed for this project has been set-up </w:t>
      </w:r>
      <w:proofErr w:type="gramStart"/>
      <w:r>
        <w:t>so as to</w:t>
      </w:r>
      <w:proofErr w:type="gramEnd"/>
      <w:r>
        <w:t xml:space="preserve"> be able to model a total of three fuel types as follows:</w:t>
      </w:r>
    </w:p>
    <w:p w14:paraId="5A9A53A9" w14:textId="77777777" w:rsidR="00676882" w:rsidRDefault="00676882" w:rsidP="00676882">
      <w:pPr>
        <w:pStyle w:val="ListBullet"/>
      </w:pPr>
      <w:r>
        <w:t>electricity</w:t>
      </w:r>
    </w:p>
    <w:p w14:paraId="6D88683D" w14:textId="77777777" w:rsidR="00676882" w:rsidRDefault="00676882" w:rsidP="00676882">
      <w:pPr>
        <w:pStyle w:val="ListBullet"/>
      </w:pPr>
      <w:r>
        <w:t>mains gas</w:t>
      </w:r>
    </w:p>
    <w:p w14:paraId="2513D0F1" w14:textId="77777777" w:rsidR="00676882" w:rsidRDefault="00676882" w:rsidP="00676882">
      <w:pPr>
        <w:pStyle w:val="ListBullet"/>
      </w:pPr>
      <w:r>
        <w:t>firewood (or solid fuels).</w:t>
      </w:r>
    </w:p>
    <w:p w14:paraId="04436CDF" w14:textId="77777777" w:rsidR="00676882" w:rsidRDefault="00676882" w:rsidP="00676882">
      <w:pPr>
        <w:pStyle w:val="BodyText"/>
      </w:pPr>
      <w:r>
        <w:t>Electricity and mains gas are by far the most significant with firewood holding onto a moderate market share in regional areas of the southern states.</w:t>
      </w:r>
    </w:p>
    <w:p w14:paraId="29B446C8" w14:textId="77777777" w:rsidR="00676882" w:rsidRDefault="00676882" w:rsidP="00676882">
      <w:pPr>
        <w:pStyle w:val="BodyText"/>
      </w:pPr>
      <w:r>
        <w:t>Electricity is divided into 3 tariff groups.</w:t>
      </w:r>
    </w:p>
    <w:p w14:paraId="040C4119" w14:textId="77777777" w:rsidR="00676882" w:rsidRDefault="00676882" w:rsidP="00676882">
      <w:pPr>
        <w:pStyle w:val="ListBullet"/>
      </w:pPr>
      <w:r>
        <w:t>peak</w:t>
      </w:r>
    </w:p>
    <w:p w14:paraId="652A18C6" w14:textId="77777777" w:rsidR="00676882" w:rsidRDefault="00676882" w:rsidP="00676882">
      <w:pPr>
        <w:pStyle w:val="ListBullet"/>
      </w:pPr>
      <w:r>
        <w:t>controlled load</w:t>
      </w:r>
    </w:p>
    <w:p w14:paraId="1B0542B7" w14:textId="77777777" w:rsidR="00676882" w:rsidRDefault="00676882" w:rsidP="00676882">
      <w:pPr>
        <w:pStyle w:val="ListBullet"/>
      </w:pPr>
      <w:r>
        <w:t>PV feed-in.</w:t>
      </w:r>
    </w:p>
    <w:p w14:paraId="33DD37B4" w14:textId="77777777" w:rsidR="00676882" w:rsidRDefault="00676882" w:rsidP="00676882">
      <w:pPr>
        <w:pStyle w:val="BodyText"/>
      </w:pPr>
      <w:r>
        <w:t>Greenhouse Gas Intensity Factors have generally been taken from the values developed for the EEIS scheme.</w:t>
      </w:r>
    </w:p>
    <w:p w14:paraId="48AECA55" w14:textId="77777777" w:rsidR="00676882" w:rsidRDefault="00676882" w:rsidP="00676882">
      <w:pPr>
        <w:pStyle w:val="Heading3AP"/>
      </w:pPr>
      <w:r>
        <w:lastRenderedPageBreak/>
        <w:t>Greenhouse gas intensity of fuels</w:t>
      </w:r>
    </w:p>
    <w:p w14:paraId="749505D4" w14:textId="77777777" w:rsidR="00676882" w:rsidRDefault="00676882" w:rsidP="00676882">
      <w:pPr>
        <w:pStyle w:val="BodyText"/>
      </w:pPr>
      <w:r>
        <w:t>The greenhouse gas intensity of electricity is set to zero to reflect the ACT government policy in relation to the greenhouse gas intensity of the ACT electricity supply.</w:t>
      </w:r>
    </w:p>
    <w:p w14:paraId="140D85E3" w14:textId="77777777" w:rsidR="00676882" w:rsidRDefault="00676882" w:rsidP="00676882">
      <w:pPr>
        <w:pStyle w:val="BodyText"/>
      </w:pPr>
      <w:r>
        <w:t>The greenhouse gas intensity for gas is based on National Greenhouse Account Factors 2019 - Scope 1 + Scope 3.</w:t>
      </w:r>
    </w:p>
    <w:p w14:paraId="65D61048" w14:textId="77777777" w:rsidR="00676882" w:rsidRDefault="00676882" w:rsidP="00676882">
      <w:pPr>
        <w:pStyle w:val="BodyText"/>
      </w:pPr>
      <w:r>
        <w:t>The greenhouse gas intensity for firewood is based on estimates prepared by George Wilkenfeld and Associates for the Commonwealth in relation to closed combustion type heaters.</w:t>
      </w:r>
    </w:p>
    <w:p w14:paraId="603B8A8C" w14:textId="77777777" w:rsidR="00676882" w:rsidRDefault="00676882" w:rsidP="00676882">
      <w:pPr>
        <w:pStyle w:val="BodyText"/>
      </w:pPr>
      <w:r>
        <w:t xml:space="preserve">A summary of the assumed greenhouse gas intensity of fuels is contained in </w:t>
      </w:r>
      <w:r w:rsidRPr="009E4AB1">
        <w:fldChar w:fldCharType="begin"/>
      </w:r>
      <w:r w:rsidRPr="009E4AB1">
        <w:instrText xml:space="preserve"> REF _Ref76307967 \h  \* MERGEFORMAT </w:instrText>
      </w:r>
      <w:r w:rsidRPr="009E4AB1">
        <w:fldChar w:fldCharType="separate"/>
      </w:r>
      <w:r w:rsidRPr="00F32FCC">
        <w:t>Table C.11</w:t>
      </w:r>
      <w:r w:rsidRPr="009E4AB1">
        <w:fldChar w:fldCharType="end"/>
      </w:r>
      <w:r>
        <w:t>.</w:t>
      </w:r>
    </w:p>
    <w:p w14:paraId="673F0861" w14:textId="77777777" w:rsidR="00676882" w:rsidRDefault="00676882" w:rsidP="00676882">
      <w:pPr>
        <w:pStyle w:val="Caption"/>
      </w:pPr>
      <w:bookmarkStart w:id="485" w:name="_Ref76307967"/>
      <w:bookmarkStart w:id="486" w:name="_Toc80719356"/>
      <w:r w:rsidRPr="009227FD">
        <w:rPr>
          <w:rStyle w:val="CaptionLabel"/>
        </w:rPr>
        <w:t>Table </w:t>
      </w:r>
      <w:r w:rsidRPr="009227FD">
        <w:rPr>
          <w:rStyle w:val="CaptionLabel"/>
        </w:rPr>
        <w:fldChar w:fldCharType="begin"/>
      </w:r>
      <w:r w:rsidRPr="009227FD">
        <w:rPr>
          <w:rStyle w:val="CaptionLabel"/>
        </w:rPr>
        <w:instrText xml:space="preserve"> STYLEREF 9 \S \* MERGEFORMAT </w:instrText>
      </w:r>
      <w:r w:rsidRPr="009227FD">
        <w:rPr>
          <w:rStyle w:val="CaptionLabel"/>
        </w:rPr>
        <w:fldChar w:fldCharType="separate"/>
      </w:r>
      <w:r>
        <w:rPr>
          <w:rStyle w:val="CaptionLabel"/>
          <w:noProof/>
        </w:rPr>
        <w:t>C</w:t>
      </w:r>
      <w:r w:rsidRPr="009227FD">
        <w:rPr>
          <w:rStyle w:val="CaptionLabel"/>
        </w:rPr>
        <w:fldChar w:fldCharType="end"/>
      </w:r>
      <w:r w:rsidRPr="009227FD">
        <w:rPr>
          <w:rStyle w:val="CaptionLabel"/>
        </w:rPr>
        <w:t>.</w:t>
      </w:r>
      <w:r w:rsidRPr="009227FD">
        <w:rPr>
          <w:rStyle w:val="CaptionLabel"/>
        </w:rPr>
        <w:fldChar w:fldCharType="begin"/>
      </w:r>
      <w:r w:rsidRPr="009227FD">
        <w:rPr>
          <w:rStyle w:val="CaptionLabel"/>
        </w:rPr>
        <w:instrText xml:space="preserve"> SEQ Table_AP \* ARABIC \S 9 \* MERGEFORMAT </w:instrText>
      </w:r>
      <w:r w:rsidRPr="009227FD">
        <w:rPr>
          <w:rStyle w:val="CaptionLabel"/>
        </w:rPr>
        <w:fldChar w:fldCharType="separate"/>
      </w:r>
      <w:r>
        <w:rPr>
          <w:rStyle w:val="CaptionLabel"/>
          <w:noProof/>
        </w:rPr>
        <w:t>11</w:t>
      </w:r>
      <w:r w:rsidRPr="009227FD">
        <w:rPr>
          <w:rStyle w:val="CaptionLabel"/>
        </w:rPr>
        <w:fldChar w:fldCharType="end"/>
      </w:r>
      <w:bookmarkEnd w:id="485"/>
      <w:r>
        <w:tab/>
      </w:r>
      <w:r w:rsidRPr="009227FD">
        <w:t>Greenhouse</w:t>
      </w:r>
      <w:r>
        <w:t xml:space="preserve"> g</w:t>
      </w:r>
      <w:r w:rsidRPr="009227FD">
        <w:t>as</w:t>
      </w:r>
      <w:r>
        <w:t xml:space="preserve"> i</w:t>
      </w:r>
      <w:r w:rsidRPr="009227FD">
        <w:t>ntensity</w:t>
      </w:r>
      <w:r>
        <w:t xml:space="preserve"> </w:t>
      </w:r>
      <w:r w:rsidRPr="009227FD">
        <w:t>of</w:t>
      </w:r>
      <w:r>
        <w:t xml:space="preserve"> f</w:t>
      </w:r>
      <w:r w:rsidRPr="009227FD">
        <w:t>uels</w:t>
      </w:r>
      <w:r>
        <w:t xml:space="preserve"> </w:t>
      </w:r>
      <w:r w:rsidRPr="009227FD">
        <w:t>(</w:t>
      </w:r>
      <w:r>
        <w:t>t</w:t>
      </w:r>
      <w:r w:rsidRPr="009227FD">
        <w:t>onnes/MJ)</w:t>
      </w:r>
      <w:bookmarkEnd w:id="486"/>
    </w:p>
    <w:tbl>
      <w:tblPr>
        <w:tblW w:w="8390" w:type="dxa"/>
        <w:tblInd w:w="-454" w:type="dxa"/>
        <w:tblBorders>
          <w:bottom w:val="single" w:sz="4" w:space="0" w:color="646464"/>
          <w:insideH w:val="single" w:sz="4" w:space="0" w:color="646464"/>
        </w:tblBorders>
        <w:tblLayout w:type="fixed"/>
        <w:tblCellMar>
          <w:left w:w="0" w:type="dxa"/>
          <w:bottom w:w="40" w:type="dxa"/>
          <w:right w:w="0" w:type="dxa"/>
        </w:tblCellMar>
        <w:tblLook w:val="0000" w:firstRow="0" w:lastRow="0" w:firstColumn="0" w:lastColumn="0" w:noHBand="0" w:noVBand="0"/>
        <w:tblCaption w:val="Table C.11"/>
        <w:tblDescription w:val="Greenhouse gas intensity of fuels (tonnes/MJ)"/>
      </w:tblPr>
      <w:tblGrid>
        <w:gridCol w:w="454"/>
        <w:gridCol w:w="3968"/>
        <w:gridCol w:w="3968"/>
      </w:tblGrid>
      <w:tr w:rsidR="00676882" w14:paraId="4F06D506" w14:textId="77777777" w:rsidTr="00DF45FA">
        <w:trPr>
          <w:tblHeader/>
        </w:trPr>
        <w:tc>
          <w:tcPr>
            <w:tcW w:w="4422" w:type="dxa"/>
            <w:gridSpan w:val="2"/>
            <w:tcBorders>
              <w:top w:val="nil"/>
              <w:bottom w:val="nil"/>
            </w:tcBorders>
            <w:shd w:val="clear" w:color="auto" w:fill="140034"/>
            <w:tcMar>
              <w:left w:w="454" w:type="dxa"/>
            </w:tcMar>
          </w:tcPr>
          <w:p w14:paraId="7831642D" w14:textId="77777777" w:rsidR="00676882" w:rsidRDefault="00676882" w:rsidP="00DF45FA">
            <w:pPr>
              <w:pStyle w:val="Tablecolumnheadings"/>
            </w:pPr>
            <w:r w:rsidRPr="001417CB">
              <w:t>Tariff</w:t>
            </w:r>
            <w:r>
              <w:t xml:space="preserve"> </w:t>
            </w:r>
            <w:r w:rsidRPr="001417CB">
              <w:t>type</w:t>
            </w:r>
          </w:p>
        </w:tc>
        <w:tc>
          <w:tcPr>
            <w:tcW w:w="3968" w:type="dxa"/>
            <w:tcBorders>
              <w:top w:val="nil"/>
              <w:bottom w:val="nil"/>
              <w:right w:val="single" w:sz="6" w:space="0" w:color="140034"/>
            </w:tcBorders>
            <w:shd w:val="clear" w:color="auto" w:fill="140034"/>
          </w:tcPr>
          <w:p w14:paraId="19DD049E" w14:textId="77777777" w:rsidR="00676882" w:rsidRDefault="00676882" w:rsidP="00DF45FA">
            <w:pPr>
              <w:pStyle w:val="Tablecolumnheadings"/>
            </w:pPr>
            <w:r w:rsidRPr="001417CB">
              <w:t>Greenhouse</w:t>
            </w:r>
            <w:r>
              <w:t xml:space="preserve"> </w:t>
            </w:r>
            <w:r w:rsidRPr="001417CB">
              <w:t>Gas</w:t>
            </w:r>
            <w:r>
              <w:t xml:space="preserve"> </w:t>
            </w:r>
            <w:r w:rsidRPr="001417CB">
              <w:t>Intensity</w:t>
            </w:r>
            <w:r>
              <w:t xml:space="preserve"> </w:t>
            </w:r>
            <w:r w:rsidRPr="001417CB">
              <w:t>(Tonnes/MJ)</w:t>
            </w:r>
          </w:p>
        </w:tc>
      </w:tr>
      <w:tr w:rsidR="00676882" w14:paraId="32D70462" w14:textId="77777777" w:rsidTr="00DF45FA">
        <w:trPr>
          <w:gridBefore w:val="1"/>
          <w:wBefore w:w="454" w:type="dxa"/>
        </w:trPr>
        <w:tc>
          <w:tcPr>
            <w:tcW w:w="3968" w:type="dxa"/>
            <w:tcBorders>
              <w:top w:val="nil"/>
            </w:tcBorders>
            <w:shd w:val="clear" w:color="auto" w:fill="auto"/>
          </w:tcPr>
          <w:p w14:paraId="542726CA" w14:textId="77777777" w:rsidR="00676882" w:rsidRDefault="00676882" w:rsidP="00DF45FA">
            <w:pPr>
              <w:pStyle w:val="Tabletext"/>
            </w:pPr>
            <w:r w:rsidRPr="0053770B">
              <w:t>Electricity</w:t>
            </w:r>
          </w:p>
        </w:tc>
        <w:tc>
          <w:tcPr>
            <w:tcW w:w="3968" w:type="dxa"/>
            <w:tcBorders>
              <w:top w:val="nil"/>
            </w:tcBorders>
            <w:shd w:val="clear" w:color="auto" w:fill="auto"/>
            <w:vAlign w:val="center"/>
          </w:tcPr>
          <w:p w14:paraId="7D07E487" w14:textId="77777777" w:rsidR="00676882" w:rsidRDefault="00676882" w:rsidP="00DF45FA">
            <w:pPr>
              <w:pStyle w:val="Tabletext"/>
              <w:jc w:val="right"/>
            </w:pPr>
            <w:r w:rsidRPr="0053770B">
              <w:t>0</w:t>
            </w:r>
          </w:p>
        </w:tc>
      </w:tr>
      <w:tr w:rsidR="00676882" w14:paraId="5B8A265C" w14:textId="77777777" w:rsidTr="00DF45FA">
        <w:trPr>
          <w:gridBefore w:val="1"/>
          <w:wBefore w:w="454" w:type="dxa"/>
        </w:trPr>
        <w:tc>
          <w:tcPr>
            <w:tcW w:w="3968" w:type="dxa"/>
            <w:shd w:val="clear" w:color="auto" w:fill="auto"/>
          </w:tcPr>
          <w:p w14:paraId="7DCFE875" w14:textId="77777777" w:rsidR="00676882" w:rsidRDefault="00676882" w:rsidP="00DF45FA">
            <w:pPr>
              <w:pStyle w:val="Tabletext"/>
            </w:pPr>
            <w:r w:rsidRPr="0053770B">
              <w:t>Elec</w:t>
            </w:r>
            <w:r>
              <w:t xml:space="preserve"> </w:t>
            </w:r>
            <w:r w:rsidRPr="0053770B">
              <w:t>(Controlled)</w:t>
            </w:r>
          </w:p>
        </w:tc>
        <w:tc>
          <w:tcPr>
            <w:tcW w:w="3968" w:type="dxa"/>
            <w:shd w:val="clear" w:color="auto" w:fill="auto"/>
            <w:vAlign w:val="center"/>
          </w:tcPr>
          <w:p w14:paraId="2C15CDEF" w14:textId="77777777" w:rsidR="00676882" w:rsidRDefault="00676882" w:rsidP="00DF45FA">
            <w:pPr>
              <w:pStyle w:val="Tabletext"/>
              <w:jc w:val="right"/>
            </w:pPr>
            <w:r w:rsidRPr="0053770B">
              <w:t>0</w:t>
            </w:r>
          </w:p>
        </w:tc>
      </w:tr>
      <w:tr w:rsidR="00676882" w14:paraId="5F960538" w14:textId="77777777" w:rsidTr="00DF45FA">
        <w:trPr>
          <w:gridBefore w:val="1"/>
          <w:wBefore w:w="454" w:type="dxa"/>
        </w:trPr>
        <w:tc>
          <w:tcPr>
            <w:tcW w:w="3968" w:type="dxa"/>
            <w:shd w:val="clear" w:color="auto" w:fill="auto"/>
          </w:tcPr>
          <w:p w14:paraId="5DEE7DC6" w14:textId="77777777" w:rsidR="00676882" w:rsidRDefault="00676882" w:rsidP="00DF45FA">
            <w:pPr>
              <w:pStyle w:val="Tabletext"/>
            </w:pPr>
            <w:r w:rsidRPr="0053770B">
              <w:t>Gas</w:t>
            </w:r>
          </w:p>
        </w:tc>
        <w:tc>
          <w:tcPr>
            <w:tcW w:w="3968" w:type="dxa"/>
            <w:shd w:val="clear" w:color="auto" w:fill="auto"/>
            <w:vAlign w:val="center"/>
          </w:tcPr>
          <w:p w14:paraId="215BF36B" w14:textId="77777777" w:rsidR="00676882" w:rsidRDefault="00676882" w:rsidP="00DF45FA">
            <w:pPr>
              <w:pStyle w:val="Tabletext"/>
              <w:jc w:val="right"/>
            </w:pPr>
            <w:r w:rsidRPr="0053770B">
              <w:t>0.0000643</w:t>
            </w:r>
          </w:p>
        </w:tc>
      </w:tr>
      <w:tr w:rsidR="00676882" w14:paraId="2787A969" w14:textId="77777777" w:rsidTr="00DF45FA">
        <w:trPr>
          <w:gridBefore w:val="1"/>
          <w:wBefore w:w="454" w:type="dxa"/>
        </w:trPr>
        <w:tc>
          <w:tcPr>
            <w:tcW w:w="3968" w:type="dxa"/>
            <w:shd w:val="clear" w:color="auto" w:fill="auto"/>
          </w:tcPr>
          <w:p w14:paraId="19531BC6" w14:textId="77777777" w:rsidR="00676882" w:rsidRDefault="00676882" w:rsidP="00DF45FA">
            <w:pPr>
              <w:pStyle w:val="Tabletext"/>
            </w:pPr>
            <w:r w:rsidRPr="0053770B">
              <w:t>Firewood</w:t>
            </w:r>
          </w:p>
        </w:tc>
        <w:tc>
          <w:tcPr>
            <w:tcW w:w="3968" w:type="dxa"/>
            <w:shd w:val="clear" w:color="auto" w:fill="auto"/>
            <w:vAlign w:val="center"/>
          </w:tcPr>
          <w:p w14:paraId="245D3A05" w14:textId="77777777" w:rsidR="00676882" w:rsidRDefault="00676882" w:rsidP="00DF45FA">
            <w:pPr>
              <w:pStyle w:val="Tabletext"/>
              <w:jc w:val="right"/>
            </w:pPr>
            <w:r w:rsidRPr="0053770B">
              <w:t>0.0000013</w:t>
            </w:r>
          </w:p>
        </w:tc>
      </w:tr>
      <w:tr w:rsidR="00676882" w14:paraId="12756FCD" w14:textId="77777777" w:rsidTr="00DF45FA">
        <w:trPr>
          <w:gridBefore w:val="1"/>
          <w:wBefore w:w="454" w:type="dxa"/>
        </w:trPr>
        <w:tc>
          <w:tcPr>
            <w:tcW w:w="3968" w:type="dxa"/>
            <w:shd w:val="clear" w:color="auto" w:fill="auto"/>
          </w:tcPr>
          <w:p w14:paraId="1A7AE196" w14:textId="77777777" w:rsidR="00676882" w:rsidRDefault="00676882" w:rsidP="00DF45FA">
            <w:pPr>
              <w:pStyle w:val="Tabletext"/>
            </w:pPr>
            <w:r w:rsidRPr="0053770B">
              <w:t>PV</w:t>
            </w:r>
            <w:r>
              <w:t xml:space="preserve"> </w:t>
            </w:r>
            <w:r w:rsidRPr="0053770B">
              <w:t>Offset</w:t>
            </w:r>
          </w:p>
        </w:tc>
        <w:tc>
          <w:tcPr>
            <w:tcW w:w="3968" w:type="dxa"/>
            <w:shd w:val="clear" w:color="auto" w:fill="auto"/>
            <w:vAlign w:val="center"/>
          </w:tcPr>
          <w:p w14:paraId="772CF30F" w14:textId="77777777" w:rsidR="00676882" w:rsidRDefault="00676882" w:rsidP="00DF45FA">
            <w:pPr>
              <w:pStyle w:val="Tabletext"/>
              <w:jc w:val="right"/>
            </w:pPr>
            <w:r w:rsidRPr="0053770B">
              <w:t>0</w:t>
            </w:r>
          </w:p>
        </w:tc>
      </w:tr>
      <w:tr w:rsidR="00676882" w14:paraId="41F19ACD" w14:textId="77777777" w:rsidTr="00DF45FA">
        <w:trPr>
          <w:gridBefore w:val="1"/>
          <w:wBefore w:w="454" w:type="dxa"/>
        </w:trPr>
        <w:tc>
          <w:tcPr>
            <w:tcW w:w="3968" w:type="dxa"/>
            <w:shd w:val="clear" w:color="auto" w:fill="auto"/>
          </w:tcPr>
          <w:p w14:paraId="3E4ECDEF" w14:textId="77777777" w:rsidR="00676882" w:rsidRDefault="00676882" w:rsidP="00DF45FA">
            <w:pPr>
              <w:pStyle w:val="Tabletext"/>
            </w:pPr>
            <w:r w:rsidRPr="0053770B">
              <w:t>PV</w:t>
            </w:r>
            <w:r>
              <w:t xml:space="preserve"> </w:t>
            </w:r>
            <w:r w:rsidRPr="0053770B">
              <w:t>Export</w:t>
            </w:r>
          </w:p>
        </w:tc>
        <w:tc>
          <w:tcPr>
            <w:tcW w:w="3968" w:type="dxa"/>
            <w:shd w:val="clear" w:color="auto" w:fill="auto"/>
            <w:vAlign w:val="center"/>
          </w:tcPr>
          <w:p w14:paraId="703F2815" w14:textId="77777777" w:rsidR="00676882" w:rsidRDefault="00676882" w:rsidP="00DF45FA">
            <w:pPr>
              <w:pStyle w:val="Tabletext"/>
              <w:jc w:val="right"/>
            </w:pPr>
            <w:r w:rsidRPr="0053770B">
              <w:t>0</w:t>
            </w:r>
          </w:p>
        </w:tc>
      </w:tr>
      <w:tr w:rsidR="00676882" w14:paraId="7AFD19C0" w14:textId="77777777" w:rsidTr="00DF45FA">
        <w:trPr>
          <w:gridBefore w:val="1"/>
          <w:wBefore w:w="454" w:type="dxa"/>
        </w:trPr>
        <w:tc>
          <w:tcPr>
            <w:tcW w:w="7936" w:type="dxa"/>
            <w:gridSpan w:val="2"/>
            <w:tcBorders>
              <w:bottom w:val="single" w:sz="4" w:space="0" w:color="646464"/>
            </w:tcBorders>
            <w:shd w:val="clear" w:color="auto" w:fill="auto"/>
          </w:tcPr>
          <w:p w14:paraId="6CCC76F9" w14:textId="77777777" w:rsidR="00676882" w:rsidRDefault="00676882" w:rsidP="00DF45FA">
            <w:pPr>
              <w:pStyle w:val="Source"/>
            </w:pPr>
            <w:r>
              <w:t>Source: Energy Efficient Strategies</w:t>
            </w:r>
          </w:p>
        </w:tc>
      </w:tr>
      <w:tr w:rsidR="00676882" w14:paraId="406A8D25" w14:textId="77777777" w:rsidTr="00DF45FA">
        <w:trPr>
          <w:gridBefore w:val="1"/>
          <w:wBefore w:w="454" w:type="dxa"/>
          <w:trHeight w:hRule="exact" w:val="160"/>
        </w:trPr>
        <w:tc>
          <w:tcPr>
            <w:tcW w:w="7936" w:type="dxa"/>
            <w:gridSpan w:val="2"/>
            <w:tcBorders>
              <w:top w:val="single" w:sz="4" w:space="0" w:color="646464"/>
              <w:bottom w:val="nil"/>
            </w:tcBorders>
            <w:shd w:val="clear" w:color="auto" w:fill="auto"/>
          </w:tcPr>
          <w:p w14:paraId="5AD1DF26" w14:textId="77777777" w:rsidR="00676882" w:rsidRDefault="00676882" w:rsidP="00DF45FA">
            <w:pPr>
              <w:pStyle w:val="spacer"/>
            </w:pPr>
          </w:p>
        </w:tc>
      </w:tr>
    </w:tbl>
    <w:p w14:paraId="52B5A433" w14:textId="77777777" w:rsidR="00676882" w:rsidRDefault="00676882" w:rsidP="00676882">
      <w:pPr>
        <w:pStyle w:val="BodyText"/>
      </w:pPr>
    </w:p>
    <w:p w14:paraId="1D69179D" w14:textId="77777777" w:rsidR="00676882" w:rsidRDefault="00676882" w:rsidP="00676882">
      <w:pPr>
        <w:pStyle w:val="BodyText"/>
      </w:pPr>
    </w:p>
    <w:p w14:paraId="63BBA8C4" w14:textId="77777777" w:rsidR="00676882" w:rsidRDefault="00676882" w:rsidP="00676882">
      <w:pPr>
        <w:pStyle w:val="BodyText"/>
        <w:sectPr w:rsidR="00676882" w:rsidSect="00F32FCC">
          <w:headerReference w:type="even" r:id="rId131"/>
          <w:headerReference w:type="default" r:id="rId132"/>
          <w:footerReference w:type="even" r:id="rId133"/>
          <w:footerReference w:type="default" r:id="rId134"/>
          <w:headerReference w:type="first" r:id="rId135"/>
          <w:footerReference w:type="first" r:id="rId136"/>
          <w:pgSz w:w="11906" w:h="16838" w:code="9"/>
          <w:pgMar w:top="1134" w:right="851" w:bottom="1134" w:left="3119" w:header="454" w:footer="374" w:gutter="0"/>
          <w:pgNumType w:start="1" w:chapStyle="9"/>
          <w:cols w:space="708"/>
          <w:docGrid w:linePitch="360"/>
        </w:sectPr>
      </w:pPr>
    </w:p>
    <w:tbl>
      <w:tblPr>
        <w:tblW w:w="0" w:type="auto"/>
        <w:tblLayout w:type="fixed"/>
        <w:tblCellMar>
          <w:left w:w="0" w:type="dxa"/>
          <w:right w:w="0" w:type="dxa"/>
        </w:tblCellMar>
        <w:tblLook w:val="0000" w:firstRow="0" w:lastRow="0" w:firstColumn="0" w:lastColumn="0" w:noHBand="0" w:noVBand="0"/>
        <w:tblCaption w:val="Appendix D"/>
        <w:tblDescription w:val="ACIL Allen energy market models"/>
      </w:tblPr>
      <w:tblGrid>
        <w:gridCol w:w="5570"/>
        <w:gridCol w:w="2366"/>
      </w:tblGrid>
      <w:tr w:rsidR="00676882" w14:paraId="043B0346" w14:textId="77777777" w:rsidTr="00DF45FA">
        <w:trPr>
          <w:trHeight w:hRule="exact" w:val="382"/>
        </w:trPr>
        <w:tc>
          <w:tcPr>
            <w:tcW w:w="5570" w:type="dxa"/>
          </w:tcPr>
          <w:p w14:paraId="31465307" w14:textId="77777777" w:rsidR="00676882" w:rsidRDefault="00676882" w:rsidP="00DF45FA">
            <w:pPr>
              <w:pStyle w:val="tagappendixChapter"/>
            </w:pPr>
            <w:r>
              <w:rPr>
                <w:noProof/>
              </w:rPr>
              <w:lastRenderedPageBreak/>
              <w:drawing>
                <wp:anchor distT="0" distB="0" distL="114300" distR="114300" simplePos="0" relativeHeight="251671552" behindDoc="1" locked="1" layoutInCell="1" allowOverlap="1" wp14:anchorId="7B60003F" wp14:editId="2CF65824">
                  <wp:simplePos x="0" y="0"/>
                  <wp:positionH relativeFrom="page">
                    <wp:posOffset>0</wp:posOffset>
                  </wp:positionH>
                  <wp:positionV relativeFrom="page">
                    <wp:posOffset>0</wp:posOffset>
                  </wp:positionV>
                  <wp:extent cx="5039360" cy="1995170"/>
                  <wp:effectExtent l="0" t="0" r="8890" b="5080"/>
                  <wp:wrapNone/>
                  <wp:docPr id="587"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7"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71EBF5A1" w14:textId="77777777" w:rsidR="00676882" w:rsidRDefault="00676882" w:rsidP="00DF45FA">
            <w:pPr>
              <w:pStyle w:val="Heading9"/>
            </w:pPr>
          </w:p>
        </w:tc>
      </w:tr>
      <w:tr w:rsidR="00676882" w14:paraId="61C9639F" w14:textId="77777777" w:rsidTr="00DF45FA">
        <w:trPr>
          <w:trHeight w:hRule="exact" w:val="2760"/>
        </w:trPr>
        <w:tc>
          <w:tcPr>
            <w:tcW w:w="5570" w:type="dxa"/>
            <w:vAlign w:val="bottom"/>
          </w:tcPr>
          <w:p w14:paraId="66F9498D" w14:textId="77777777" w:rsidR="00676882" w:rsidRDefault="00676882" w:rsidP="00DF45FA">
            <w:pPr>
              <w:pStyle w:val="Heading1AP"/>
            </w:pPr>
            <w:bookmarkStart w:id="487" w:name="_Ref80473431"/>
            <w:bookmarkStart w:id="488" w:name="_Toc80712626"/>
            <w:r>
              <w:t>ACIL Allen energy market models</w:t>
            </w:r>
            <w:bookmarkEnd w:id="487"/>
            <w:bookmarkEnd w:id="488"/>
          </w:p>
        </w:tc>
        <w:tc>
          <w:tcPr>
            <w:tcW w:w="2366" w:type="dxa"/>
            <w:tcMar>
              <w:right w:w="224" w:type="dxa"/>
            </w:tcMar>
            <w:vAlign w:val="bottom"/>
          </w:tcPr>
          <w:p w14:paraId="04879E1D" w14:textId="77777777" w:rsidR="00676882" w:rsidRDefault="00676882" w:rsidP="00DF45FA">
            <w:pPr>
              <w:pStyle w:val="HeadingAppendix"/>
            </w:pPr>
            <w:r>
              <w:fldChar w:fldCharType="begin"/>
            </w:r>
            <w:r>
              <w:instrText xml:space="preserve"> SEQ AppNum \* ALPHABETIC </w:instrText>
            </w:r>
            <w:r>
              <w:fldChar w:fldCharType="separate"/>
            </w:r>
            <w:r>
              <w:rPr>
                <w:noProof/>
              </w:rPr>
              <w:t>D</w:t>
            </w:r>
            <w:r>
              <w:rPr>
                <w:noProof/>
              </w:rPr>
              <w:fldChar w:fldCharType="end"/>
            </w:r>
          </w:p>
        </w:tc>
      </w:tr>
      <w:tr w:rsidR="00676882" w14:paraId="436BA6BA" w14:textId="77777777" w:rsidTr="00DF45FA">
        <w:trPr>
          <w:trHeight w:hRule="exact" w:val="228"/>
        </w:trPr>
        <w:tc>
          <w:tcPr>
            <w:tcW w:w="5570" w:type="dxa"/>
          </w:tcPr>
          <w:p w14:paraId="05FFC799" w14:textId="77777777" w:rsidR="00676882" w:rsidRDefault="00676882" w:rsidP="00DF45FA">
            <w:pPr>
              <w:pStyle w:val="spacer"/>
            </w:pPr>
          </w:p>
        </w:tc>
        <w:tc>
          <w:tcPr>
            <w:tcW w:w="2366" w:type="dxa"/>
          </w:tcPr>
          <w:p w14:paraId="4098DD39" w14:textId="77777777" w:rsidR="00676882" w:rsidRDefault="00676882" w:rsidP="00DF45FA">
            <w:pPr>
              <w:pStyle w:val="spacer"/>
            </w:pPr>
          </w:p>
        </w:tc>
      </w:tr>
    </w:tbl>
    <w:p w14:paraId="13E8114E" w14:textId="77777777" w:rsidR="00676882" w:rsidRPr="00CF47F3" w:rsidRDefault="00676882" w:rsidP="00676882">
      <w:pPr>
        <w:pStyle w:val="BodyText"/>
      </w:pPr>
      <w:r w:rsidRPr="00CF47F3">
        <w:t>This</w:t>
      </w:r>
      <w:r>
        <w:t xml:space="preserve"> </w:t>
      </w:r>
      <w:r w:rsidRPr="00CF47F3">
        <w:t>Appendix</w:t>
      </w:r>
      <w:r>
        <w:t xml:space="preserve"> </w:t>
      </w:r>
      <w:r w:rsidRPr="00CF47F3">
        <w:t>provides</w:t>
      </w:r>
      <w:r>
        <w:t xml:space="preserve"> </w:t>
      </w:r>
      <w:r w:rsidRPr="00CF47F3">
        <w:t>an</w:t>
      </w:r>
      <w:r>
        <w:t xml:space="preserve"> </w:t>
      </w:r>
      <w:r w:rsidRPr="00CF47F3">
        <w:t>overview</w:t>
      </w:r>
      <w:r>
        <w:t xml:space="preserve"> </w:t>
      </w:r>
      <w:r w:rsidRPr="00CF47F3">
        <w:t>of</w:t>
      </w:r>
      <w:r>
        <w:t xml:space="preserve"> </w:t>
      </w:r>
      <w:r w:rsidRPr="00CF47F3">
        <w:t>two</w:t>
      </w:r>
      <w:r>
        <w:t xml:space="preserve"> </w:t>
      </w:r>
      <w:r w:rsidRPr="00CF47F3">
        <w:t>of</w:t>
      </w:r>
      <w:r>
        <w:t xml:space="preserve"> </w:t>
      </w:r>
      <w:r w:rsidRPr="00CF47F3">
        <w:t>our</w:t>
      </w:r>
      <w:r>
        <w:t xml:space="preserve"> </w:t>
      </w:r>
      <w:r w:rsidRPr="00CF47F3">
        <w:t>energy</w:t>
      </w:r>
      <w:r>
        <w:t xml:space="preserve"> </w:t>
      </w:r>
      <w:r w:rsidRPr="00CF47F3">
        <w:t>market</w:t>
      </w:r>
      <w:r>
        <w:t xml:space="preserve"> </w:t>
      </w:r>
      <w:r w:rsidRPr="00CF47F3">
        <w:t>models</w:t>
      </w:r>
      <w:r>
        <w:t xml:space="preserve"> </w:t>
      </w:r>
      <w:r w:rsidRPr="00CF47F3">
        <w:t>that</w:t>
      </w:r>
      <w:r>
        <w:t xml:space="preserve"> were </w:t>
      </w:r>
      <w:r w:rsidRPr="00CF47F3">
        <w:t>used</w:t>
      </w:r>
      <w:r>
        <w:t xml:space="preserve"> </w:t>
      </w:r>
      <w:r w:rsidRPr="00CF47F3">
        <w:t>to</w:t>
      </w:r>
      <w:r>
        <w:t xml:space="preserve"> </w:t>
      </w:r>
      <w:r w:rsidRPr="00CF47F3">
        <w:t>provide</w:t>
      </w:r>
      <w:r>
        <w:t xml:space="preserve"> </w:t>
      </w:r>
      <w:r w:rsidRPr="00CF47F3">
        <w:t>inputs</w:t>
      </w:r>
      <w:r>
        <w:t xml:space="preserve"> </w:t>
      </w:r>
      <w:r w:rsidRPr="00CF47F3">
        <w:t>to</w:t>
      </w:r>
      <w:r>
        <w:t xml:space="preserve"> </w:t>
      </w:r>
      <w:r w:rsidRPr="00CF47F3">
        <w:t>our</w:t>
      </w:r>
      <w:r>
        <w:t xml:space="preserve"> </w:t>
      </w:r>
      <w:r w:rsidRPr="00CF47F3">
        <w:t>cost</w:t>
      </w:r>
      <w:r>
        <w:t xml:space="preserve"> </w:t>
      </w:r>
      <w:r w:rsidRPr="00CF47F3">
        <w:t>benefit</w:t>
      </w:r>
      <w:r>
        <w:t xml:space="preserve"> </w:t>
      </w:r>
      <w:r w:rsidRPr="00CF47F3">
        <w:t>analysis:</w:t>
      </w:r>
    </w:p>
    <w:p w14:paraId="48EC87BF" w14:textId="77777777" w:rsidR="00676882" w:rsidRPr="00CF47F3" w:rsidRDefault="00676882" w:rsidP="00676882">
      <w:pPr>
        <w:pStyle w:val="ListBullet"/>
      </w:pPr>
      <w:r w:rsidRPr="006D4BC7">
        <w:rPr>
          <w:i/>
          <w:iCs/>
        </w:rPr>
        <w:t>PowerMark</w:t>
      </w:r>
      <w:r w:rsidRPr="00CF47F3">
        <w:t>,</w:t>
      </w:r>
      <w:r>
        <w:t xml:space="preserve"> </w:t>
      </w:r>
      <w:r w:rsidRPr="00CF47F3">
        <w:t>which</w:t>
      </w:r>
      <w:r>
        <w:t xml:space="preserve"> </w:t>
      </w:r>
      <w:r w:rsidRPr="00CF47F3">
        <w:t>simulates</w:t>
      </w:r>
      <w:r>
        <w:t xml:space="preserve"> </w:t>
      </w:r>
      <w:r w:rsidRPr="00CF47F3">
        <w:t>the</w:t>
      </w:r>
      <w:r>
        <w:t xml:space="preserve"> </w:t>
      </w:r>
      <w:r w:rsidRPr="00CF47F3">
        <w:t>wholesale</w:t>
      </w:r>
      <w:r>
        <w:t xml:space="preserve"> </w:t>
      </w:r>
      <w:r w:rsidRPr="00CF47F3">
        <w:t>electricity</w:t>
      </w:r>
      <w:r>
        <w:t xml:space="preserve"> </w:t>
      </w:r>
      <w:r w:rsidRPr="00CF47F3">
        <w:t>market</w:t>
      </w:r>
    </w:p>
    <w:p w14:paraId="35207CE2" w14:textId="77777777" w:rsidR="00676882" w:rsidRDefault="00676882" w:rsidP="00676882">
      <w:pPr>
        <w:pStyle w:val="ListBullet"/>
      </w:pPr>
      <w:r w:rsidRPr="006D4BC7">
        <w:rPr>
          <w:i/>
          <w:iCs/>
        </w:rPr>
        <w:t>GasMark</w:t>
      </w:r>
      <w:r w:rsidRPr="00CF47F3">
        <w:t>,</w:t>
      </w:r>
      <w:r>
        <w:t xml:space="preserve"> </w:t>
      </w:r>
      <w:r w:rsidRPr="00CF47F3">
        <w:t>which</w:t>
      </w:r>
      <w:r>
        <w:t xml:space="preserve"> </w:t>
      </w:r>
      <w:r w:rsidRPr="00CF47F3">
        <w:t>simulates</w:t>
      </w:r>
      <w:r>
        <w:t xml:space="preserve"> </w:t>
      </w:r>
      <w:r w:rsidRPr="00CF47F3">
        <w:t>the</w:t>
      </w:r>
      <w:r>
        <w:t xml:space="preserve"> </w:t>
      </w:r>
      <w:r w:rsidRPr="00CF47F3">
        <w:t>wholesale</w:t>
      </w:r>
      <w:r>
        <w:t xml:space="preserve"> </w:t>
      </w:r>
      <w:r w:rsidRPr="00CF47F3">
        <w:t>gas</w:t>
      </w:r>
      <w:r>
        <w:t xml:space="preserve"> </w:t>
      </w:r>
      <w:r w:rsidRPr="00CF47F3">
        <w:t>market.</w:t>
      </w:r>
    </w:p>
    <w:p w14:paraId="3A63C36B" w14:textId="77777777" w:rsidR="00676882" w:rsidRPr="00CF47F3" w:rsidRDefault="00676882" w:rsidP="00676882">
      <w:pPr>
        <w:pStyle w:val="Heading2AP"/>
      </w:pPr>
      <w:bookmarkStart w:id="489" w:name="_Toc4598821"/>
      <w:bookmarkStart w:id="490" w:name="_Toc16793123"/>
      <w:bookmarkStart w:id="491" w:name="_Toc48308836"/>
      <w:bookmarkStart w:id="492" w:name="_Toc51576997"/>
      <w:bookmarkStart w:id="493" w:name="_Toc51660279"/>
      <w:bookmarkStart w:id="494" w:name="_Toc66218736"/>
      <w:bookmarkStart w:id="495" w:name="_Toc67567301"/>
      <w:bookmarkStart w:id="496" w:name="_Toc76142288"/>
      <w:bookmarkStart w:id="497" w:name="_Toc76321954"/>
      <w:bookmarkStart w:id="498" w:name="_Toc77258069"/>
      <w:bookmarkStart w:id="499" w:name="_Toc80712627"/>
      <w:r w:rsidRPr="00CF47F3">
        <w:t>PowerMar</w:t>
      </w:r>
      <w:bookmarkEnd w:id="489"/>
      <w:bookmarkEnd w:id="490"/>
      <w:bookmarkEnd w:id="491"/>
      <w:bookmarkEnd w:id="492"/>
      <w:bookmarkEnd w:id="493"/>
      <w:bookmarkEnd w:id="494"/>
      <w:bookmarkEnd w:id="495"/>
      <w:bookmarkEnd w:id="496"/>
      <w:bookmarkEnd w:id="497"/>
      <w:bookmarkEnd w:id="498"/>
      <w:r w:rsidRPr="00CF47F3">
        <w:t>k</w:t>
      </w:r>
      <w:bookmarkEnd w:id="499"/>
      <w:r>
        <w:t xml:space="preserve"> </w:t>
      </w:r>
    </w:p>
    <w:p w14:paraId="204CA721" w14:textId="77777777" w:rsidR="00676882" w:rsidRPr="00CF47F3" w:rsidRDefault="00676882" w:rsidP="00676882">
      <w:pPr>
        <w:pStyle w:val="BodyText"/>
      </w:pPr>
      <w:r w:rsidRPr="006D4BC7">
        <w:rPr>
          <w:i/>
          <w:iCs/>
        </w:rPr>
        <w:t>PowerMark</w:t>
      </w:r>
      <w:r>
        <w:rPr>
          <w:i/>
          <w:iCs/>
        </w:rPr>
        <w:t xml:space="preserve"> </w:t>
      </w:r>
      <w:r w:rsidRPr="00CF47F3">
        <w:t>has</w:t>
      </w:r>
      <w:r>
        <w:t xml:space="preserve"> </w:t>
      </w:r>
      <w:r w:rsidRPr="00CF47F3">
        <w:t>been</w:t>
      </w:r>
      <w:r>
        <w:t xml:space="preserve"> </w:t>
      </w:r>
      <w:r w:rsidRPr="00CF47F3">
        <w:t>developed</w:t>
      </w:r>
      <w:r>
        <w:t xml:space="preserve"> </w:t>
      </w:r>
      <w:r w:rsidRPr="00CF47F3">
        <w:t>over</w:t>
      </w:r>
      <w:r>
        <w:t xml:space="preserve"> </w:t>
      </w:r>
      <w:r w:rsidRPr="00CF47F3">
        <w:t>the</w:t>
      </w:r>
      <w:r>
        <w:t xml:space="preserve"> </w:t>
      </w:r>
      <w:r w:rsidRPr="00CF47F3">
        <w:t>past</w:t>
      </w:r>
      <w:r>
        <w:t xml:space="preserve"> </w:t>
      </w:r>
      <w:r w:rsidRPr="00CF47F3">
        <w:t>20</w:t>
      </w:r>
      <w:r>
        <w:t xml:space="preserve"> </w:t>
      </w:r>
      <w:r w:rsidRPr="00CF47F3">
        <w:t>years</w:t>
      </w:r>
      <w:r>
        <w:t xml:space="preserve"> </w:t>
      </w:r>
      <w:r w:rsidRPr="00CF47F3">
        <w:t>in</w:t>
      </w:r>
      <w:r>
        <w:t xml:space="preserve"> </w:t>
      </w:r>
      <w:r w:rsidRPr="00CF47F3">
        <w:t>parallel</w:t>
      </w:r>
      <w:r>
        <w:t xml:space="preserve"> </w:t>
      </w:r>
      <w:r w:rsidRPr="00CF47F3">
        <w:t>with</w:t>
      </w:r>
      <w:r>
        <w:t xml:space="preserve"> </w:t>
      </w:r>
      <w:r w:rsidRPr="00CF47F3">
        <w:t>the</w:t>
      </w:r>
      <w:r>
        <w:t xml:space="preserve"> </w:t>
      </w:r>
      <w:r w:rsidRPr="00CF47F3">
        <w:t>development</w:t>
      </w:r>
      <w:r>
        <w:t xml:space="preserve"> </w:t>
      </w:r>
      <w:r w:rsidRPr="00CF47F3">
        <w:t>of</w:t>
      </w:r>
      <w:r>
        <w:t xml:space="preserve"> </w:t>
      </w:r>
      <w:r w:rsidRPr="00CF47F3">
        <w:t>the</w:t>
      </w:r>
      <w:r>
        <w:t xml:space="preserve"> </w:t>
      </w:r>
      <w:r w:rsidRPr="00CF47F3">
        <w:t>National</w:t>
      </w:r>
      <w:r>
        <w:t xml:space="preserve"> </w:t>
      </w:r>
      <w:r w:rsidRPr="00CF47F3">
        <w:t>Electricity</w:t>
      </w:r>
      <w:r>
        <w:t xml:space="preserve"> </w:t>
      </w:r>
      <w:r w:rsidRPr="00CF47F3">
        <w:t>Market</w:t>
      </w:r>
      <w:r>
        <w:t xml:space="preserve"> </w:t>
      </w:r>
      <w:r w:rsidRPr="00CF47F3">
        <w:t>(NEM).</w:t>
      </w:r>
      <w:r>
        <w:t xml:space="preserve"> </w:t>
      </w:r>
      <w:r w:rsidRPr="006D4BC7">
        <w:rPr>
          <w:i/>
          <w:iCs/>
        </w:rPr>
        <w:t>PowerMark</w:t>
      </w:r>
      <w:r>
        <w:rPr>
          <w:i/>
          <w:iCs/>
        </w:rPr>
        <w:t xml:space="preserve"> </w:t>
      </w:r>
      <w:r w:rsidRPr="00CF47F3">
        <w:t>is</w:t>
      </w:r>
      <w:r>
        <w:t xml:space="preserve"> </w:t>
      </w:r>
      <w:r w:rsidRPr="00CF47F3">
        <w:t>a</w:t>
      </w:r>
      <w:r>
        <w:t xml:space="preserve"> </w:t>
      </w:r>
      <w:r w:rsidRPr="00CF47F3">
        <w:t>complex</w:t>
      </w:r>
      <w:r>
        <w:t xml:space="preserve"> </w:t>
      </w:r>
      <w:r w:rsidRPr="00CF47F3">
        <w:t>model</w:t>
      </w:r>
      <w:r>
        <w:t xml:space="preserve"> </w:t>
      </w:r>
      <w:r w:rsidRPr="00CF47F3">
        <w:t>with</w:t>
      </w:r>
      <w:r>
        <w:t xml:space="preserve"> </w:t>
      </w:r>
      <w:r w:rsidRPr="00CF47F3">
        <w:t>many</w:t>
      </w:r>
      <w:r>
        <w:t xml:space="preserve"> </w:t>
      </w:r>
      <w:r w:rsidRPr="00CF47F3">
        <w:t>unique</w:t>
      </w:r>
      <w:r>
        <w:t xml:space="preserve"> </w:t>
      </w:r>
      <w:r w:rsidRPr="00CF47F3">
        <w:t>and</w:t>
      </w:r>
      <w:r>
        <w:t xml:space="preserve"> </w:t>
      </w:r>
      <w:r w:rsidRPr="00CF47F3">
        <w:t>valuable</w:t>
      </w:r>
      <w:r>
        <w:t xml:space="preserve"> </w:t>
      </w:r>
      <w:r w:rsidRPr="00CF47F3">
        <w:t>features.</w:t>
      </w:r>
      <w:r>
        <w:t xml:space="preserve"> </w:t>
      </w:r>
      <w:r w:rsidRPr="00CF47F3">
        <w:t>It</w:t>
      </w:r>
      <w:r>
        <w:t xml:space="preserve"> </w:t>
      </w:r>
      <w:r w:rsidRPr="00CF47F3">
        <w:t>provides</w:t>
      </w:r>
      <w:r>
        <w:t xml:space="preserve"> </w:t>
      </w:r>
      <w:r w:rsidRPr="00CF47F3">
        <w:t>insights</w:t>
      </w:r>
      <w:r>
        <w:t xml:space="preserve"> </w:t>
      </w:r>
      <w:r w:rsidRPr="00CF47F3">
        <w:t xml:space="preserve">into: </w:t>
      </w:r>
    </w:p>
    <w:p w14:paraId="37B46CDD" w14:textId="77777777" w:rsidR="00676882" w:rsidRPr="00CF47F3" w:rsidRDefault="00676882" w:rsidP="00676882">
      <w:pPr>
        <w:pStyle w:val="ListBullet"/>
      </w:pPr>
      <w:r w:rsidRPr="00CF47F3">
        <w:t>wholesale</w:t>
      </w:r>
      <w:r>
        <w:t xml:space="preserve"> </w:t>
      </w:r>
      <w:r w:rsidRPr="00CF47F3">
        <w:t>pool</w:t>
      </w:r>
      <w:r>
        <w:t xml:space="preserve"> </w:t>
      </w:r>
      <w:r w:rsidRPr="00CF47F3">
        <w:t>price</w:t>
      </w:r>
      <w:r>
        <w:t xml:space="preserve"> </w:t>
      </w:r>
      <w:r w:rsidRPr="00CF47F3">
        <w:t>trends</w:t>
      </w:r>
      <w:r>
        <w:t xml:space="preserve"> </w:t>
      </w:r>
      <w:r w:rsidRPr="00CF47F3">
        <w:t>and</w:t>
      </w:r>
      <w:r>
        <w:t xml:space="preserve"> </w:t>
      </w:r>
      <w:r w:rsidRPr="00CF47F3">
        <w:t>volatility</w:t>
      </w:r>
      <w:r>
        <w:t xml:space="preserve"> </w:t>
      </w:r>
    </w:p>
    <w:p w14:paraId="1FC125E4" w14:textId="77777777" w:rsidR="00676882" w:rsidRPr="00CF47F3" w:rsidRDefault="00676882" w:rsidP="00676882">
      <w:pPr>
        <w:pStyle w:val="ListBullet"/>
      </w:pPr>
      <w:r w:rsidRPr="00CF47F3">
        <w:t>variability</w:t>
      </w:r>
      <w:r>
        <w:t xml:space="preserve"> </w:t>
      </w:r>
      <w:r w:rsidRPr="00CF47F3">
        <w:t>attributable</w:t>
      </w:r>
      <w:r>
        <w:t xml:space="preserve"> </w:t>
      </w:r>
      <w:r w:rsidRPr="00CF47F3">
        <w:t>to</w:t>
      </w:r>
      <w:r>
        <w:t xml:space="preserve"> </w:t>
      </w:r>
      <w:r w:rsidRPr="00CF47F3">
        <w:t>weather/outages</w:t>
      </w:r>
      <w:r>
        <w:t xml:space="preserve"> </w:t>
      </w:r>
      <w:r w:rsidRPr="00CF47F3">
        <w:t>and</w:t>
      </w:r>
      <w:r>
        <w:t xml:space="preserve"> </w:t>
      </w:r>
      <w:r w:rsidRPr="00CF47F3">
        <w:t>other</w:t>
      </w:r>
      <w:r>
        <w:t xml:space="preserve"> </w:t>
      </w:r>
      <w:r w:rsidRPr="00CF47F3">
        <w:t>stochastic</w:t>
      </w:r>
      <w:r>
        <w:t xml:space="preserve"> </w:t>
      </w:r>
      <w:r w:rsidRPr="00CF47F3">
        <w:t>events</w:t>
      </w:r>
      <w:r>
        <w:t xml:space="preserve"> </w:t>
      </w:r>
    </w:p>
    <w:p w14:paraId="4FD759DE" w14:textId="77777777" w:rsidR="00676882" w:rsidRPr="00CF47F3" w:rsidRDefault="00676882" w:rsidP="00676882">
      <w:pPr>
        <w:pStyle w:val="ListBullet"/>
      </w:pPr>
      <w:r w:rsidRPr="00CF47F3">
        <w:t>market</w:t>
      </w:r>
      <w:r>
        <w:t xml:space="preserve"> </w:t>
      </w:r>
      <w:r w:rsidRPr="00CF47F3">
        <w:t>power</w:t>
      </w:r>
      <w:r>
        <w:t xml:space="preserve"> </w:t>
      </w:r>
      <w:r w:rsidRPr="00CF47F3">
        <w:t>and</w:t>
      </w:r>
      <w:r>
        <w:t xml:space="preserve"> </w:t>
      </w:r>
      <w:r w:rsidRPr="00CF47F3">
        <w:t>implications</w:t>
      </w:r>
      <w:r>
        <w:t xml:space="preserve"> </w:t>
      </w:r>
      <w:r w:rsidRPr="00CF47F3">
        <w:t>for</w:t>
      </w:r>
      <w:r>
        <w:t xml:space="preserve"> </w:t>
      </w:r>
      <w:r w:rsidRPr="00CF47F3">
        <w:t>generator</w:t>
      </w:r>
      <w:r>
        <w:t xml:space="preserve"> </w:t>
      </w:r>
      <w:r w:rsidRPr="00CF47F3">
        <w:t>bidding</w:t>
      </w:r>
      <w:r>
        <w:t xml:space="preserve"> </w:t>
      </w:r>
      <w:r w:rsidRPr="00CF47F3">
        <w:t>behaviour</w:t>
      </w:r>
      <w:r>
        <w:t xml:space="preserve"> </w:t>
      </w:r>
    </w:p>
    <w:p w14:paraId="139F82C7" w14:textId="77777777" w:rsidR="00676882" w:rsidRPr="00CF47F3" w:rsidRDefault="00676882" w:rsidP="00676882">
      <w:pPr>
        <w:pStyle w:val="ListBullet"/>
      </w:pPr>
      <w:r w:rsidRPr="00CF47F3">
        <w:t>network</w:t>
      </w:r>
      <w:r>
        <w:t xml:space="preserve"> </w:t>
      </w:r>
      <w:r w:rsidRPr="00CF47F3">
        <w:t>utilisation</w:t>
      </w:r>
      <w:r>
        <w:t xml:space="preserve"> </w:t>
      </w:r>
      <w:r w:rsidRPr="00CF47F3">
        <w:t>and</w:t>
      </w:r>
      <w:r>
        <w:t xml:space="preserve"> </w:t>
      </w:r>
      <w:r w:rsidRPr="00CF47F3">
        <w:t>generation</w:t>
      </w:r>
      <w:r>
        <w:t xml:space="preserve"> </w:t>
      </w:r>
      <w:r w:rsidRPr="00CF47F3">
        <w:t>capacity</w:t>
      </w:r>
      <w:r>
        <w:t xml:space="preserve"> </w:t>
      </w:r>
      <w:r w:rsidRPr="00CF47F3">
        <w:t>constraints</w:t>
      </w:r>
      <w:r>
        <w:t xml:space="preserve"> </w:t>
      </w:r>
    </w:p>
    <w:p w14:paraId="6968B9B3" w14:textId="77777777" w:rsidR="00676882" w:rsidRPr="00CF47F3" w:rsidRDefault="00676882" w:rsidP="00676882">
      <w:pPr>
        <w:pStyle w:val="ListBullet"/>
      </w:pPr>
      <w:r w:rsidRPr="00CF47F3">
        <w:t>viability</w:t>
      </w:r>
      <w:r>
        <w:t xml:space="preserve"> </w:t>
      </w:r>
      <w:r w:rsidRPr="00CF47F3">
        <w:t>of</w:t>
      </w:r>
      <w:r>
        <w:t xml:space="preserve"> </w:t>
      </w:r>
      <w:r w:rsidRPr="00CF47F3">
        <w:t>merchant</w:t>
      </w:r>
      <w:r>
        <w:t xml:space="preserve"> </w:t>
      </w:r>
      <w:r w:rsidRPr="00CF47F3">
        <w:t>plant</w:t>
      </w:r>
      <w:r>
        <w:t xml:space="preserve"> </w:t>
      </w:r>
      <w:r w:rsidRPr="00CF47F3">
        <w:t>and</w:t>
      </w:r>
      <w:r>
        <w:t xml:space="preserve"> </w:t>
      </w:r>
      <w:r w:rsidRPr="00CF47F3">
        <w:t>regional</w:t>
      </w:r>
      <w:r>
        <w:t xml:space="preserve"> </w:t>
      </w:r>
      <w:r w:rsidRPr="00CF47F3">
        <w:t>interconnections</w:t>
      </w:r>
      <w:r>
        <w:t xml:space="preserve"> </w:t>
      </w:r>
    </w:p>
    <w:p w14:paraId="71A8E4B6" w14:textId="77777777" w:rsidR="00676882" w:rsidRPr="00CF47F3" w:rsidRDefault="00676882" w:rsidP="00676882">
      <w:pPr>
        <w:pStyle w:val="ListBullet"/>
      </w:pPr>
      <w:r w:rsidRPr="00CF47F3">
        <w:t>contract</w:t>
      </w:r>
      <w:r>
        <w:t xml:space="preserve"> </w:t>
      </w:r>
      <w:r w:rsidRPr="00CF47F3">
        <w:t>and</w:t>
      </w:r>
      <w:r>
        <w:t xml:space="preserve"> </w:t>
      </w:r>
      <w:r w:rsidRPr="00CF47F3">
        <w:t>price</w:t>
      </w:r>
      <w:r>
        <w:t xml:space="preserve"> </w:t>
      </w:r>
      <w:r w:rsidRPr="00CF47F3">
        <w:t>cap</w:t>
      </w:r>
      <w:r>
        <w:t xml:space="preserve"> </w:t>
      </w:r>
      <w:r w:rsidRPr="00CF47F3">
        <w:t>values</w:t>
      </w:r>
      <w:r>
        <w:t xml:space="preserve"> </w:t>
      </w:r>
    </w:p>
    <w:p w14:paraId="775B0E67" w14:textId="77777777" w:rsidR="00676882" w:rsidRPr="00CF47F3" w:rsidRDefault="00676882" w:rsidP="00676882">
      <w:pPr>
        <w:pStyle w:val="ListBullet"/>
      </w:pPr>
      <w:r w:rsidRPr="00CF47F3">
        <w:t>timing,</w:t>
      </w:r>
      <w:r>
        <w:t xml:space="preserve"> </w:t>
      </w:r>
      <w:r w:rsidRPr="00CF47F3">
        <w:t>size</w:t>
      </w:r>
      <w:r>
        <w:t xml:space="preserve"> </w:t>
      </w:r>
      <w:r w:rsidRPr="00CF47F3">
        <w:t>and</w:t>
      </w:r>
      <w:r>
        <w:t xml:space="preserve"> </w:t>
      </w:r>
      <w:r w:rsidRPr="00CF47F3">
        <w:t>configuration</w:t>
      </w:r>
      <w:r>
        <w:t xml:space="preserve"> </w:t>
      </w:r>
      <w:r w:rsidRPr="00CF47F3">
        <w:t>of</w:t>
      </w:r>
      <w:r>
        <w:t xml:space="preserve"> </w:t>
      </w:r>
      <w:r w:rsidRPr="00CF47F3">
        <w:t>new</w:t>
      </w:r>
      <w:r>
        <w:t xml:space="preserve"> </w:t>
      </w:r>
      <w:r w:rsidRPr="00CF47F3">
        <w:t>entrant</w:t>
      </w:r>
      <w:r>
        <w:t xml:space="preserve"> </w:t>
      </w:r>
      <w:r w:rsidRPr="00CF47F3">
        <w:t>generators</w:t>
      </w:r>
      <w:r>
        <w:t xml:space="preserve"> </w:t>
      </w:r>
    </w:p>
    <w:p w14:paraId="7B448205" w14:textId="77777777" w:rsidR="00676882" w:rsidRPr="00CF47F3" w:rsidRDefault="00676882" w:rsidP="00676882">
      <w:pPr>
        <w:pStyle w:val="ListBullet"/>
      </w:pPr>
      <w:r w:rsidRPr="00CF47F3">
        <w:t>demands</w:t>
      </w:r>
      <w:r>
        <w:t xml:space="preserve"> </w:t>
      </w:r>
      <w:r w:rsidRPr="00CF47F3">
        <w:t>for</w:t>
      </w:r>
      <w:r>
        <w:t xml:space="preserve"> </w:t>
      </w:r>
      <w:r w:rsidRPr="00CF47F3">
        <w:t>coal,</w:t>
      </w:r>
      <w:r>
        <w:t xml:space="preserve"> </w:t>
      </w:r>
      <w:r w:rsidRPr="00CF47F3">
        <w:t>gas</w:t>
      </w:r>
      <w:r>
        <w:t xml:space="preserve"> </w:t>
      </w:r>
      <w:r w:rsidRPr="00CF47F3">
        <w:t>and</w:t>
      </w:r>
      <w:r>
        <w:t xml:space="preserve"> </w:t>
      </w:r>
      <w:r w:rsidRPr="00CF47F3">
        <w:t>other</w:t>
      </w:r>
      <w:r>
        <w:t xml:space="preserve"> </w:t>
      </w:r>
      <w:r w:rsidRPr="00CF47F3">
        <w:t>fuels; and</w:t>
      </w:r>
      <w:r>
        <w:t xml:space="preserve"> </w:t>
      </w:r>
    </w:p>
    <w:p w14:paraId="0E3CFCB8" w14:textId="77777777" w:rsidR="00676882" w:rsidRPr="00CF47F3" w:rsidRDefault="00676882" w:rsidP="00676882">
      <w:pPr>
        <w:pStyle w:val="ListBullet"/>
      </w:pPr>
      <w:r w:rsidRPr="00CF47F3">
        <w:t>the</w:t>
      </w:r>
      <w:r>
        <w:t xml:space="preserve"> </w:t>
      </w:r>
      <w:r w:rsidRPr="00CF47F3">
        <w:t>cost</w:t>
      </w:r>
      <w:r>
        <w:t xml:space="preserve"> </w:t>
      </w:r>
      <w:r w:rsidRPr="00CF47F3">
        <w:t>outlook</w:t>
      </w:r>
      <w:r>
        <w:t xml:space="preserve"> </w:t>
      </w:r>
      <w:r w:rsidRPr="00CF47F3">
        <w:t>for</w:t>
      </w:r>
      <w:r>
        <w:t xml:space="preserve"> </w:t>
      </w:r>
      <w:r w:rsidRPr="00CF47F3">
        <w:t>buyers</w:t>
      </w:r>
      <w:r>
        <w:t xml:space="preserve"> </w:t>
      </w:r>
      <w:r w:rsidRPr="00CF47F3">
        <w:t>of</w:t>
      </w:r>
      <w:r>
        <w:t xml:space="preserve"> </w:t>
      </w:r>
      <w:r w:rsidRPr="00CF47F3">
        <w:t>wholesale</w:t>
      </w:r>
      <w:r>
        <w:t xml:space="preserve"> </w:t>
      </w:r>
      <w:r w:rsidRPr="00CF47F3">
        <w:t>electricity.</w:t>
      </w:r>
      <w:r>
        <w:t xml:space="preserve"> </w:t>
      </w:r>
    </w:p>
    <w:p w14:paraId="54B7DEE8" w14:textId="77777777" w:rsidR="00676882" w:rsidRPr="00CF47F3" w:rsidRDefault="00676882" w:rsidP="00676882">
      <w:pPr>
        <w:pStyle w:val="BodyText"/>
      </w:pPr>
      <w:r w:rsidRPr="006D4BC7">
        <w:rPr>
          <w:i/>
          <w:iCs/>
        </w:rPr>
        <w:t>PowerMark</w:t>
      </w:r>
      <w:r>
        <w:rPr>
          <w:i/>
          <w:iCs/>
        </w:rPr>
        <w:t xml:space="preserve"> </w:t>
      </w:r>
      <w:r w:rsidRPr="00CF47F3">
        <w:t>effectively</w:t>
      </w:r>
      <w:r>
        <w:t xml:space="preserve"> </w:t>
      </w:r>
      <w:r w:rsidRPr="00CF47F3">
        <w:t>replicates</w:t>
      </w:r>
      <w:r>
        <w:t xml:space="preserve"> </w:t>
      </w:r>
      <w:r w:rsidRPr="00CF47F3">
        <w:t>the</w:t>
      </w:r>
      <w:r>
        <w:t xml:space="preserve"> </w:t>
      </w:r>
      <w:r w:rsidRPr="00CF47F3">
        <w:t>Australian</w:t>
      </w:r>
      <w:r>
        <w:t xml:space="preserve"> </w:t>
      </w:r>
      <w:r w:rsidRPr="00CF47F3">
        <w:t>Energy</w:t>
      </w:r>
      <w:r>
        <w:t xml:space="preserve"> </w:t>
      </w:r>
      <w:r w:rsidRPr="00CF47F3">
        <w:t>Market</w:t>
      </w:r>
      <w:r>
        <w:t xml:space="preserve"> </w:t>
      </w:r>
      <w:r w:rsidRPr="00CF47F3">
        <w:t>Operator’s</w:t>
      </w:r>
      <w:r>
        <w:t xml:space="preserve"> </w:t>
      </w:r>
      <w:r w:rsidRPr="00CF47F3">
        <w:t>(AEMO’s) settlement</w:t>
      </w:r>
      <w:r>
        <w:t xml:space="preserve"> </w:t>
      </w:r>
      <w:r w:rsidRPr="00CF47F3">
        <w:t>engine</w:t>
      </w:r>
      <w:r>
        <w:t xml:space="preserve"> </w:t>
      </w:r>
      <w:r w:rsidRPr="00CF47F3">
        <w:t>— the</w:t>
      </w:r>
      <w:r>
        <w:t xml:space="preserve"> </w:t>
      </w:r>
      <w:r w:rsidRPr="00CF47F3">
        <w:t>SPD</w:t>
      </w:r>
      <w:r>
        <w:t xml:space="preserve"> </w:t>
      </w:r>
      <w:r w:rsidRPr="00CF47F3">
        <w:t>engine</w:t>
      </w:r>
      <w:r>
        <w:t xml:space="preserve"> </w:t>
      </w:r>
      <w:r w:rsidRPr="00CF47F3">
        <w:t>(scheduling,</w:t>
      </w:r>
      <w:r>
        <w:t xml:space="preserve"> </w:t>
      </w:r>
      <w:r w:rsidRPr="00CF47F3">
        <w:t>pricing</w:t>
      </w:r>
      <w:r>
        <w:t xml:space="preserve"> </w:t>
      </w:r>
      <w:r w:rsidRPr="00CF47F3">
        <w:t>and</w:t>
      </w:r>
      <w:r>
        <w:t xml:space="preserve"> </w:t>
      </w:r>
      <w:r w:rsidRPr="00CF47F3">
        <w:t>dispatch).</w:t>
      </w:r>
      <w:r>
        <w:t xml:space="preserve"> </w:t>
      </w:r>
      <w:r w:rsidRPr="00CF47F3">
        <w:t>This</w:t>
      </w:r>
      <w:r>
        <w:t xml:space="preserve"> </w:t>
      </w:r>
      <w:r w:rsidRPr="00CF47F3">
        <w:t>is</w:t>
      </w:r>
      <w:r>
        <w:t xml:space="preserve"> </w:t>
      </w:r>
      <w:r w:rsidRPr="00CF47F3">
        <w:t>achieved</w:t>
      </w:r>
      <w:r>
        <w:t xml:space="preserve"> </w:t>
      </w:r>
      <w:proofErr w:type="gramStart"/>
      <w:r w:rsidRPr="00CF47F3">
        <w:t>through</w:t>
      </w:r>
      <w:r>
        <w:t xml:space="preserve"> </w:t>
      </w:r>
      <w:r w:rsidRPr="00CF47F3">
        <w:t>the</w:t>
      </w:r>
      <w:r>
        <w:t xml:space="preserve"> </w:t>
      </w:r>
      <w:r w:rsidRPr="00CF47F3">
        <w:t>use</w:t>
      </w:r>
      <w:r>
        <w:t xml:space="preserve"> </w:t>
      </w:r>
      <w:r w:rsidRPr="00CF47F3">
        <w:t>of</w:t>
      </w:r>
      <w:proofErr w:type="gramEnd"/>
      <w:r>
        <w:t xml:space="preserve"> </w:t>
      </w:r>
      <w:r w:rsidRPr="00CF47F3">
        <w:t>a</w:t>
      </w:r>
      <w:r>
        <w:t xml:space="preserve"> </w:t>
      </w:r>
      <w:r w:rsidRPr="00CF47F3">
        <w:t>large-scale</w:t>
      </w:r>
      <w:r>
        <w:t xml:space="preserve"> </w:t>
      </w:r>
      <w:r w:rsidRPr="00CF47F3">
        <w:t>linear</w:t>
      </w:r>
      <w:r>
        <w:t xml:space="preserve"> </w:t>
      </w:r>
      <w:r w:rsidRPr="00CF47F3">
        <w:t>programming</w:t>
      </w:r>
      <w:r>
        <w:t xml:space="preserve"> </w:t>
      </w:r>
      <w:r w:rsidRPr="00CF47F3">
        <w:t>(LP)-based</w:t>
      </w:r>
      <w:r>
        <w:t xml:space="preserve"> </w:t>
      </w:r>
      <w:r w:rsidRPr="00CF47F3">
        <w:t>solution</w:t>
      </w:r>
      <w:r>
        <w:t xml:space="preserve"> </w:t>
      </w:r>
      <w:r w:rsidRPr="00CF47F3">
        <w:t>incorporating</w:t>
      </w:r>
      <w:r>
        <w:t xml:space="preserve"> </w:t>
      </w:r>
      <w:r w:rsidRPr="00CF47F3">
        <w:t>features</w:t>
      </w:r>
      <w:r>
        <w:t xml:space="preserve"> </w:t>
      </w:r>
      <w:r w:rsidRPr="00CF47F3">
        <w:t>such</w:t>
      </w:r>
      <w:r>
        <w:t xml:space="preserve"> </w:t>
      </w:r>
      <w:r w:rsidRPr="00CF47F3">
        <w:t>as</w:t>
      </w:r>
      <w:r>
        <w:t xml:space="preserve"> </w:t>
      </w:r>
      <w:r w:rsidRPr="00CF47F3">
        <w:t>quadratic</w:t>
      </w:r>
      <w:r>
        <w:t xml:space="preserve"> </w:t>
      </w:r>
      <w:r w:rsidRPr="00CF47F3">
        <w:t>interconnector</w:t>
      </w:r>
      <w:r>
        <w:t xml:space="preserve"> </w:t>
      </w:r>
      <w:r w:rsidRPr="00CF47F3">
        <w:t>loss</w:t>
      </w:r>
      <w:r>
        <w:t xml:space="preserve"> </w:t>
      </w:r>
      <w:r w:rsidRPr="00CF47F3">
        <w:t>functions,</w:t>
      </w:r>
      <w:r>
        <w:t xml:space="preserve"> </w:t>
      </w:r>
      <w:r w:rsidRPr="00CF47F3">
        <w:t>unit</w:t>
      </w:r>
      <w:r>
        <w:t xml:space="preserve"> </w:t>
      </w:r>
      <w:r w:rsidRPr="00CF47F3">
        <w:t>ramp</w:t>
      </w:r>
      <w:r>
        <w:t xml:space="preserve"> </w:t>
      </w:r>
      <w:r w:rsidRPr="00CF47F3">
        <w:t>rates,</w:t>
      </w:r>
      <w:r>
        <w:t xml:space="preserve"> </w:t>
      </w:r>
      <w:r w:rsidRPr="00CF47F3">
        <w:t>network</w:t>
      </w:r>
      <w:r>
        <w:t xml:space="preserve"> </w:t>
      </w:r>
      <w:r w:rsidRPr="00CF47F3">
        <w:t>constraints</w:t>
      </w:r>
      <w:r>
        <w:t xml:space="preserve"> </w:t>
      </w:r>
      <w:r w:rsidRPr="00CF47F3">
        <w:t>and</w:t>
      </w:r>
      <w:r>
        <w:t xml:space="preserve"> </w:t>
      </w:r>
      <w:r w:rsidRPr="00CF47F3">
        <w:t>dispatchable</w:t>
      </w:r>
      <w:r>
        <w:t xml:space="preserve"> </w:t>
      </w:r>
      <w:r w:rsidRPr="00CF47F3">
        <w:t>loads.</w:t>
      </w:r>
      <w:r>
        <w:t xml:space="preserve"> </w:t>
      </w:r>
      <w:r w:rsidRPr="00CF47F3">
        <w:t>The</w:t>
      </w:r>
      <w:r>
        <w:t xml:space="preserve"> </w:t>
      </w:r>
      <w:r w:rsidRPr="00CF47F3">
        <w:t>veracity</w:t>
      </w:r>
      <w:r>
        <w:t xml:space="preserve"> </w:t>
      </w:r>
      <w:r w:rsidRPr="00CF47F3">
        <w:t>of</w:t>
      </w:r>
      <w:r>
        <w:t xml:space="preserve"> </w:t>
      </w:r>
      <w:r w:rsidRPr="00CF47F3">
        <w:t>modelled</w:t>
      </w:r>
      <w:r>
        <w:t xml:space="preserve"> </w:t>
      </w:r>
      <w:r w:rsidRPr="00CF47F3">
        <w:t>outcomes</w:t>
      </w:r>
      <w:r>
        <w:t xml:space="preserve"> </w:t>
      </w:r>
      <w:r w:rsidRPr="00CF47F3">
        <w:t>relative</w:t>
      </w:r>
      <w:r>
        <w:t xml:space="preserve"> </w:t>
      </w:r>
      <w:r w:rsidRPr="00CF47F3">
        <w:t>to</w:t>
      </w:r>
      <w:r>
        <w:t xml:space="preserve"> </w:t>
      </w:r>
      <w:r w:rsidRPr="00CF47F3">
        <w:t>the</w:t>
      </w:r>
      <w:r>
        <w:t xml:space="preserve"> </w:t>
      </w:r>
      <w:r w:rsidRPr="00CF47F3">
        <w:t>AEMO</w:t>
      </w:r>
      <w:r>
        <w:t xml:space="preserve"> </w:t>
      </w:r>
      <w:r w:rsidRPr="00CF47F3">
        <w:t>SPD</w:t>
      </w:r>
      <w:r>
        <w:t xml:space="preserve"> </w:t>
      </w:r>
      <w:r w:rsidRPr="00CF47F3">
        <w:t>has</w:t>
      </w:r>
      <w:r>
        <w:t xml:space="preserve"> </w:t>
      </w:r>
      <w:r w:rsidRPr="00CF47F3">
        <w:t>been</w:t>
      </w:r>
      <w:r>
        <w:t xml:space="preserve"> </w:t>
      </w:r>
      <w:r w:rsidRPr="00CF47F3">
        <w:t>extensively</w:t>
      </w:r>
      <w:r>
        <w:t xml:space="preserve"> </w:t>
      </w:r>
      <w:r w:rsidRPr="00CF47F3">
        <w:t>tested</w:t>
      </w:r>
      <w:r>
        <w:t xml:space="preserve"> </w:t>
      </w:r>
      <w:r w:rsidRPr="00CF47F3">
        <w:t>and</w:t>
      </w:r>
      <w:r>
        <w:t xml:space="preserve"> </w:t>
      </w:r>
      <w:r w:rsidRPr="00CF47F3">
        <w:t>exhibits</w:t>
      </w:r>
      <w:r>
        <w:t xml:space="preserve"> </w:t>
      </w:r>
      <w:r w:rsidRPr="00CF47F3">
        <w:t>an</w:t>
      </w:r>
      <w:r>
        <w:t xml:space="preserve"> </w:t>
      </w:r>
      <w:r w:rsidRPr="00CF47F3">
        <w:t>extremely</w:t>
      </w:r>
      <w:r>
        <w:t xml:space="preserve"> </w:t>
      </w:r>
      <w:r w:rsidRPr="00CF47F3">
        <w:t>close</w:t>
      </w:r>
      <w:r>
        <w:t xml:space="preserve"> </w:t>
      </w:r>
      <w:r w:rsidRPr="00CF47F3">
        <w:t>fit.</w:t>
      </w:r>
      <w:r>
        <w:t xml:space="preserve"> </w:t>
      </w:r>
    </w:p>
    <w:p w14:paraId="2CEF4FBC" w14:textId="77777777" w:rsidR="00676882" w:rsidRPr="00CF47F3" w:rsidRDefault="00676882" w:rsidP="00676882">
      <w:pPr>
        <w:pStyle w:val="BodyText"/>
      </w:pPr>
      <w:r w:rsidRPr="00CF47F3">
        <w:t>In</w:t>
      </w:r>
      <w:r>
        <w:t xml:space="preserve"> </w:t>
      </w:r>
      <w:r w:rsidRPr="00CF47F3">
        <w:t>accordance</w:t>
      </w:r>
      <w:r>
        <w:t xml:space="preserve"> </w:t>
      </w:r>
      <w:r w:rsidRPr="00CF47F3">
        <w:t>with</w:t>
      </w:r>
      <w:r>
        <w:t xml:space="preserve"> </w:t>
      </w:r>
      <w:r w:rsidRPr="00CF47F3">
        <w:t>the</w:t>
      </w:r>
      <w:r>
        <w:t xml:space="preserve"> </w:t>
      </w:r>
      <w:r w:rsidRPr="00CF47F3">
        <w:t>NEM’s</w:t>
      </w:r>
      <w:r>
        <w:t xml:space="preserve"> </w:t>
      </w:r>
      <w:r w:rsidRPr="00CF47F3">
        <w:t>market</w:t>
      </w:r>
      <w:r>
        <w:t xml:space="preserve"> </w:t>
      </w:r>
      <w:r w:rsidRPr="00CF47F3">
        <w:t>design,</w:t>
      </w:r>
      <w:r>
        <w:t xml:space="preserve"> </w:t>
      </w:r>
      <w:r w:rsidRPr="00CF47F3">
        <w:t>the</w:t>
      </w:r>
      <w:r>
        <w:t xml:space="preserve"> </w:t>
      </w:r>
      <w:r w:rsidRPr="00CF47F3">
        <w:t>price</w:t>
      </w:r>
      <w:r>
        <w:t xml:space="preserve"> </w:t>
      </w:r>
      <w:r w:rsidRPr="00CF47F3">
        <w:t>at</w:t>
      </w:r>
      <w:r>
        <w:t xml:space="preserve"> </w:t>
      </w:r>
      <w:r w:rsidRPr="00CF47F3">
        <w:t>any</w:t>
      </w:r>
      <w:r>
        <w:t xml:space="preserve"> </w:t>
      </w:r>
      <w:r w:rsidRPr="00CF47F3">
        <w:t>one</w:t>
      </w:r>
      <w:r>
        <w:t xml:space="preserve"> </w:t>
      </w:r>
      <w:r w:rsidRPr="00CF47F3">
        <w:t>period</w:t>
      </w:r>
      <w:r>
        <w:t xml:space="preserve"> </w:t>
      </w:r>
      <w:r w:rsidRPr="00CF47F3">
        <w:t>is</w:t>
      </w:r>
      <w:r>
        <w:t xml:space="preserve"> </w:t>
      </w:r>
      <w:r w:rsidRPr="00CF47F3">
        <w:t>the</w:t>
      </w:r>
      <w:r>
        <w:t xml:space="preserve"> </w:t>
      </w:r>
      <w:r w:rsidRPr="00CF47F3">
        <w:t>cost</w:t>
      </w:r>
      <w:r>
        <w:t xml:space="preserve"> </w:t>
      </w:r>
      <w:r w:rsidRPr="00CF47F3">
        <w:t>of</w:t>
      </w:r>
      <w:r>
        <w:t xml:space="preserve"> </w:t>
      </w:r>
      <w:r w:rsidRPr="00CF47F3">
        <w:t>the</w:t>
      </w:r>
      <w:r>
        <w:t xml:space="preserve"> </w:t>
      </w:r>
      <w:r w:rsidRPr="00CF47F3">
        <w:t>next</w:t>
      </w:r>
      <w:r>
        <w:t xml:space="preserve"> </w:t>
      </w:r>
      <w:r w:rsidRPr="00CF47F3">
        <w:t>increment</w:t>
      </w:r>
      <w:r>
        <w:t xml:space="preserve"> </w:t>
      </w:r>
      <w:r w:rsidRPr="00CF47F3">
        <w:t>of</w:t>
      </w:r>
      <w:r>
        <w:t xml:space="preserve"> </w:t>
      </w:r>
      <w:r w:rsidRPr="00CF47F3">
        <w:t>generation</w:t>
      </w:r>
      <w:r>
        <w:t xml:space="preserve"> </w:t>
      </w:r>
      <w:r w:rsidRPr="00CF47F3">
        <w:t>in</w:t>
      </w:r>
      <w:r>
        <w:t xml:space="preserve"> </w:t>
      </w:r>
      <w:r w:rsidRPr="00CF47F3">
        <w:t>each</w:t>
      </w:r>
      <w:r>
        <w:t xml:space="preserve"> </w:t>
      </w:r>
      <w:r w:rsidRPr="00CF47F3">
        <w:t>region</w:t>
      </w:r>
      <w:r>
        <w:t xml:space="preserve"> </w:t>
      </w:r>
      <w:r w:rsidRPr="00CF47F3">
        <w:t>(the</w:t>
      </w:r>
      <w:r>
        <w:t xml:space="preserve"> </w:t>
      </w:r>
      <w:r w:rsidRPr="00CF47F3">
        <w:t>shadow</w:t>
      </w:r>
      <w:r>
        <w:t xml:space="preserve"> </w:t>
      </w:r>
      <w:r w:rsidRPr="00CF47F3">
        <w:t>or</w:t>
      </w:r>
      <w:r>
        <w:t xml:space="preserve"> </w:t>
      </w:r>
      <w:r w:rsidRPr="00CF47F3">
        <w:t>dual</w:t>
      </w:r>
      <w:r>
        <w:t xml:space="preserve"> </w:t>
      </w:r>
      <w:r w:rsidRPr="00CF47F3">
        <w:t>price</w:t>
      </w:r>
      <w:r>
        <w:t xml:space="preserve"> </w:t>
      </w:r>
      <w:r w:rsidRPr="00CF47F3">
        <w:t>within</w:t>
      </w:r>
      <w:r>
        <w:t xml:space="preserve"> </w:t>
      </w:r>
      <w:r w:rsidRPr="00CF47F3">
        <w:t>the</w:t>
      </w:r>
      <w:r>
        <w:t xml:space="preserve"> </w:t>
      </w:r>
      <w:r w:rsidRPr="00CF47F3">
        <w:t>LP).</w:t>
      </w:r>
      <w:r>
        <w:t xml:space="preserve"> </w:t>
      </w:r>
      <w:r w:rsidRPr="00CF47F3">
        <w:t>The</w:t>
      </w:r>
      <w:r>
        <w:t xml:space="preserve"> </w:t>
      </w:r>
      <w:r w:rsidRPr="00CF47F3">
        <w:t>LP</w:t>
      </w:r>
      <w:r>
        <w:t xml:space="preserve"> </w:t>
      </w:r>
      <w:r w:rsidRPr="00CF47F3">
        <w:t>seeks</w:t>
      </w:r>
      <w:r>
        <w:t xml:space="preserve"> </w:t>
      </w:r>
      <w:r w:rsidRPr="00CF47F3">
        <w:t>to</w:t>
      </w:r>
      <w:r>
        <w:t xml:space="preserve"> </w:t>
      </w:r>
      <w:r w:rsidRPr="00CF47F3">
        <w:t>minimise</w:t>
      </w:r>
      <w:r>
        <w:t xml:space="preserve"> </w:t>
      </w:r>
      <w:r w:rsidRPr="00CF47F3">
        <w:t>the</w:t>
      </w:r>
      <w:r>
        <w:t xml:space="preserve"> </w:t>
      </w:r>
      <w:r w:rsidRPr="00CF47F3">
        <w:t>aggregate</w:t>
      </w:r>
      <w:r>
        <w:t xml:space="preserve"> </w:t>
      </w:r>
      <w:r w:rsidRPr="00CF47F3">
        <w:t>cost</w:t>
      </w:r>
      <w:r>
        <w:t xml:space="preserve"> </w:t>
      </w:r>
      <w:r w:rsidRPr="00CF47F3">
        <w:t>of</w:t>
      </w:r>
      <w:r>
        <w:t xml:space="preserve"> </w:t>
      </w:r>
      <w:r w:rsidRPr="00CF47F3">
        <w:t>generation</w:t>
      </w:r>
      <w:r>
        <w:t xml:space="preserve"> </w:t>
      </w:r>
      <w:r w:rsidRPr="00CF47F3">
        <w:t>for</w:t>
      </w:r>
      <w:r>
        <w:t xml:space="preserve"> </w:t>
      </w:r>
      <w:r w:rsidRPr="00CF47F3">
        <w:t>the</w:t>
      </w:r>
      <w:r>
        <w:t xml:space="preserve"> </w:t>
      </w:r>
      <w:proofErr w:type="gramStart"/>
      <w:r w:rsidRPr="00CF47F3">
        <w:t>market</w:t>
      </w:r>
      <w:r>
        <w:t xml:space="preserve"> </w:t>
      </w:r>
      <w:r w:rsidRPr="00CF47F3">
        <w:t>as</w:t>
      </w:r>
      <w:r>
        <w:t xml:space="preserve"> </w:t>
      </w:r>
      <w:r w:rsidRPr="00CF47F3">
        <w:t>a</w:t>
      </w:r>
      <w:r>
        <w:t xml:space="preserve"> </w:t>
      </w:r>
      <w:r w:rsidRPr="00CF47F3">
        <w:t>whole,</w:t>
      </w:r>
      <w:r>
        <w:t xml:space="preserve"> </w:t>
      </w:r>
      <w:r w:rsidRPr="00CF47F3">
        <w:t>while</w:t>
      </w:r>
      <w:proofErr w:type="gramEnd"/>
      <w:r>
        <w:t xml:space="preserve"> </w:t>
      </w:r>
      <w:r w:rsidRPr="00CF47F3">
        <w:t>meeting</w:t>
      </w:r>
      <w:r>
        <w:t xml:space="preserve"> </w:t>
      </w:r>
      <w:r w:rsidRPr="00CF47F3">
        <w:t>regional</w:t>
      </w:r>
      <w:r>
        <w:t xml:space="preserve"> </w:t>
      </w:r>
      <w:r w:rsidRPr="00CF47F3">
        <w:t>demand</w:t>
      </w:r>
      <w:r>
        <w:t xml:space="preserve"> </w:t>
      </w:r>
      <w:r w:rsidRPr="00CF47F3">
        <w:t>and</w:t>
      </w:r>
      <w:r>
        <w:t xml:space="preserve"> </w:t>
      </w:r>
      <w:r w:rsidRPr="00CF47F3">
        <w:t>other</w:t>
      </w:r>
      <w:r>
        <w:t xml:space="preserve"> </w:t>
      </w:r>
      <w:r w:rsidRPr="00CF47F3">
        <w:t>network</w:t>
      </w:r>
      <w:r>
        <w:t xml:space="preserve"> </w:t>
      </w:r>
      <w:r w:rsidRPr="00CF47F3">
        <w:t>constraints.</w:t>
      </w:r>
      <w:r>
        <w:t xml:space="preserve"> </w:t>
      </w:r>
      <w:r w:rsidRPr="009E4AB1">
        <w:fldChar w:fldCharType="begin"/>
      </w:r>
      <w:r w:rsidRPr="009E4AB1">
        <w:instrText xml:space="preserve"> REF _Ref80715755 \h  \* MERGEFORMAT </w:instrText>
      </w:r>
      <w:r w:rsidRPr="009E4AB1">
        <w:fldChar w:fldCharType="separate"/>
      </w:r>
      <w:r w:rsidRPr="00F32FCC">
        <w:t>Figure D.1</w:t>
      </w:r>
      <w:r w:rsidRPr="009E4AB1">
        <w:fldChar w:fldCharType="end"/>
      </w:r>
      <w:r>
        <w:t xml:space="preserve"> </w:t>
      </w:r>
      <w:r w:rsidRPr="00CF47F3">
        <w:t>is</w:t>
      </w:r>
      <w:r>
        <w:t xml:space="preserve"> </w:t>
      </w:r>
      <w:r w:rsidRPr="00CF47F3">
        <w:t>a</w:t>
      </w:r>
      <w:r>
        <w:t xml:space="preserve"> </w:t>
      </w:r>
      <w:r w:rsidRPr="00CF47F3">
        <w:t>simplified</w:t>
      </w:r>
      <w:r>
        <w:t xml:space="preserve"> </w:t>
      </w:r>
      <w:r w:rsidRPr="00CF47F3">
        <w:t>diagrammatic</w:t>
      </w:r>
      <w:r>
        <w:t xml:space="preserve"> </w:t>
      </w:r>
      <w:r w:rsidRPr="00CF47F3">
        <w:t>representation</w:t>
      </w:r>
      <w:r>
        <w:t xml:space="preserve"> </w:t>
      </w:r>
      <w:r w:rsidRPr="00CF47F3">
        <w:t>of</w:t>
      </w:r>
      <w:r>
        <w:t xml:space="preserve"> </w:t>
      </w:r>
      <w:r w:rsidRPr="00CF47F3">
        <w:t>the</w:t>
      </w:r>
      <w:r>
        <w:t xml:space="preserve"> </w:t>
      </w:r>
      <w:r w:rsidRPr="00CF47F3">
        <w:t>model</w:t>
      </w:r>
      <w:r>
        <w:t xml:space="preserve"> </w:t>
      </w:r>
      <w:r w:rsidRPr="00CF47F3">
        <w:t>and</w:t>
      </w:r>
      <w:r>
        <w:t xml:space="preserve"> </w:t>
      </w:r>
      <w:r w:rsidRPr="00CF47F3">
        <w:t>its</w:t>
      </w:r>
      <w:r>
        <w:t xml:space="preserve"> </w:t>
      </w:r>
      <w:r w:rsidRPr="00CF47F3">
        <w:t>methods</w:t>
      </w:r>
      <w:r>
        <w:t xml:space="preserve"> </w:t>
      </w:r>
      <w:r w:rsidRPr="00CF47F3">
        <w:t>of</w:t>
      </w:r>
      <w:r>
        <w:t xml:space="preserve"> </w:t>
      </w:r>
      <w:r w:rsidRPr="00CF47F3">
        <w:t>combining</w:t>
      </w:r>
      <w:r>
        <w:t xml:space="preserve"> </w:t>
      </w:r>
      <w:r w:rsidRPr="00CF47F3">
        <w:t>input</w:t>
      </w:r>
      <w:r>
        <w:t xml:space="preserve"> </w:t>
      </w:r>
      <w:r w:rsidRPr="00CF47F3">
        <w:t>data</w:t>
      </w:r>
      <w:r>
        <w:t xml:space="preserve"> </w:t>
      </w:r>
      <w:r w:rsidRPr="00CF47F3">
        <w:t>from</w:t>
      </w:r>
      <w:r>
        <w:t xml:space="preserve"> </w:t>
      </w:r>
      <w:r w:rsidRPr="00CF47F3">
        <w:t>the</w:t>
      </w:r>
      <w:r>
        <w:t xml:space="preserve"> </w:t>
      </w:r>
      <w:r w:rsidRPr="00CF47F3">
        <w:t>supply</w:t>
      </w:r>
      <w:r>
        <w:t xml:space="preserve"> </w:t>
      </w:r>
      <w:r w:rsidRPr="00CF47F3">
        <w:t>and</w:t>
      </w:r>
      <w:r>
        <w:t xml:space="preserve"> </w:t>
      </w:r>
      <w:r w:rsidRPr="00CF47F3">
        <w:t>demand</w:t>
      </w:r>
      <w:r>
        <w:t xml:space="preserve"> </w:t>
      </w:r>
      <w:r w:rsidRPr="00CF47F3">
        <w:t>modules</w:t>
      </w:r>
      <w:r>
        <w:t xml:space="preserve"> </w:t>
      </w:r>
      <w:r w:rsidRPr="00CF47F3">
        <w:t>to</w:t>
      </w:r>
      <w:r>
        <w:t xml:space="preserve"> </w:t>
      </w:r>
      <w:r w:rsidRPr="00CF47F3">
        <w:t>produce</w:t>
      </w:r>
      <w:r>
        <w:t xml:space="preserve"> </w:t>
      </w:r>
      <w:r w:rsidRPr="00CF47F3">
        <w:t>a</w:t>
      </w:r>
      <w:r>
        <w:t xml:space="preserve"> </w:t>
      </w:r>
      <w:r w:rsidRPr="00CF47F3">
        <w:t>price</w:t>
      </w:r>
      <w:r>
        <w:t xml:space="preserve"> </w:t>
      </w:r>
      <w:r w:rsidRPr="00CF47F3">
        <w:t>and</w:t>
      </w:r>
      <w:r>
        <w:t xml:space="preserve"> </w:t>
      </w:r>
      <w:r w:rsidRPr="00CF47F3">
        <w:t>dispatch</w:t>
      </w:r>
      <w:r>
        <w:t xml:space="preserve"> </w:t>
      </w:r>
      <w:r w:rsidRPr="00CF47F3">
        <w:t>result</w:t>
      </w:r>
      <w:r>
        <w:t xml:space="preserve"> </w:t>
      </w:r>
      <w:r w:rsidRPr="00CF47F3">
        <w:t>for</w:t>
      </w:r>
      <w:r>
        <w:t xml:space="preserve"> </w:t>
      </w:r>
      <w:r w:rsidRPr="00CF47F3">
        <w:t>each</w:t>
      </w:r>
      <w:r>
        <w:t xml:space="preserve"> </w:t>
      </w:r>
      <w:r w:rsidRPr="00CF47F3">
        <w:t>region</w:t>
      </w:r>
      <w:r>
        <w:t xml:space="preserve"> </w:t>
      </w:r>
      <w:r w:rsidRPr="00CF47F3">
        <w:t>and</w:t>
      </w:r>
      <w:r>
        <w:t xml:space="preserve"> </w:t>
      </w:r>
      <w:r w:rsidRPr="00CF47F3">
        <w:t>power</w:t>
      </w:r>
      <w:r>
        <w:t xml:space="preserve"> </w:t>
      </w:r>
      <w:r w:rsidRPr="00CF47F3">
        <w:t>station</w:t>
      </w:r>
      <w:r>
        <w:t xml:space="preserve"> </w:t>
      </w:r>
      <w:r w:rsidRPr="00CF47F3">
        <w:t>for</w:t>
      </w:r>
      <w:r>
        <w:t xml:space="preserve"> </w:t>
      </w:r>
      <w:r w:rsidRPr="00CF47F3">
        <w:t>each</w:t>
      </w:r>
      <w:r>
        <w:t xml:space="preserve"> </w:t>
      </w:r>
      <w:r w:rsidRPr="00CF47F3">
        <w:t>period.</w:t>
      </w:r>
      <w:r>
        <w:t xml:space="preserve"> </w:t>
      </w:r>
    </w:p>
    <w:p w14:paraId="73D2B6E3" w14:textId="77777777" w:rsidR="00676882" w:rsidRPr="00CF47F3" w:rsidRDefault="00676882" w:rsidP="00676882">
      <w:pPr>
        <w:pStyle w:val="BodyText"/>
      </w:pPr>
      <w:r w:rsidRPr="006D4BC7">
        <w:rPr>
          <w:i/>
          <w:iCs/>
        </w:rPr>
        <w:t>PowerMark</w:t>
      </w:r>
      <w:r>
        <w:rPr>
          <w:i/>
          <w:iCs/>
        </w:rPr>
        <w:t xml:space="preserve"> </w:t>
      </w:r>
      <w:r w:rsidRPr="00CF47F3">
        <w:t>is</w:t>
      </w:r>
      <w:r>
        <w:t xml:space="preserve"> </w:t>
      </w:r>
      <w:r w:rsidRPr="00CF47F3">
        <w:t>very</w:t>
      </w:r>
      <w:r>
        <w:t xml:space="preserve"> </w:t>
      </w:r>
      <w:r w:rsidRPr="00CF47F3">
        <w:t>flexible.</w:t>
      </w:r>
      <w:r>
        <w:t xml:space="preserve"> </w:t>
      </w:r>
      <w:r w:rsidRPr="00CF47F3">
        <w:t>Additional</w:t>
      </w:r>
      <w:r>
        <w:t xml:space="preserve"> </w:t>
      </w:r>
      <w:r w:rsidRPr="00CF47F3">
        <w:t>elements,</w:t>
      </w:r>
      <w:r>
        <w:t xml:space="preserve"> </w:t>
      </w:r>
      <w:r w:rsidRPr="00CF47F3">
        <w:t>such</w:t>
      </w:r>
      <w:r>
        <w:t xml:space="preserve"> </w:t>
      </w:r>
      <w:r w:rsidRPr="00CF47F3">
        <w:t>as</w:t>
      </w:r>
      <w:r>
        <w:t xml:space="preserve"> </w:t>
      </w:r>
      <w:r w:rsidRPr="00CF47F3">
        <w:t>regions,</w:t>
      </w:r>
      <w:r>
        <w:t xml:space="preserve"> </w:t>
      </w:r>
      <w:r w:rsidRPr="00CF47F3">
        <w:t>interconnectors,</w:t>
      </w:r>
      <w:r>
        <w:t xml:space="preserve"> </w:t>
      </w:r>
      <w:r w:rsidRPr="00CF47F3">
        <w:t>generators</w:t>
      </w:r>
      <w:r>
        <w:t xml:space="preserve"> </w:t>
      </w:r>
      <w:r w:rsidRPr="00CF47F3">
        <w:t>or</w:t>
      </w:r>
      <w:r>
        <w:t xml:space="preserve"> </w:t>
      </w:r>
      <w:r w:rsidRPr="00CF47F3">
        <w:t>loads</w:t>
      </w:r>
      <w:r>
        <w:t xml:space="preserve"> </w:t>
      </w:r>
      <w:r w:rsidRPr="00CF47F3">
        <w:t>can</w:t>
      </w:r>
      <w:r>
        <w:t xml:space="preserve"> </w:t>
      </w:r>
      <w:r w:rsidRPr="00CF47F3">
        <w:t>be</w:t>
      </w:r>
      <w:r>
        <w:t xml:space="preserve"> </w:t>
      </w:r>
      <w:r w:rsidRPr="00CF47F3">
        <w:t>easily</w:t>
      </w:r>
      <w:r>
        <w:t xml:space="preserve"> </w:t>
      </w:r>
      <w:proofErr w:type="gramStart"/>
      <w:r w:rsidRPr="00CF47F3">
        <w:t>added</w:t>
      </w:r>
      <w:proofErr w:type="gramEnd"/>
      <w:r>
        <w:t xml:space="preserve"> </w:t>
      </w:r>
      <w:r w:rsidRPr="00CF47F3">
        <w:t>and</w:t>
      </w:r>
      <w:r>
        <w:t xml:space="preserve"> </w:t>
      </w:r>
      <w:r w:rsidRPr="00CF47F3">
        <w:t>their</w:t>
      </w:r>
      <w:r>
        <w:t xml:space="preserve"> </w:t>
      </w:r>
      <w:r w:rsidRPr="00CF47F3">
        <w:t>characteristics</w:t>
      </w:r>
      <w:r>
        <w:t xml:space="preserve"> </w:t>
      </w:r>
      <w:r w:rsidRPr="00CF47F3">
        <w:t>varied</w:t>
      </w:r>
      <w:r>
        <w:t xml:space="preserve"> </w:t>
      </w:r>
      <w:r w:rsidRPr="00CF47F3">
        <w:t>through</w:t>
      </w:r>
      <w:r>
        <w:t xml:space="preserve"> </w:t>
      </w:r>
      <w:r w:rsidRPr="00CF47F3">
        <w:t>time.</w:t>
      </w:r>
      <w:r>
        <w:t xml:space="preserve"> </w:t>
      </w:r>
      <w:r w:rsidRPr="006D4BC7">
        <w:rPr>
          <w:i/>
          <w:iCs/>
        </w:rPr>
        <w:t>PowerMark</w:t>
      </w:r>
      <w:r>
        <w:rPr>
          <w:i/>
          <w:iCs/>
        </w:rPr>
        <w:t xml:space="preserve"> </w:t>
      </w:r>
      <w:r w:rsidRPr="00CF47F3">
        <w:t>has</w:t>
      </w:r>
      <w:r>
        <w:t xml:space="preserve"> </w:t>
      </w:r>
      <w:r w:rsidRPr="00CF47F3">
        <w:t>been</w:t>
      </w:r>
      <w:r>
        <w:t xml:space="preserve"> </w:t>
      </w:r>
      <w:r w:rsidRPr="00CF47F3">
        <w:t>applied</w:t>
      </w:r>
      <w:r>
        <w:t xml:space="preserve"> </w:t>
      </w:r>
      <w:r w:rsidRPr="00CF47F3">
        <w:t>to</w:t>
      </w:r>
      <w:r>
        <w:t xml:space="preserve"> </w:t>
      </w:r>
      <w:r w:rsidRPr="00CF47F3">
        <w:t>several</w:t>
      </w:r>
      <w:r>
        <w:t xml:space="preserve"> </w:t>
      </w:r>
      <w:r w:rsidRPr="00CF47F3">
        <w:t>different</w:t>
      </w:r>
      <w:r>
        <w:t xml:space="preserve"> </w:t>
      </w:r>
      <w:r w:rsidRPr="00CF47F3">
        <w:t>market</w:t>
      </w:r>
      <w:r>
        <w:t xml:space="preserve"> </w:t>
      </w:r>
      <w:r w:rsidRPr="00CF47F3">
        <w:t>designs</w:t>
      </w:r>
      <w:r>
        <w:t xml:space="preserve"> </w:t>
      </w:r>
      <w:r w:rsidRPr="00CF47F3">
        <w:t>— gross</w:t>
      </w:r>
      <w:r>
        <w:t xml:space="preserve"> </w:t>
      </w:r>
      <w:r w:rsidRPr="00CF47F3">
        <w:t>pools,</w:t>
      </w:r>
      <w:r>
        <w:t xml:space="preserve"> </w:t>
      </w:r>
      <w:r w:rsidRPr="00CF47F3">
        <w:t>net</w:t>
      </w:r>
      <w:r>
        <w:t xml:space="preserve"> </w:t>
      </w:r>
      <w:r w:rsidRPr="00CF47F3">
        <w:t>pools,</w:t>
      </w:r>
      <w:r>
        <w:t xml:space="preserve"> </w:t>
      </w:r>
      <w:r w:rsidRPr="00CF47F3">
        <w:t>regional</w:t>
      </w:r>
      <w:r>
        <w:t xml:space="preserve"> </w:t>
      </w:r>
      <w:r w:rsidRPr="00CF47F3">
        <w:t>and</w:t>
      </w:r>
      <w:r>
        <w:t xml:space="preserve"> </w:t>
      </w:r>
      <w:r w:rsidRPr="00CF47F3">
        <w:t>nodal</w:t>
      </w:r>
      <w:r>
        <w:t xml:space="preserve"> </w:t>
      </w:r>
      <w:r w:rsidRPr="00CF47F3">
        <w:t>structures.</w:t>
      </w:r>
      <w:r>
        <w:t xml:space="preserve"> </w:t>
      </w:r>
    </w:p>
    <w:p w14:paraId="75BF0943" w14:textId="77777777" w:rsidR="00676882" w:rsidRPr="00CF47F3" w:rsidRDefault="00676882" w:rsidP="00676882">
      <w:pPr>
        <w:pStyle w:val="BodyText"/>
      </w:pPr>
      <w:r w:rsidRPr="00CF47F3">
        <w:lastRenderedPageBreak/>
        <w:t>A</w:t>
      </w:r>
      <w:r>
        <w:t xml:space="preserve"> </w:t>
      </w:r>
      <w:r w:rsidRPr="00CF47F3">
        <w:t>distinctive</w:t>
      </w:r>
      <w:r>
        <w:t xml:space="preserve"> </w:t>
      </w:r>
      <w:r w:rsidRPr="00CF47F3">
        <w:t>feature</w:t>
      </w:r>
      <w:r>
        <w:t xml:space="preserve"> </w:t>
      </w:r>
      <w:r w:rsidRPr="00CF47F3">
        <w:t>of</w:t>
      </w:r>
      <w:r>
        <w:t xml:space="preserve"> </w:t>
      </w:r>
      <w:r w:rsidRPr="006D4BC7">
        <w:rPr>
          <w:i/>
          <w:iCs/>
        </w:rPr>
        <w:t>PowerMark</w:t>
      </w:r>
      <w:r>
        <w:rPr>
          <w:i/>
          <w:iCs/>
        </w:rPr>
        <w:t xml:space="preserve"> </w:t>
      </w:r>
      <w:r w:rsidRPr="00CF47F3">
        <w:t>is</w:t>
      </w:r>
      <w:r>
        <w:t xml:space="preserve"> </w:t>
      </w:r>
      <w:r w:rsidRPr="00CF47F3">
        <w:t>the</w:t>
      </w:r>
      <w:r>
        <w:t xml:space="preserve"> </w:t>
      </w:r>
      <w:r w:rsidRPr="00CF47F3">
        <w:t>inclusion</w:t>
      </w:r>
      <w:r>
        <w:t xml:space="preserve"> </w:t>
      </w:r>
      <w:r w:rsidRPr="00CF47F3">
        <w:t>of</w:t>
      </w:r>
      <w:r>
        <w:t xml:space="preserve"> </w:t>
      </w:r>
      <w:r w:rsidRPr="00CF47F3">
        <w:t>a</w:t>
      </w:r>
      <w:r>
        <w:t xml:space="preserve"> </w:t>
      </w:r>
      <w:r w:rsidRPr="00CF47F3">
        <w:t>portfolio</w:t>
      </w:r>
      <w:r>
        <w:t xml:space="preserve"> </w:t>
      </w:r>
      <w:r w:rsidRPr="00CF47F3">
        <w:t>optimisation</w:t>
      </w:r>
      <w:r>
        <w:t xml:space="preserve"> </w:t>
      </w:r>
      <w:r w:rsidRPr="00CF47F3">
        <w:t>module.</w:t>
      </w:r>
      <w:r>
        <w:t xml:space="preserve"> </w:t>
      </w:r>
      <w:r w:rsidRPr="00CF47F3">
        <w:t>This</w:t>
      </w:r>
      <w:r>
        <w:t xml:space="preserve"> </w:t>
      </w:r>
      <w:r w:rsidRPr="00CF47F3">
        <w:t>component</w:t>
      </w:r>
      <w:r>
        <w:t xml:space="preserve"> </w:t>
      </w:r>
      <w:r w:rsidRPr="00CF47F3">
        <w:t>which</w:t>
      </w:r>
      <w:r>
        <w:t xml:space="preserve"> </w:t>
      </w:r>
      <w:r w:rsidRPr="00CF47F3">
        <w:t>is</w:t>
      </w:r>
      <w:r>
        <w:t xml:space="preserve"> </w:t>
      </w:r>
      <w:r w:rsidRPr="00CF47F3">
        <w:t>almost</w:t>
      </w:r>
      <w:r>
        <w:t xml:space="preserve"> </w:t>
      </w:r>
      <w:r w:rsidRPr="00CF47F3">
        <w:t>always</w:t>
      </w:r>
      <w:r>
        <w:t xml:space="preserve"> </w:t>
      </w:r>
      <w:r w:rsidRPr="00CF47F3">
        <w:t>employed</w:t>
      </w:r>
      <w:r>
        <w:t xml:space="preserve"> </w:t>
      </w:r>
      <w:r w:rsidRPr="00CF47F3">
        <w:t>when</w:t>
      </w:r>
      <w:r>
        <w:t xml:space="preserve"> </w:t>
      </w:r>
      <w:r w:rsidRPr="00CF47F3">
        <w:t>modelling</w:t>
      </w:r>
      <w:r>
        <w:t xml:space="preserve"> </w:t>
      </w:r>
      <w:r w:rsidRPr="00CF47F3">
        <w:t>energy-only</w:t>
      </w:r>
      <w:r>
        <w:t xml:space="preserve"> </w:t>
      </w:r>
      <w:r w:rsidRPr="00CF47F3">
        <w:t>markets,</w:t>
      </w:r>
      <w:r>
        <w:t xml:space="preserve"> </w:t>
      </w:r>
      <w:r w:rsidRPr="00CF47F3">
        <w:t>allows</w:t>
      </w:r>
      <w:r>
        <w:t xml:space="preserve"> </w:t>
      </w:r>
      <w:r w:rsidRPr="00CF47F3">
        <w:t>selected</w:t>
      </w:r>
      <w:r>
        <w:t xml:space="preserve"> </w:t>
      </w:r>
      <w:r w:rsidRPr="00CF47F3">
        <w:t>portfolios</w:t>
      </w:r>
      <w:r>
        <w:t xml:space="preserve"> </w:t>
      </w:r>
      <w:r w:rsidRPr="00CF47F3">
        <w:t>to</w:t>
      </w:r>
      <w:r>
        <w:t xml:space="preserve"> </w:t>
      </w:r>
      <w:r w:rsidRPr="00CF47F3">
        <w:t>seek</w:t>
      </w:r>
      <w:r>
        <w:t xml:space="preserve"> </w:t>
      </w:r>
      <w:r w:rsidRPr="00CF47F3">
        <w:t>to</w:t>
      </w:r>
      <w:r>
        <w:t xml:space="preserve"> </w:t>
      </w:r>
      <w:r w:rsidRPr="00CF47F3">
        <w:t>maximise</w:t>
      </w:r>
      <w:r>
        <w:t xml:space="preserve"> </w:t>
      </w:r>
      <w:r w:rsidRPr="00CF47F3">
        <w:t>net</w:t>
      </w:r>
      <w:r>
        <w:t xml:space="preserve"> </w:t>
      </w:r>
      <w:r w:rsidRPr="00CF47F3">
        <w:t>revenue</w:t>
      </w:r>
      <w:r>
        <w:t xml:space="preserve"> </w:t>
      </w:r>
      <w:r w:rsidRPr="00CF47F3">
        <w:t>positions</w:t>
      </w:r>
      <w:r>
        <w:t xml:space="preserve"> </w:t>
      </w:r>
      <w:r w:rsidRPr="00CF47F3">
        <w:t>(taking</w:t>
      </w:r>
      <w:r>
        <w:t xml:space="preserve"> </w:t>
      </w:r>
      <w:r w:rsidRPr="00CF47F3">
        <w:t>into</w:t>
      </w:r>
      <w:r>
        <w:t xml:space="preserve"> </w:t>
      </w:r>
      <w:r w:rsidRPr="00CF47F3">
        <w:t>consideration</w:t>
      </w:r>
      <w:r>
        <w:t xml:space="preserve"> </w:t>
      </w:r>
      <w:r w:rsidRPr="00CF47F3">
        <w:t>contracts</w:t>
      </w:r>
      <w:r>
        <w:t xml:space="preserve"> </w:t>
      </w:r>
      <w:r w:rsidRPr="00CF47F3">
        <w:t>for</w:t>
      </w:r>
      <w:r>
        <w:t xml:space="preserve"> </w:t>
      </w:r>
      <w:r w:rsidRPr="00CF47F3">
        <w:t>differences) for</w:t>
      </w:r>
      <w:r>
        <w:t xml:space="preserve"> </w:t>
      </w:r>
      <w:r w:rsidRPr="00CF47F3">
        <w:t>each</w:t>
      </w:r>
      <w:r>
        <w:t xml:space="preserve"> </w:t>
      </w:r>
      <w:r w:rsidRPr="00CF47F3">
        <w:t>period.</w:t>
      </w:r>
      <w:r>
        <w:t xml:space="preserve"> </w:t>
      </w:r>
      <w:r w:rsidRPr="00CF47F3">
        <w:t>These</w:t>
      </w:r>
      <w:r>
        <w:t xml:space="preserve"> </w:t>
      </w:r>
      <w:r w:rsidRPr="00CF47F3">
        <w:t>modified</w:t>
      </w:r>
      <w:r>
        <w:t xml:space="preserve"> </w:t>
      </w:r>
      <w:r w:rsidRPr="00CF47F3">
        <w:t>generator</w:t>
      </w:r>
      <w:r>
        <w:t xml:space="preserve"> </w:t>
      </w:r>
      <w:r w:rsidRPr="00CF47F3">
        <w:t>offers</w:t>
      </w:r>
      <w:r>
        <w:t xml:space="preserve"> </w:t>
      </w:r>
      <w:r w:rsidRPr="00CF47F3">
        <w:t>are</w:t>
      </w:r>
      <w:r>
        <w:t xml:space="preserve"> </w:t>
      </w:r>
      <w:r w:rsidRPr="00CF47F3">
        <w:t>then</w:t>
      </w:r>
      <w:r>
        <w:t xml:space="preserve"> </w:t>
      </w:r>
      <w:r w:rsidRPr="00CF47F3">
        <w:t>resubmitted</w:t>
      </w:r>
      <w:r>
        <w:t xml:space="preserve"> </w:t>
      </w:r>
      <w:r w:rsidRPr="00CF47F3">
        <w:t>to</w:t>
      </w:r>
      <w:r>
        <w:t xml:space="preserve"> </w:t>
      </w:r>
      <w:r w:rsidRPr="00CF47F3">
        <w:t>the</w:t>
      </w:r>
      <w:r>
        <w:t xml:space="preserve"> </w:t>
      </w:r>
      <w:r w:rsidRPr="00CF47F3">
        <w:t>settlement</w:t>
      </w:r>
      <w:r>
        <w:t xml:space="preserve"> </w:t>
      </w:r>
      <w:r w:rsidRPr="00CF47F3">
        <w:t>engine</w:t>
      </w:r>
      <w:r>
        <w:t xml:space="preserve"> </w:t>
      </w:r>
      <w:r w:rsidRPr="00CF47F3">
        <w:t>to</w:t>
      </w:r>
      <w:r>
        <w:t xml:space="preserve"> </w:t>
      </w:r>
      <w:r w:rsidRPr="00CF47F3">
        <w:t>determine</w:t>
      </w:r>
      <w:r>
        <w:t xml:space="preserve"> </w:t>
      </w:r>
      <w:r w:rsidRPr="00CF47F3">
        <w:t>prices</w:t>
      </w:r>
      <w:r>
        <w:t xml:space="preserve"> </w:t>
      </w:r>
      <w:r w:rsidRPr="00CF47F3">
        <w:t>and</w:t>
      </w:r>
      <w:r>
        <w:t xml:space="preserve"> </w:t>
      </w:r>
      <w:r w:rsidRPr="00CF47F3">
        <w:t>dispatch</w:t>
      </w:r>
      <w:r>
        <w:t xml:space="preserve"> </w:t>
      </w:r>
      <w:r w:rsidRPr="00CF47F3">
        <w:t>levels.</w:t>
      </w:r>
      <w:r>
        <w:t xml:space="preserve"> </w:t>
      </w:r>
      <w:r w:rsidRPr="00CF47F3">
        <w:t>Each</w:t>
      </w:r>
      <w:r>
        <w:t xml:space="preserve"> </w:t>
      </w:r>
      <w:r w:rsidRPr="00CF47F3">
        <w:t>period</w:t>
      </w:r>
      <w:r>
        <w:t xml:space="preserve"> </w:t>
      </w:r>
      <w:r w:rsidRPr="00CF47F3">
        <w:t>is</w:t>
      </w:r>
      <w:r>
        <w:t xml:space="preserve"> </w:t>
      </w:r>
      <w:r w:rsidRPr="00CF47F3">
        <w:t>iterated</w:t>
      </w:r>
      <w:r>
        <w:t xml:space="preserve"> </w:t>
      </w:r>
      <w:r w:rsidRPr="00CF47F3">
        <w:t>until</w:t>
      </w:r>
      <w:r>
        <w:t xml:space="preserve"> </w:t>
      </w:r>
      <w:r w:rsidRPr="00CF47F3">
        <w:t>a</w:t>
      </w:r>
      <w:r>
        <w:t xml:space="preserve"> </w:t>
      </w:r>
      <w:r w:rsidRPr="00CF47F3">
        <w:t>convergence</w:t>
      </w:r>
      <w:r>
        <w:t xml:space="preserve"> </w:t>
      </w:r>
      <w:r w:rsidRPr="00CF47F3">
        <w:t>point</w:t>
      </w:r>
      <w:r>
        <w:t xml:space="preserve"> </w:t>
      </w:r>
      <w:r w:rsidRPr="00CF47F3">
        <w:t>(based</w:t>
      </w:r>
      <w:r>
        <w:t xml:space="preserve"> </w:t>
      </w:r>
      <w:r w:rsidRPr="00CF47F3">
        <w:t>on</w:t>
      </w:r>
      <w:r>
        <w:t xml:space="preserve"> </w:t>
      </w:r>
      <w:r w:rsidRPr="00CF47F3">
        <w:t>Nash-Cournot</w:t>
      </w:r>
      <w:r>
        <w:t xml:space="preserve"> </w:t>
      </w:r>
      <w:r w:rsidRPr="00CF47F3">
        <w:t>/ Supply</w:t>
      </w:r>
      <w:r>
        <w:t xml:space="preserve"> </w:t>
      </w:r>
      <w:r w:rsidRPr="00CF47F3">
        <w:t>Function</w:t>
      </w:r>
      <w:r>
        <w:t xml:space="preserve"> </w:t>
      </w:r>
      <w:r w:rsidRPr="00CF47F3">
        <w:t>equilibrium</w:t>
      </w:r>
      <w:r>
        <w:t xml:space="preserve"> </w:t>
      </w:r>
      <w:r w:rsidRPr="00CF47F3">
        <w:t>theory) is</w:t>
      </w:r>
      <w:r>
        <w:t xml:space="preserve"> </w:t>
      </w:r>
      <w:r w:rsidRPr="00CF47F3">
        <w:t>found.</w:t>
      </w:r>
      <w:r>
        <w:t xml:space="preserve"> </w:t>
      </w:r>
    </w:p>
    <w:p w14:paraId="3CD357A3" w14:textId="77777777" w:rsidR="00676882" w:rsidRPr="00CF47F3" w:rsidRDefault="00676882" w:rsidP="00676882">
      <w:pPr>
        <w:pStyle w:val="BodyText"/>
      </w:pPr>
      <w:r w:rsidRPr="00CF47F3">
        <w:t>The</w:t>
      </w:r>
      <w:r>
        <w:t xml:space="preserve"> </w:t>
      </w:r>
      <w:r w:rsidRPr="00CF47F3">
        <w:t>benefits</w:t>
      </w:r>
      <w:r>
        <w:t xml:space="preserve"> </w:t>
      </w:r>
      <w:r w:rsidRPr="00CF47F3">
        <w:t>of</w:t>
      </w:r>
      <w:r>
        <w:t xml:space="preserve"> </w:t>
      </w:r>
      <w:r w:rsidRPr="00CF47F3">
        <w:t>the</w:t>
      </w:r>
      <w:r>
        <w:t xml:space="preserve"> </w:t>
      </w:r>
      <w:r w:rsidRPr="00CF47F3">
        <w:t>optimisation</w:t>
      </w:r>
      <w:r>
        <w:t xml:space="preserve"> </w:t>
      </w:r>
      <w:r w:rsidRPr="00CF47F3">
        <w:t>module</w:t>
      </w:r>
      <w:r>
        <w:t xml:space="preserve"> </w:t>
      </w:r>
      <w:r w:rsidRPr="00CF47F3">
        <w:t>are</w:t>
      </w:r>
      <w:r>
        <w:t xml:space="preserve"> </w:t>
      </w:r>
      <w:r w:rsidRPr="00CF47F3">
        <w:t xml:space="preserve">twofold: </w:t>
      </w:r>
    </w:p>
    <w:p w14:paraId="12D5CB47" w14:textId="77777777" w:rsidR="00676882" w:rsidRPr="00CF47F3" w:rsidRDefault="00676882" w:rsidP="00676882">
      <w:pPr>
        <w:pStyle w:val="ListBullet"/>
      </w:pPr>
      <w:r w:rsidRPr="00CF47F3">
        <w:t>portfolios</w:t>
      </w:r>
      <w:r>
        <w:t xml:space="preserve"> </w:t>
      </w:r>
      <w:r w:rsidRPr="00CF47F3">
        <w:t>structure</w:t>
      </w:r>
      <w:r>
        <w:t xml:space="preserve"> </w:t>
      </w:r>
      <w:r w:rsidRPr="00CF47F3">
        <w:t>their</w:t>
      </w:r>
      <w:r>
        <w:t xml:space="preserve"> </w:t>
      </w:r>
      <w:r w:rsidRPr="00CF47F3">
        <w:t>generation</w:t>
      </w:r>
      <w:r>
        <w:t xml:space="preserve"> </w:t>
      </w:r>
      <w:r w:rsidRPr="00CF47F3">
        <w:t>offers</w:t>
      </w:r>
      <w:r>
        <w:t xml:space="preserve"> </w:t>
      </w:r>
      <w:r w:rsidRPr="00CF47F3">
        <w:t>in</w:t>
      </w:r>
      <w:r>
        <w:t xml:space="preserve"> </w:t>
      </w:r>
      <w:r w:rsidRPr="00CF47F3">
        <w:t>an</w:t>
      </w:r>
      <w:r>
        <w:t xml:space="preserve"> </w:t>
      </w:r>
      <w:r w:rsidRPr="00CF47F3">
        <w:t>economically</w:t>
      </w:r>
      <w:r>
        <w:t xml:space="preserve"> </w:t>
      </w:r>
      <w:r w:rsidRPr="00CF47F3">
        <w:t>rational</w:t>
      </w:r>
      <w:r>
        <w:t xml:space="preserve"> </w:t>
      </w:r>
      <w:r w:rsidRPr="00CF47F3">
        <w:t>way.</w:t>
      </w:r>
      <w:r>
        <w:t xml:space="preserve"> </w:t>
      </w:r>
      <w:r w:rsidRPr="00CF47F3">
        <w:t>From</w:t>
      </w:r>
      <w:r>
        <w:t xml:space="preserve"> </w:t>
      </w:r>
      <w:proofErr w:type="gramStart"/>
      <w:r w:rsidRPr="00CF47F3">
        <w:t>past</w:t>
      </w:r>
      <w:r>
        <w:t xml:space="preserve"> </w:t>
      </w:r>
      <w:r w:rsidRPr="00CF47F3">
        <w:t>experience</w:t>
      </w:r>
      <w:proofErr w:type="gramEnd"/>
      <w:r w:rsidRPr="00CF47F3">
        <w:t>,</w:t>
      </w:r>
      <w:r>
        <w:t xml:space="preserve"> </w:t>
      </w:r>
      <w:r w:rsidRPr="00CF47F3">
        <w:t>this</w:t>
      </w:r>
      <w:r>
        <w:t xml:space="preserve"> </w:t>
      </w:r>
      <w:r w:rsidRPr="00CF47F3">
        <w:t>optimisation</w:t>
      </w:r>
      <w:r>
        <w:t xml:space="preserve"> </w:t>
      </w:r>
      <w:r w:rsidRPr="00CF47F3">
        <w:t>process</w:t>
      </w:r>
      <w:r>
        <w:t xml:space="preserve"> </w:t>
      </w:r>
      <w:r w:rsidRPr="00CF47F3">
        <w:t>generates</w:t>
      </w:r>
      <w:r>
        <w:t xml:space="preserve"> </w:t>
      </w:r>
      <w:r w:rsidRPr="00CF47F3">
        <w:t>strategies</w:t>
      </w:r>
      <w:r>
        <w:t xml:space="preserve"> </w:t>
      </w:r>
      <w:r w:rsidRPr="00CF47F3">
        <w:t>which</w:t>
      </w:r>
      <w:r>
        <w:t xml:space="preserve"> </w:t>
      </w:r>
      <w:r w:rsidRPr="00CF47F3">
        <w:t>align</w:t>
      </w:r>
      <w:r>
        <w:t xml:space="preserve"> </w:t>
      </w:r>
      <w:r w:rsidRPr="00CF47F3">
        <w:t>with</w:t>
      </w:r>
      <w:r>
        <w:t xml:space="preserve"> </w:t>
      </w:r>
      <w:r w:rsidRPr="00CF47F3">
        <w:t>the</w:t>
      </w:r>
      <w:r>
        <w:t xml:space="preserve"> </w:t>
      </w:r>
      <w:r w:rsidRPr="00CF47F3">
        <w:t>behavioural</w:t>
      </w:r>
      <w:r>
        <w:t xml:space="preserve"> </w:t>
      </w:r>
      <w:r w:rsidRPr="00CF47F3">
        <w:t>reality</w:t>
      </w:r>
      <w:r>
        <w:t xml:space="preserve"> </w:t>
      </w:r>
      <w:r w:rsidRPr="00CF47F3">
        <w:t>in</w:t>
      </w:r>
      <w:r>
        <w:t xml:space="preserve"> </w:t>
      </w:r>
      <w:r w:rsidRPr="00CF47F3">
        <w:t>the</w:t>
      </w:r>
      <w:r>
        <w:t xml:space="preserve"> </w:t>
      </w:r>
      <w:r w:rsidRPr="00CF47F3">
        <w:t>marketplace; and</w:t>
      </w:r>
      <w:r>
        <w:t xml:space="preserve"> </w:t>
      </w:r>
    </w:p>
    <w:p w14:paraId="2EE42C13" w14:textId="77777777" w:rsidR="00676882" w:rsidRPr="00CF47F3" w:rsidRDefault="00676882" w:rsidP="00676882">
      <w:pPr>
        <w:pStyle w:val="ListBullet"/>
      </w:pPr>
      <w:r w:rsidRPr="00CF47F3">
        <w:t>second-round</w:t>
      </w:r>
      <w:r>
        <w:t xml:space="preserve"> </w:t>
      </w:r>
      <w:r w:rsidRPr="00CF47F3">
        <w:t>effects</w:t>
      </w:r>
      <w:r>
        <w:t xml:space="preserve"> </w:t>
      </w:r>
      <w:r w:rsidRPr="00CF47F3">
        <w:t>from</w:t>
      </w:r>
      <w:r>
        <w:t xml:space="preserve"> </w:t>
      </w:r>
      <w:r w:rsidRPr="00CF47F3">
        <w:t>fundamental</w:t>
      </w:r>
      <w:r>
        <w:t xml:space="preserve"> </w:t>
      </w:r>
      <w:r w:rsidRPr="00CF47F3">
        <w:t>changes</w:t>
      </w:r>
      <w:r>
        <w:t xml:space="preserve"> </w:t>
      </w:r>
      <w:r w:rsidRPr="00CF47F3">
        <w:t>to</w:t>
      </w:r>
      <w:r>
        <w:t xml:space="preserve"> </w:t>
      </w:r>
      <w:r w:rsidRPr="00CF47F3">
        <w:t>the</w:t>
      </w:r>
      <w:r>
        <w:t xml:space="preserve"> </w:t>
      </w:r>
      <w:r w:rsidRPr="00CF47F3">
        <w:t>market</w:t>
      </w:r>
      <w:r>
        <w:t xml:space="preserve"> </w:t>
      </w:r>
      <w:r w:rsidRPr="00CF47F3">
        <w:t>— such</w:t>
      </w:r>
      <w:r>
        <w:t xml:space="preserve"> </w:t>
      </w:r>
      <w:r w:rsidRPr="00CF47F3">
        <w:t>as</w:t>
      </w:r>
      <w:r>
        <w:t xml:space="preserve"> </w:t>
      </w:r>
      <w:r w:rsidRPr="00CF47F3">
        <w:t>a</w:t>
      </w:r>
      <w:r>
        <w:t xml:space="preserve"> </w:t>
      </w:r>
      <w:r w:rsidRPr="00CF47F3">
        <w:t>policy</w:t>
      </w:r>
      <w:r>
        <w:t xml:space="preserve"> </w:t>
      </w:r>
      <w:r w:rsidRPr="00CF47F3">
        <w:t>change,</w:t>
      </w:r>
      <w:r>
        <w:t xml:space="preserve"> </w:t>
      </w:r>
      <w:r w:rsidRPr="00CF47F3">
        <w:t>addition</w:t>
      </w:r>
      <w:r>
        <w:t xml:space="preserve"> </w:t>
      </w:r>
      <w:r w:rsidRPr="00CF47F3">
        <w:t>or</w:t>
      </w:r>
      <w:r>
        <w:t xml:space="preserve"> </w:t>
      </w:r>
      <w:r w:rsidRPr="00CF47F3">
        <w:t>closure</w:t>
      </w:r>
      <w:r>
        <w:t xml:space="preserve"> </w:t>
      </w:r>
      <w:r w:rsidRPr="00CF47F3">
        <w:t>of</w:t>
      </w:r>
      <w:r>
        <w:t xml:space="preserve"> </w:t>
      </w:r>
      <w:r w:rsidRPr="00CF47F3">
        <w:t>generators,</w:t>
      </w:r>
      <w:r>
        <w:t xml:space="preserve"> </w:t>
      </w:r>
      <w:r w:rsidRPr="00CF47F3">
        <w:t>transmission</w:t>
      </w:r>
      <w:r>
        <w:t xml:space="preserve"> </w:t>
      </w:r>
      <w:r w:rsidRPr="00CF47F3">
        <w:t>augmentation</w:t>
      </w:r>
      <w:r>
        <w:t xml:space="preserve"> </w:t>
      </w:r>
      <w:r w:rsidRPr="00CF47F3">
        <w:t>or</w:t>
      </w:r>
      <w:r>
        <w:t xml:space="preserve"> </w:t>
      </w:r>
      <w:r w:rsidRPr="00CF47F3">
        <w:t>creation</w:t>
      </w:r>
      <w:r>
        <w:t xml:space="preserve"> </w:t>
      </w:r>
      <w:r w:rsidRPr="00CF47F3">
        <w:t>of</w:t>
      </w:r>
      <w:r>
        <w:t xml:space="preserve"> </w:t>
      </w:r>
      <w:r w:rsidRPr="00CF47F3">
        <w:t>additional</w:t>
      </w:r>
      <w:r>
        <w:t xml:space="preserve"> </w:t>
      </w:r>
      <w:r w:rsidRPr="00CF47F3">
        <w:t>regions,</w:t>
      </w:r>
      <w:r>
        <w:t xml:space="preserve"> </w:t>
      </w:r>
      <w:r w:rsidRPr="00CF47F3">
        <w:t>can</w:t>
      </w:r>
      <w:r>
        <w:t xml:space="preserve"> </w:t>
      </w:r>
      <w:r w:rsidRPr="00CF47F3">
        <w:t>automatically</w:t>
      </w:r>
      <w:r>
        <w:t xml:space="preserve"> </w:t>
      </w:r>
      <w:r w:rsidRPr="00CF47F3">
        <w:t>be</w:t>
      </w:r>
      <w:r>
        <w:t xml:space="preserve"> </w:t>
      </w:r>
      <w:r w:rsidRPr="00CF47F3">
        <w:t>incorporated</w:t>
      </w:r>
      <w:r>
        <w:t xml:space="preserve"> </w:t>
      </w:r>
      <w:r w:rsidRPr="00CF47F3">
        <w:t>without</w:t>
      </w:r>
      <w:r>
        <w:t xml:space="preserve"> </w:t>
      </w:r>
      <w:r w:rsidRPr="00CF47F3">
        <w:t>imposing</w:t>
      </w:r>
      <w:r>
        <w:t xml:space="preserve"> </w:t>
      </w:r>
      <w:r w:rsidRPr="00CF47F3">
        <w:t>explicit</w:t>
      </w:r>
      <w:r>
        <w:t xml:space="preserve"> </w:t>
      </w:r>
      <w:r w:rsidRPr="00CF47F3">
        <w:t>constraints</w:t>
      </w:r>
      <w:r>
        <w:t xml:space="preserve"> </w:t>
      </w:r>
      <w:r w:rsidRPr="00CF47F3">
        <w:t>or</w:t>
      </w:r>
      <w:r>
        <w:t xml:space="preserve"> </w:t>
      </w:r>
      <w:r w:rsidRPr="00CF47F3">
        <w:t>directions</w:t>
      </w:r>
      <w:r>
        <w:t xml:space="preserve"> </w:t>
      </w:r>
      <w:r w:rsidRPr="00CF47F3">
        <w:t>for</w:t>
      </w:r>
      <w:r>
        <w:t xml:space="preserve"> </w:t>
      </w:r>
      <w:r w:rsidRPr="00CF47F3">
        <w:t>incumbents.</w:t>
      </w:r>
      <w:r>
        <w:t xml:space="preserve"> </w:t>
      </w:r>
    </w:p>
    <w:p w14:paraId="027BA11C" w14:textId="77777777" w:rsidR="00676882" w:rsidRDefault="00676882" w:rsidP="00676882">
      <w:pPr>
        <w:pStyle w:val="BodyText"/>
      </w:pPr>
      <w:r w:rsidRPr="006D4BC7">
        <w:rPr>
          <w:i/>
          <w:iCs/>
        </w:rPr>
        <w:t>PowerMark</w:t>
      </w:r>
      <w:r>
        <w:rPr>
          <w:i/>
          <w:iCs/>
        </w:rPr>
        <w:t xml:space="preserve"> </w:t>
      </w:r>
      <w:r w:rsidRPr="00CF47F3">
        <w:t>can</w:t>
      </w:r>
      <w:r>
        <w:t xml:space="preserve"> </w:t>
      </w:r>
      <w:r w:rsidRPr="00CF47F3">
        <w:t>be</w:t>
      </w:r>
      <w:r>
        <w:t xml:space="preserve"> </w:t>
      </w:r>
      <w:r w:rsidRPr="00CF47F3">
        <w:t>configured</w:t>
      </w:r>
      <w:r>
        <w:t xml:space="preserve"> </w:t>
      </w:r>
      <w:r w:rsidRPr="00CF47F3">
        <w:t>to</w:t>
      </w:r>
      <w:r>
        <w:t xml:space="preserve"> </w:t>
      </w:r>
      <w:r w:rsidRPr="00CF47F3">
        <w:t>run</w:t>
      </w:r>
      <w:r>
        <w:t xml:space="preserve"> </w:t>
      </w:r>
      <w:r w:rsidRPr="00CF47F3">
        <w:t>at</w:t>
      </w:r>
      <w:r>
        <w:t xml:space="preserve"> </w:t>
      </w:r>
      <w:r w:rsidRPr="00CF47F3">
        <w:t>varying</w:t>
      </w:r>
      <w:r>
        <w:t xml:space="preserve"> </w:t>
      </w:r>
      <w:r w:rsidRPr="00CF47F3">
        <w:t>time</w:t>
      </w:r>
      <w:r>
        <w:t xml:space="preserve"> </w:t>
      </w:r>
      <w:r w:rsidRPr="00CF47F3">
        <w:t>intervals</w:t>
      </w:r>
      <w:r>
        <w:t xml:space="preserve"> </w:t>
      </w:r>
      <w:r w:rsidRPr="00CF47F3">
        <w:t>— from</w:t>
      </w:r>
      <w:r>
        <w:t xml:space="preserve"> </w:t>
      </w:r>
      <w:r w:rsidRPr="00CF47F3">
        <w:t>5</w:t>
      </w:r>
      <w:r>
        <w:t xml:space="preserve"> </w:t>
      </w:r>
      <w:r w:rsidRPr="00CF47F3">
        <w:t>minutes</w:t>
      </w:r>
      <w:r>
        <w:t xml:space="preserve"> </w:t>
      </w:r>
      <w:r w:rsidRPr="00CF47F3">
        <w:t>(288</w:t>
      </w:r>
      <w:r>
        <w:t xml:space="preserve"> </w:t>
      </w:r>
      <w:r w:rsidRPr="00CF47F3">
        <w:t>period</w:t>
      </w:r>
      <w:r>
        <w:t xml:space="preserve"> </w:t>
      </w:r>
      <w:r w:rsidRPr="00CF47F3">
        <w:t>days) through</w:t>
      </w:r>
      <w:r>
        <w:t xml:space="preserve"> </w:t>
      </w:r>
      <w:r w:rsidRPr="00CF47F3">
        <w:t>to</w:t>
      </w:r>
      <w:r>
        <w:t xml:space="preserve"> </w:t>
      </w:r>
      <w:r w:rsidRPr="00CF47F3">
        <w:t>180</w:t>
      </w:r>
      <w:r>
        <w:t xml:space="preserve"> </w:t>
      </w:r>
      <w:r w:rsidRPr="00CF47F3">
        <w:t>minutes</w:t>
      </w:r>
      <w:r>
        <w:t xml:space="preserve"> </w:t>
      </w:r>
      <w:r w:rsidRPr="00CF47F3">
        <w:t>(8</w:t>
      </w:r>
      <w:r>
        <w:t xml:space="preserve"> </w:t>
      </w:r>
      <w:r w:rsidRPr="00CF47F3">
        <w:t>period</w:t>
      </w:r>
      <w:r>
        <w:t xml:space="preserve"> </w:t>
      </w:r>
      <w:r w:rsidRPr="00CF47F3">
        <w:t>days).</w:t>
      </w:r>
      <w:r>
        <w:t xml:space="preserve"> </w:t>
      </w:r>
      <w:r w:rsidRPr="00CF47F3">
        <w:t>Typically,</w:t>
      </w:r>
      <w:r>
        <w:t xml:space="preserve"> </w:t>
      </w:r>
      <w:r w:rsidRPr="00CF47F3">
        <w:t>the</w:t>
      </w:r>
      <w:r>
        <w:t xml:space="preserve"> </w:t>
      </w:r>
      <w:r w:rsidRPr="00CF47F3">
        <w:t>model</w:t>
      </w:r>
      <w:r>
        <w:t xml:space="preserve"> </w:t>
      </w:r>
      <w:r w:rsidRPr="00CF47F3">
        <w:t>is</w:t>
      </w:r>
      <w:r>
        <w:t xml:space="preserve"> </w:t>
      </w:r>
      <w:r w:rsidRPr="00CF47F3">
        <w:t>run</w:t>
      </w:r>
      <w:r>
        <w:t xml:space="preserve"> </w:t>
      </w:r>
      <w:r w:rsidRPr="00CF47F3">
        <w:t>hourly</w:t>
      </w:r>
      <w:r>
        <w:t xml:space="preserve"> </w:t>
      </w:r>
      <w:r w:rsidRPr="00CF47F3">
        <w:t>or</w:t>
      </w:r>
      <w:r>
        <w:t xml:space="preserve"> </w:t>
      </w:r>
      <w:r w:rsidRPr="00CF47F3">
        <w:t>half-hourly</w:t>
      </w:r>
      <w:r>
        <w:t xml:space="preserve"> </w:t>
      </w:r>
      <w:r w:rsidRPr="00CF47F3">
        <w:t>to</w:t>
      </w:r>
      <w:r>
        <w:t xml:space="preserve"> </w:t>
      </w:r>
      <w:r w:rsidRPr="00CF47F3">
        <w:t>meet</w:t>
      </w:r>
      <w:r>
        <w:t xml:space="preserve"> </w:t>
      </w:r>
      <w:r w:rsidRPr="00CF47F3">
        <w:t>client</w:t>
      </w:r>
      <w:r>
        <w:t xml:space="preserve"> </w:t>
      </w:r>
      <w:r w:rsidRPr="00CF47F3">
        <w:t>requirements</w:t>
      </w:r>
      <w:r>
        <w:t xml:space="preserve"> </w:t>
      </w:r>
      <w:r w:rsidRPr="00CF47F3">
        <w:t>and</w:t>
      </w:r>
      <w:r>
        <w:t xml:space="preserve"> </w:t>
      </w:r>
      <w:r w:rsidRPr="00CF47F3">
        <w:t>establish</w:t>
      </w:r>
      <w:r>
        <w:t xml:space="preserve"> </w:t>
      </w:r>
      <w:r w:rsidRPr="00CF47F3">
        <w:t>a</w:t>
      </w:r>
      <w:r>
        <w:t xml:space="preserve"> </w:t>
      </w:r>
      <w:r w:rsidRPr="00CF47F3">
        <w:t>reasonable</w:t>
      </w:r>
      <w:r>
        <w:t xml:space="preserve"> </w:t>
      </w:r>
      <w:r w:rsidRPr="00CF47F3">
        <w:t>price</w:t>
      </w:r>
      <w:r>
        <w:t xml:space="preserve"> </w:t>
      </w:r>
      <w:r w:rsidRPr="00CF47F3">
        <w:t>resolution.</w:t>
      </w:r>
    </w:p>
    <w:p w14:paraId="5BE0583B" w14:textId="77777777" w:rsidR="00676882" w:rsidRDefault="00676882" w:rsidP="00676882">
      <w:pPr>
        <w:pStyle w:val="Caption"/>
        <w:ind w:left="-851"/>
      </w:pPr>
      <w:bookmarkStart w:id="500" w:name="_Ref80715755"/>
      <w:bookmarkStart w:id="501" w:name="_Toc80719299"/>
      <w:r w:rsidRPr="006B0263">
        <w:rPr>
          <w:rStyle w:val="CaptionLabel"/>
        </w:rPr>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D</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1</w:t>
      </w:r>
      <w:r w:rsidRPr="006B0263">
        <w:rPr>
          <w:rStyle w:val="CaptionLabel"/>
        </w:rPr>
        <w:fldChar w:fldCharType="end"/>
      </w:r>
      <w:bookmarkEnd w:id="500"/>
      <w:r>
        <w:tab/>
        <w:t>PowerMark model structure</w:t>
      </w:r>
      <w:bookmarkEnd w:id="501"/>
    </w:p>
    <w:p w14:paraId="48A5BDF4" w14:textId="77777777" w:rsidR="00676882" w:rsidRDefault="00676882" w:rsidP="00676882">
      <w:pPr>
        <w:pStyle w:val="BodyText"/>
        <w:spacing w:before="0" w:after="0" w:line="0" w:lineRule="atLeast"/>
        <w:ind w:left="-2126"/>
      </w:pPr>
      <w:r>
        <w:rPr>
          <w:noProof/>
        </w:rPr>
        <w:drawing>
          <wp:inline distT="0" distB="0" distL="0" distR="0" wp14:anchorId="01A02A7C" wp14:editId="788A7C82">
            <wp:extent cx="6441469" cy="3476625"/>
            <wp:effectExtent l="0" t="0" r="0" b="0"/>
            <wp:docPr id="588" name="Picture 588" descr="This figure shows the PowerMark model structure, with a database of generators, a model of the transmission network, and a electricity demand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Picture 588" descr="This figure shows the PowerMark model structure, with a database of generators, a model of the transmission network, and a electricity demand model."/>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6444096" cy="3478043"/>
                    </a:xfrm>
                    <a:prstGeom prst="rect">
                      <a:avLst/>
                    </a:prstGeom>
                  </pic:spPr>
                </pic:pic>
              </a:graphicData>
            </a:graphic>
          </wp:inline>
        </w:drawing>
      </w:r>
    </w:p>
    <w:p w14:paraId="1975276A" w14:textId="77777777" w:rsidR="00676882" w:rsidRPr="00607B9A" w:rsidRDefault="00676882" w:rsidP="00676882">
      <w:pPr>
        <w:pStyle w:val="BodyText"/>
        <w:spacing w:before="0" w:after="0" w:line="0" w:lineRule="atLeast"/>
        <w:ind w:left="-2126"/>
        <w:rPr>
          <w:i/>
          <w:iCs/>
          <w:sz w:val="16"/>
          <w:szCs w:val="16"/>
        </w:rPr>
      </w:pPr>
      <w:r w:rsidRPr="00607B9A">
        <w:rPr>
          <w:i/>
          <w:iCs/>
          <w:sz w:val="16"/>
          <w:szCs w:val="16"/>
        </w:rPr>
        <w:t>Source: ACIL Allen</w:t>
      </w:r>
    </w:p>
    <w:p w14:paraId="3E75C4F5" w14:textId="77777777" w:rsidR="00676882" w:rsidRPr="00CF47F3" w:rsidRDefault="00676882" w:rsidP="00676882">
      <w:pPr>
        <w:pStyle w:val="Heading2AP"/>
      </w:pPr>
      <w:bookmarkStart w:id="502" w:name="_Toc4598823"/>
      <w:bookmarkStart w:id="503" w:name="_Toc16793125"/>
      <w:bookmarkStart w:id="504" w:name="_Toc48308837"/>
      <w:bookmarkStart w:id="505" w:name="_Toc51576998"/>
      <w:bookmarkStart w:id="506" w:name="_Toc51660280"/>
      <w:bookmarkStart w:id="507" w:name="_Toc66218737"/>
      <w:bookmarkStart w:id="508" w:name="_Toc67567302"/>
      <w:bookmarkStart w:id="509" w:name="_Toc76142289"/>
      <w:bookmarkStart w:id="510" w:name="_Toc76321955"/>
      <w:bookmarkStart w:id="511" w:name="_Toc77258070"/>
      <w:bookmarkStart w:id="512" w:name="_Toc80712628"/>
      <w:r w:rsidRPr="00CF47F3">
        <w:t>GasMark</w:t>
      </w:r>
      <w:bookmarkEnd w:id="502"/>
      <w:bookmarkEnd w:id="503"/>
      <w:bookmarkEnd w:id="504"/>
      <w:bookmarkEnd w:id="505"/>
      <w:bookmarkEnd w:id="506"/>
      <w:bookmarkEnd w:id="507"/>
      <w:bookmarkEnd w:id="508"/>
      <w:bookmarkEnd w:id="509"/>
      <w:bookmarkEnd w:id="510"/>
      <w:bookmarkEnd w:id="511"/>
      <w:bookmarkEnd w:id="512"/>
    </w:p>
    <w:p w14:paraId="4711AE5D" w14:textId="77777777" w:rsidR="00676882" w:rsidRPr="00CF47F3" w:rsidRDefault="00676882" w:rsidP="00676882">
      <w:pPr>
        <w:pStyle w:val="BodyText"/>
      </w:pPr>
      <w:r w:rsidRPr="00CF47F3">
        <w:rPr>
          <w:i/>
        </w:rPr>
        <w:t>GasMark</w:t>
      </w:r>
      <w:r>
        <w:rPr>
          <w:i/>
        </w:rPr>
        <w:t xml:space="preserve"> </w:t>
      </w:r>
      <w:r w:rsidRPr="00CF47F3">
        <w:rPr>
          <w:i/>
        </w:rPr>
        <w:t>Global</w:t>
      </w:r>
      <w:r>
        <w:rPr>
          <w:i/>
        </w:rPr>
        <w:t xml:space="preserve"> </w:t>
      </w:r>
      <w:r w:rsidRPr="00CF47F3">
        <w:t>(GMG) is</w:t>
      </w:r>
      <w:r>
        <w:t xml:space="preserve"> </w:t>
      </w:r>
      <w:r w:rsidRPr="00CF47F3">
        <w:t>a</w:t>
      </w:r>
      <w:r>
        <w:t xml:space="preserve"> </w:t>
      </w:r>
      <w:r w:rsidRPr="00CF47F3">
        <w:t>generic</w:t>
      </w:r>
      <w:r>
        <w:t xml:space="preserve"> </w:t>
      </w:r>
      <w:r w:rsidRPr="00CF47F3">
        <w:t>gas</w:t>
      </w:r>
      <w:r>
        <w:t xml:space="preserve"> </w:t>
      </w:r>
      <w:r w:rsidRPr="00CF47F3">
        <w:t>modelling</w:t>
      </w:r>
      <w:r>
        <w:t xml:space="preserve"> </w:t>
      </w:r>
      <w:r w:rsidRPr="00CF47F3">
        <w:t>platform</w:t>
      </w:r>
      <w:r>
        <w:t xml:space="preserve"> </w:t>
      </w:r>
      <w:r w:rsidRPr="00CF47F3">
        <w:t>developed</w:t>
      </w:r>
      <w:r>
        <w:t xml:space="preserve"> </w:t>
      </w:r>
      <w:r w:rsidRPr="00CF47F3">
        <w:t>by</w:t>
      </w:r>
      <w:r>
        <w:t xml:space="preserve"> </w:t>
      </w:r>
      <w:r w:rsidRPr="00CF47F3">
        <w:t>ACIL</w:t>
      </w:r>
      <w:r>
        <w:t xml:space="preserve"> </w:t>
      </w:r>
      <w:r w:rsidRPr="00CF47F3">
        <w:t>Allen.</w:t>
      </w:r>
      <w:r>
        <w:t xml:space="preserve"> </w:t>
      </w:r>
      <w:r w:rsidRPr="00CF47F3">
        <w:t>GMG</w:t>
      </w:r>
      <w:r>
        <w:t xml:space="preserve"> </w:t>
      </w:r>
      <w:r w:rsidRPr="00CF47F3">
        <w:t>has</w:t>
      </w:r>
      <w:r>
        <w:t xml:space="preserve"> </w:t>
      </w:r>
      <w:r w:rsidRPr="00CF47F3">
        <w:t>the</w:t>
      </w:r>
      <w:r>
        <w:t xml:space="preserve"> </w:t>
      </w:r>
      <w:r w:rsidRPr="00CF47F3">
        <w:t>flexibility</w:t>
      </w:r>
      <w:r>
        <w:t xml:space="preserve"> </w:t>
      </w:r>
      <w:r w:rsidRPr="00CF47F3">
        <w:t>to</w:t>
      </w:r>
      <w:r>
        <w:t xml:space="preserve"> </w:t>
      </w:r>
      <w:r w:rsidRPr="00CF47F3">
        <w:t>represent</w:t>
      </w:r>
      <w:r>
        <w:t xml:space="preserve"> </w:t>
      </w:r>
      <w:r w:rsidRPr="00CF47F3">
        <w:t>the</w:t>
      </w:r>
      <w:r>
        <w:t xml:space="preserve"> </w:t>
      </w:r>
      <w:r w:rsidRPr="00CF47F3">
        <w:t>unique</w:t>
      </w:r>
      <w:r>
        <w:t xml:space="preserve"> </w:t>
      </w:r>
      <w:r w:rsidRPr="00CF47F3">
        <w:t>characteristics</w:t>
      </w:r>
      <w:r>
        <w:t xml:space="preserve"> </w:t>
      </w:r>
      <w:r w:rsidRPr="00CF47F3">
        <w:t>of</w:t>
      </w:r>
      <w:r>
        <w:t xml:space="preserve"> </w:t>
      </w:r>
      <w:r w:rsidRPr="00CF47F3">
        <w:t>gas</w:t>
      </w:r>
      <w:r>
        <w:t xml:space="preserve"> </w:t>
      </w:r>
      <w:r w:rsidRPr="00CF47F3">
        <w:t>markets</w:t>
      </w:r>
      <w:r>
        <w:t xml:space="preserve"> </w:t>
      </w:r>
      <w:r w:rsidRPr="00CF47F3">
        <w:t>across</w:t>
      </w:r>
      <w:r>
        <w:t xml:space="preserve"> </w:t>
      </w:r>
      <w:r w:rsidRPr="00CF47F3">
        <w:t>the</w:t>
      </w:r>
      <w:r>
        <w:t xml:space="preserve"> </w:t>
      </w:r>
      <w:r w:rsidRPr="00CF47F3">
        <w:t>globe,</w:t>
      </w:r>
      <w:r>
        <w:t xml:space="preserve"> </w:t>
      </w:r>
      <w:r w:rsidRPr="00CF47F3">
        <w:t>including</w:t>
      </w:r>
      <w:r>
        <w:t xml:space="preserve"> </w:t>
      </w:r>
      <w:r w:rsidRPr="00CF47F3">
        <w:t>both</w:t>
      </w:r>
      <w:r>
        <w:t xml:space="preserve"> </w:t>
      </w:r>
      <w:r w:rsidRPr="00CF47F3">
        <w:t>pipeline</w:t>
      </w:r>
      <w:r>
        <w:t xml:space="preserve"> </w:t>
      </w:r>
      <w:r w:rsidRPr="00CF47F3">
        <w:t>gas</w:t>
      </w:r>
      <w:r>
        <w:t xml:space="preserve"> </w:t>
      </w:r>
      <w:r w:rsidRPr="00CF47F3">
        <w:t>and</w:t>
      </w:r>
      <w:r>
        <w:t xml:space="preserve"> </w:t>
      </w:r>
      <w:r w:rsidRPr="00CF47F3">
        <w:t>LNG.</w:t>
      </w:r>
      <w:r>
        <w:t xml:space="preserve"> </w:t>
      </w:r>
      <w:r w:rsidRPr="00CF47F3">
        <w:t>Its</w:t>
      </w:r>
      <w:r>
        <w:t xml:space="preserve"> </w:t>
      </w:r>
      <w:r w:rsidRPr="00CF47F3">
        <w:t>potential</w:t>
      </w:r>
      <w:r>
        <w:t xml:space="preserve"> </w:t>
      </w:r>
      <w:r w:rsidRPr="00CF47F3">
        <w:t>applications</w:t>
      </w:r>
      <w:r>
        <w:t xml:space="preserve"> </w:t>
      </w:r>
      <w:r w:rsidRPr="00CF47F3">
        <w:t>cover</w:t>
      </w:r>
      <w:r>
        <w:t xml:space="preserve"> </w:t>
      </w:r>
      <w:r w:rsidRPr="00CF47F3">
        <w:t>a</w:t>
      </w:r>
      <w:r>
        <w:t xml:space="preserve"> </w:t>
      </w:r>
      <w:r w:rsidRPr="00CF47F3">
        <w:t>broad</w:t>
      </w:r>
      <w:r>
        <w:t xml:space="preserve"> </w:t>
      </w:r>
      <w:r w:rsidRPr="00CF47F3">
        <w:t>scope</w:t>
      </w:r>
      <w:r>
        <w:t xml:space="preserve"> </w:t>
      </w:r>
      <w:r w:rsidRPr="00CF47F3">
        <w:t>— from</w:t>
      </w:r>
      <w:r>
        <w:t xml:space="preserve"> </w:t>
      </w:r>
      <w:r w:rsidRPr="00CF47F3">
        <w:t>global</w:t>
      </w:r>
      <w:r>
        <w:t xml:space="preserve"> </w:t>
      </w:r>
      <w:r w:rsidRPr="00CF47F3">
        <w:t>LNG</w:t>
      </w:r>
      <w:r>
        <w:t xml:space="preserve"> </w:t>
      </w:r>
      <w:r w:rsidRPr="00CF47F3">
        <w:t>trade,</w:t>
      </w:r>
      <w:r>
        <w:t xml:space="preserve"> </w:t>
      </w:r>
      <w:r w:rsidRPr="00CF47F3">
        <w:t>through</w:t>
      </w:r>
      <w:r>
        <w:t xml:space="preserve"> </w:t>
      </w:r>
      <w:r w:rsidRPr="00CF47F3">
        <w:t>to</w:t>
      </w:r>
      <w:r>
        <w:t xml:space="preserve"> </w:t>
      </w:r>
      <w:r w:rsidRPr="00CF47F3">
        <w:t>intra-country</w:t>
      </w:r>
      <w:r>
        <w:t xml:space="preserve"> </w:t>
      </w:r>
      <w:r w:rsidRPr="00CF47F3">
        <w:t>and</w:t>
      </w:r>
      <w:r>
        <w:t xml:space="preserve"> </w:t>
      </w:r>
      <w:r w:rsidRPr="00CF47F3">
        <w:t>regional</w:t>
      </w:r>
      <w:r>
        <w:t xml:space="preserve"> </w:t>
      </w:r>
      <w:r w:rsidRPr="00CF47F3">
        <w:t>market</w:t>
      </w:r>
      <w:r>
        <w:t xml:space="preserve"> </w:t>
      </w:r>
      <w:r w:rsidRPr="00CF47F3">
        <w:t>analysis.</w:t>
      </w:r>
      <w:r>
        <w:t xml:space="preserve"> </w:t>
      </w:r>
      <w:r w:rsidRPr="00CF47F3">
        <w:rPr>
          <w:i/>
        </w:rPr>
        <w:t>GasMark</w:t>
      </w:r>
      <w:r>
        <w:rPr>
          <w:i/>
        </w:rPr>
        <w:t xml:space="preserve"> </w:t>
      </w:r>
      <w:r w:rsidRPr="00CF47F3">
        <w:rPr>
          <w:i/>
        </w:rPr>
        <w:t>Global</w:t>
      </w:r>
      <w:r>
        <w:rPr>
          <w:i/>
        </w:rPr>
        <w:t xml:space="preserve"> </w:t>
      </w:r>
      <w:r w:rsidRPr="00CF47F3">
        <w:rPr>
          <w:i/>
        </w:rPr>
        <w:t>Australia</w:t>
      </w:r>
      <w:r>
        <w:rPr>
          <w:i/>
        </w:rPr>
        <w:t xml:space="preserve"> </w:t>
      </w:r>
      <w:r w:rsidRPr="00CF47F3">
        <w:t>(GMG</w:t>
      </w:r>
      <w:r>
        <w:t xml:space="preserve"> </w:t>
      </w:r>
      <w:r w:rsidRPr="00CF47F3">
        <w:t>Australia,</w:t>
      </w:r>
      <w:r>
        <w:t xml:space="preserve"> </w:t>
      </w:r>
      <w:r w:rsidRPr="00CF47F3">
        <w:t>or</w:t>
      </w:r>
      <w:r>
        <w:t xml:space="preserve"> </w:t>
      </w:r>
      <w:r w:rsidRPr="00CF47F3">
        <w:rPr>
          <w:i/>
        </w:rPr>
        <w:t>GasMark</w:t>
      </w:r>
      <w:r w:rsidRPr="00CF47F3">
        <w:t>) is</w:t>
      </w:r>
      <w:r>
        <w:t xml:space="preserve"> </w:t>
      </w:r>
      <w:r w:rsidRPr="00CF47F3">
        <w:t>an</w:t>
      </w:r>
      <w:r>
        <w:t xml:space="preserve"> </w:t>
      </w:r>
      <w:r w:rsidRPr="00CF47F3">
        <w:t>Australian</w:t>
      </w:r>
      <w:r>
        <w:t xml:space="preserve"> </w:t>
      </w:r>
      <w:r w:rsidRPr="00CF47F3">
        <w:t>version</w:t>
      </w:r>
      <w:r>
        <w:t xml:space="preserve"> </w:t>
      </w:r>
      <w:r w:rsidRPr="00CF47F3">
        <w:t>of</w:t>
      </w:r>
      <w:r>
        <w:t xml:space="preserve"> </w:t>
      </w:r>
      <w:r w:rsidRPr="00CF47F3">
        <w:t>the</w:t>
      </w:r>
      <w:r>
        <w:t xml:space="preserve"> </w:t>
      </w:r>
      <w:r w:rsidRPr="00CF47F3">
        <w:t>model</w:t>
      </w:r>
      <w:r>
        <w:t xml:space="preserve"> </w:t>
      </w:r>
      <w:r w:rsidRPr="00CF47F3">
        <w:t>which</w:t>
      </w:r>
      <w:r>
        <w:t xml:space="preserve"> </w:t>
      </w:r>
      <w:r w:rsidRPr="00CF47F3">
        <w:t>focuses</w:t>
      </w:r>
      <w:r>
        <w:t xml:space="preserve"> </w:t>
      </w:r>
      <w:r w:rsidRPr="00CF47F3">
        <w:t>specifically</w:t>
      </w:r>
      <w:r>
        <w:t xml:space="preserve"> </w:t>
      </w:r>
      <w:r w:rsidRPr="00CF47F3">
        <w:t>on</w:t>
      </w:r>
      <w:r>
        <w:t xml:space="preserve"> </w:t>
      </w:r>
      <w:r w:rsidRPr="00CF47F3">
        <w:t>the</w:t>
      </w:r>
      <w:r>
        <w:t xml:space="preserve"> </w:t>
      </w:r>
      <w:r w:rsidRPr="00CF47F3">
        <w:t>Australian</w:t>
      </w:r>
      <w:r>
        <w:t xml:space="preserve"> </w:t>
      </w:r>
      <w:r w:rsidRPr="00CF47F3">
        <w:t>market</w:t>
      </w:r>
      <w:r>
        <w:t xml:space="preserve"> </w:t>
      </w:r>
      <w:r w:rsidRPr="00CF47F3">
        <w:t>(including</w:t>
      </w:r>
      <w:r>
        <w:t xml:space="preserve"> </w:t>
      </w:r>
      <w:r w:rsidRPr="00CF47F3">
        <w:t>both</w:t>
      </w:r>
      <w:r>
        <w:t xml:space="preserve"> </w:t>
      </w:r>
      <w:r w:rsidRPr="00CF47F3">
        <w:t>Eastern</w:t>
      </w:r>
      <w:r>
        <w:t xml:space="preserve"> </w:t>
      </w:r>
      <w:r w:rsidRPr="00CF47F3">
        <w:t>Australia</w:t>
      </w:r>
      <w:r>
        <w:t xml:space="preserve"> </w:t>
      </w:r>
      <w:r w:rsidRPr="00CF47F3">
        <w:t>and</w:t>
      </w:r>
      <w:r>
        <w:t xml:space="preserve"> </w:t>
      </w:r>
      <w:r w:rsidRPr="00CF47F3">
        <w:t>Western</w:t>
      </w:r>
      <w:r>
        <w:t xml:space="preserve"> </w:t>
      </w:r>
      <w:r w:rsidRPr="00CF47F3">
        <w:t>Australia),</w:t>
      </w:r>
      <w:r>
        <w:t xml:space="preserve"> </w:t>
      </w:r>
      <w:r w:rsidRPr="00CF47F3">
        <w:t>but</w:t>
      </w:r>
      <w:r>
        <w:t xml:space="preserve"> </w:t>
      </w:r>
      <w:r w:rsidRPr="00CF47F3">
        <w:t>which</w:t>
      </w:r>
      <w:r>
        <w:t xml:space="preserve"> </w:t>
      </w:r>
      <w:r w:rsidRPr="00CF47F3">
        <w:t>has</w:t>
      </w:r>
      <w:r>
        <w:t xml:space="preserve"> </w:t>
      </w:r>
      <w:r w:rsidRPr="00CF47F3">
        <w:t>the</w:t>
      </w:r>
      <w:r>
        <w:t xml:space="preserve"> </w:t>
      </w:r>
      <w:r w:rsidRPr="00CF47F3">
        <w:t>capacity</w:t>
      </w:r>
      <w:r>
        <w:t xml:space="preserve"> </w:t>
      </w:r>
      <w:r w:rsidRPr="00CF47F3">
        <w:t>to</w:t>
      </w:r>
      <w:r>
        <w:t xml:space="preserve"> </w:t>
      </w:r>
      <w:r w:rsidRPr="00CF47F3">
        <w:t>interface</w:t>
      </w:r>
      <w:r>
        <w:t xml:space="preserve"> </w:t>
      </w:r>
      <w:r w:rsidRPr="00CF47F3">
        <w:t>with</w:t>
      </w:r>
      <w:r>
        <w:t xml:space="preserve"> </w:t>
      </w:r>
      <w:r w:rsidRPr="00CF47F3">
        <w:t>international</w:t>
      </w:r>
      <w:r>
        <w:t xml:space="preserve"> </w:t>
      </w:r>
      <w:r w:rsidRPr="00CF47F3">
        <w:t>LNG</w:t>
      </w:r>
      <w:r>
        <w:t xml:space="preserve"> </w:t>
      </w:r>
      <w:r w:rsidRPr="00CF47F3">
        <w:t>markets.</w:t>
      </w:r>
    </w:p>
    <w:p w14:paraId="0C5B0AF1" w14:textId="77777777" w:rsidR="00676882" w:rsidRPr="00CF47F3" w:rsidRDefault="00676882" w:rsidP="00676882">
      <w:pPr>
        <w:pStyle w:val="BodyText"/>
      </w:pPr>
      <w:r w:rsidRPr="00CF47F3">
        <w:lastRenderedPageBreak/>
        <w:t>The</w:t>
      </w:r>
      <w:r>
        <w:t xml:space="preserve"> </w:t>
      </w:r>
      <w:r w:rsidRPr="00CF47F3">
        <w:t>model</w:t>
      </w:r>
      <w:r>
        <w:t xml:space="preserve"> </w:t>
      </w:r>
      <w:r w:rsidRPr="00CF47F3">
        <w:t>can</w:t>
      </w:r>
      <w:r>
        <w:t xml:space="preserve"> </w:t>
      </w:r>
      <w:r w:rsidRPr="00CF47F3">
        <w:t>be</w:t>
      </w:r>
      <w:r>
        <w:t xml:space="preserve"> </w:t>
      </w:r>
      <w:r w:rsidRPr="00CF47F3">
        <w:t>specified</w:t>
      </w:r>
      <w:r>
        <w:t xml:space="preserve"> </w:t>
      </w:r>
      <w:r w:rsidRPr="00CF47F3">
        <w:t>to</w:t>
      </w:r>
      <w:r>
        <w:t xml:space="preserve"> </w:t>
      </w:r>
      <w:r w:rsidRPr="00CF47F3">
        <w:t>run</w:t>
      </w:r>
      <w:r>
        <w:t xml:space="preserve"> </w:t>
      </w:r>
      <w:r w:rsidRPr="00CF47F3">
        <w:t>at</w:t>
      </w:r>
      <w:r>
        <w:t xml:space="preserve"> </w:t>
      </w:r>
      <w:r w:rsidRPr="00CF47F3">
        <w:t>daily,</w:t>
      </w:r>
      <w:r>
        <w:t xml:space="preserve"> </w:t>
      </w:r>
      <w:r w:rsidRPr="00CF47F3">
        <w:t>monthly,</w:t>
      </w:r>
      <w:r>
        <w:t xml:space="preserve"> </w:t>
      </w:r>
      <w:r w:rsidRPr="00CF47F3">
        <w:t>quarterly</w:t>
      </w:r>
      <w:r>
        <w:t xml:space="preserve"> </w:t>
      </w:r>
      <w:r w:rsidRPr="00CF47F3">
        <w:t>or</w:t>
      </w:r>
      <w:r>
        <w:t xml:space="preserve"> </w:t>
      </w:r>
      <w:r w:rsidRPr="00CF47F3">
        <w:t>annual</w:t>
      </w:r>
      <w:r>
        <w:t xml:space="preserve"> </w:t>
      </w:r>
      <w:r w:rsidRPr="00CF47F3">
        <w:t>resolution</w:t>
      </w:r>
      <w:r>
        <w:t xml:space="preserve"> </w:t>
      </w:r>
      <w:r w:rsidRPr="00CF47F3">
        <w:t>over</w:t>
      </w:r>
      <w:r>
        <w:t xml:space="preserve"> </w:t>
      </w:r>
      <w:r w:rsidRPr="00CF47F3">
        <w:t>periods</w:t>
      </w:r>
      <w:r>
        <w:t xml:space="preserve"> </w:t>
      </w:r>
      <w:r w:rsidRPr="00CF47F3">
        <w:t>up</w:t>
      </w:r>
      <w:r>
        <w:t xml:space="preserve"> </w:t>
      </w:r>
      <w:r w:rsidRPr="00CF47F3">
        <w:t>to</w:t>
      </w:r>
      <w:r>
        <w:t xml:space="preserve"> </w:t>
      </w:r>
      <w:r w:rsidRPr="00CF47F3">
        <w:t>30</w:t>
      </w:r>
      <w:r>
        <w:t xml:space="preserve"> </w:t>
      </w:r>
      <w:r w:rsidRPr="00CF47F3">
        <w:t>years.</w:t>
      </w:r>
    </w:p>
    <w:p w14:paraId="1BBF7B45" w14:textId="77777777" w:rsidR="00676882" w:rsidRPr="00CF47F3" w:rsidRDefault="00676882" w:rsidP="00676882">
      <w:pPr>
        <w:pStyle w:val="Heading3AP"/>
      </w:pPr>
      <w:bookmarkStart w:id="513" w:name="_Toc473624802"/>
      <w:bookmarkStart w:id="514" w:name="_Toc473903494"/>
      <w:bookmarkStart w:id="515" w:name="_Toc475465026"/>
      <w:bookmarkStart w:id="516" w:name="_Toc536180539"/>
      <w:r w:rsidRPr="00CF47F3">
        <w:t>Settlement</w:t>
      </w:r>
      <w:bookmarkEnd w:id="513"/>
      <w:bookmarkEnd w:id="514"/>
      <w:bookmarkEnd w:id="515"/>
      <w:bookmarkEnd w:id="516"/>
    </w:p>
    <w:p w14:paraId="1BE8D6FE" w14:textId="77777777" w:rsidR="00676882" w:rsidRPr="00CF47F3" w:rsidRDefault="00676882" w:rsidP="00676882">
      <w:pPr>
        <w:pStyle w:val="BodyText"/>
      </w:pPr>
      <w:r w:rsidRPr="00CF47F3">
        <w:t>At</w:t>
      </w:r>
      <w:r>
        <w:t xml:space="preserve"> </w:t>
      </w:r>
      <w:r w:rsidRPr="00CF47F3">
        <w:t>its</w:t>
      </w:r>
      <w:r>
        <w:t xml:space="preserve"> </w:t>
      </w:r>
      <w:r w:rsidRPr="00CF47F3">
        <w:t>core,</w:t>
      </w:r>
      <w:r>
        <w:t xml:space="preserve"> </w:t>
      </w:r>
      <w:r w:rsidRPr="00CF47F3">
        <w:rPr>
          <w:i/>
        </w:rPr>
        <w:t>GasMark</w:t>
      </w:r>
      <w:r>
        <w:rPr>
          <w:i/>
        </w:rPr>
        <w:t xml:space="preserve"> </w:t>
      </w:r>
      <w:r w:rsidRPr="00CF47F3">
        <w:t>is</w:t>
      </w:r>
      <w:r>
        <w:t xml:space="preserve"> </w:t>
      </w:r>
      <w:r w:rsidRPr="00CF47F3">
        <w:t>a</w:t>
      </w:r>
      <w:r>
        <w:t xml:space="preserve"> </w:t>
      </w:r>
      <w:r w:rsidRPr="00CF47F3">
        <w:t>partial</w:t>
      </w:r>
      <w:r>
        <w:t xml:space="preserve"> </w:t>
      </w:r>
      <w:r w:rsidRPr="00CF47F3">
        <w:t>spatial</w:t>
      </w:r>
      <w:r>
        <w:t xml:space="preserve"> </w:t>
      </w:r>
      <w:r w:rsidRPr="00CF47F3">
        <w:t>equilibrium</w:t>
      </w:r>
      <w:r>
        <w:t xml:space="preserve"> </w:t>
      </w:r>
      <w:r w:rsidRPr="00CF47F3">
        <w:t>model.</w:t>
      </w:r>
      <w:r>
        <w:t xml:space="preserve"> </w:t>
      </w:r>
      <w:r w:rsidRPr="00CF47F3">
        <w:t>The</w:t>
      </w:r>
      <w:r>
        <w:t xml:space="preserve"> </w:t>
      </w:r>
      <w:r w:rsidRPr="00CF47F3">
        <w:t>market</w:t>
      </w:r>
      <w:r>
        <w:t xml:space="preserve"> </w:t>
      </w:r>
      <w:r w:rsidRPr="00CF47F3">
        <w:t>is</w:t>
      </w:r>
      <w:r>
        <w:t xml:space="preserve"> </w:t>
      </w:r>
      <w:r w:rsidRPr="00CF47F3">
        <w:t>represented</w:t>
      </w:r>
      <w:r>
        <w:t xml:space="preserve"> </w:t>
      </w:r>
      <w:r w:rsidRPr="00CF47F3">
        <w:t>by</w:t>
      </w:r>
      <w:r>
        <w:t xml:space="preserve"> </w:t>
      </w:r>
      <w:r w:rsidRPr="00CF47F3">
        <w:t>a</w:t>
      </w:r>
      <w:r>
        <w:t xml:space="preserve"> </w:t>
      </w:r>
      <w:r w:rsidRPr="00CF47F3">
        <w:t>collection</w:t>
      </w:r>
      <w:r>
        <w:t xml:space="preserve"> </w:t>
      </w:r>
      <w:r w:rsidRPr="00CF47F3">
        <w:t>of</w:t>
      </w:r>
      <w:r>
        <w:t xml:space="preserve"> </w:t>
      </w:r>
      <w:r w:rsidRPr="00CF47F3">
        <w:t>spatially</w:t>
      </w:r>
      <w:r>
        <w:t xml:space="preserve"> </w:t>
      </w:r>
      <w:r w:rsidRPr="00CF47F3">
        <w:t>related</w:t>
      </w:r>
      <w:r>
        <w:t xml:space="preserve"> </w:t>
      </w:r>
      <w:r w:rsidRPr="00CF47F3">
        <w:t>nodal</w:t>
      </w:r>
      <w:r>
        <w:t xml:space="preserve"> </w:t>
      </w:r>
      <w:r w:rsidRPr="00CF47F3">
        <w:t>objects</w:t>
      </w:r>
      <w:r>
        <w:t xml:space="preserve"> </w:t>
      </w:r>
      <w:r w:rsidRPr="00CF47F3">
        <w:t>(supply</w:t>
      </w:r>
      <w:r>
        <w:t xml:space="preserve"> </w:t>
      </w:r>
      <w:r w:rsidRPr="00CF47F3">
        <w:t>sources,</w:t>
      </w:r>
      <w:r>
        <w:t xml:space="preserve"> </w:t>
      </w:r>
      <w:r w:rsidRPr="00CF47F3">
        <w:t>demand</w:t>
      </w:r>
      <w:r>
        <w:t xml:space="preserve"> </w:t>
      </w:r>
      <w:r w:rsidRPr="00CF47F3">
        <w:t>points,</w:t>
      </w:r>
      <w:r>
        <w:t xml:space="preserve"> </w:t>
      </w:r>
      <w:r w:rsidRPr="00CF47F3">
        <w:t>LNG</w:t>
      </w:r>
      <w:r>
        <w:t xml:space="preserve"> </w:t>
      </w:r>
      <w:r w:rsidRPr="00CF47F3">
        <w:t>liquefaction</w:t>
      </w:r>
      <w:r>
        <w:t xml:space="preserve"> </w:t>
      </w:r>
      <w:r w:rsidRPr="00CF47F3">
        <w:t>and</w:t>
      </w:r>
      <w:r>
        <w:t xml:space="preserve"> </w:t>
      </w:r>
      <w:r w:rsidRPr="00CF47F3">
        <w:t>receiving</w:t>
      </w:r>
      <w:r>
        <w:t xml:space="preserve"> </w:t>
      </w:r>
      <w:r w:rsidRPr="00CF47F3">
        <w:t>facilities),</w:t>
      </w:r>
      <w:r>
        <w:t xml:space="preserve"> </w:t>
      </w:r>
      <w:r w:rsidRPr="00CF47F3">
        <w:t>connected</w:t>
      </w:r>
      <w:r>
        <w:t xml:space="preserve"> </w:t>
      </w:r>
      <w:r w:rsidRPr="00CF47F3">
        <w:t>via</w:t>
      </w:r>
      <w:r>
        <w:t xml:space="preserve"> </w:t>
      </w:r>
      <w:r w:rsidRPr="00CF47F3">
        <w:t>a</w:t>
      </w:r>
      <w:r>
        <w:t xml:space="preserve"> </w:t>
      </w:r>
      <w:r w:rsidRPr="00CF47F3">
        <w:t>network</w:t>
      </w:r>
      <w:r>
        <w:t xml:space="preserve"> </w:t>
      </w:r>
      <w:r w:rsidRPr="00CF47F3">
        <w:t>of</w:t>
      </w:r>
      <w:r>
        <w:t xml:space="preserve"> </w:t>
      </w:r>
      <w:r w:rsidRPr="00CF47F3">
        <w:t>pipeline</w:t>
      </w:r>
      <w:r>
        <w:t xml:space="preserve"> </w:t>
      </w:r>
      <w:r w:rsidRPr="00CF47F3">
        <w:t>or</w:t>
      </w:r>
      <w:r>
        <w:t xml:space="preserve"> </w:t>
      </w:r>
      <w:r w:rsidRPr="00CF47F3">
        <w:t>LNG</w:t>
      </w:r>
      <w:r>
        <w:t xml:space="preserve"> </w:t>
      </w:r>
      <w:r w:rsidRPr="00CF47F3">
        <w:t>shipping</w:t>
      </w:r>
      <w:r>
        <w:t xml:space="preserve"> </w:t>
      </w:r>
      <w:r w:rsidRPr="00CF47F3">
        <w:t>elements</w:t>
      </w:r>
      <w:r>
        <w:t xml:space="preserve"> </w:t>
      </w:r>
      <w:r w:rsidRPr="00CF47F3">
        <w:t>(in</w:t>
      </w:r>
      <w:r>
        <w:t xml:space="preserve"> </w:t>
      </w:r>
      <w:r w:rsidRPr="00CF47F3">
        <w:t>a</w:t>
      </w:r>
      <w:r>
        <w:t xml:space="preserve"> </w:t>
      </w:r>
      <w:r w:rsidRPr="00CF47F3">
        <w:t>similar</w:t>
      </w:r>
      <w:r>
        <w:t xml:space="preserve"> </w:t>
      </w:r>
      <w:r w:rsidRPr="00CF47F3">
        <w:t>fashion</w:t>
      </w:r>
      <w:r>
        <w:t xml:space="preserve"> </w:t>
      </w:r>
      <w:r w:rsidRPr="00CF47F3">
        <w:t>to</w:t>
      </w:r>
      <w:r>
        <w:t xml:space="preserve"> </w:t>
      </w:r>
      <w:r w:rsidRPr="00CF47F3">
        <w:t>‘arks’ within</w:t>
      </w:r>
      <w:r>
        <w:t xml:space="preserve"> </w:t>
      </w:r>
      <w:r w:rsidRPr="00CF47F3">
        <w:t>a</w:t>
      </w:r>
      <w:r>
        <w:t xml:space="preserve"> </w:t>
      </w:r>
      <w:r w:rsidRPr="00CF47F3">
        <w:t>network</w:t>
      </w:r>
      <w:r>
        <w:t xml:space="preserve"> </w:t>
      </w:r>
      <w:r w:rsidRPr="00CF47F3">
        <w:t>model).</w:t>
      </w:r>
    </w:p>
    <w:p w14:paraId="4E8C8858" w14:textId="77777777" w:rsidR="00676882" w:rsidRPr="00CF47F3" w:rsidRDefault="00676882" w:rsidP="00676882">
      <w:pPr>
        <w:pStyle w:val="BodyText"/>
      </w:pPr>
      <w:r w:rsidRPr="00CF47F3">
        <w:t>The</w:t>
      </w:r>
      <w:r>
        <w:t xml:space="preserve"> </w:t>
      </w:r>
      <w:r w:rsidRPr="00CF47F3">
        <w:t>equilibrium</w:t>
      </w:r>
      <w:r>
        <w:t xml:space="preserve"> </w:t>
      </w:r>
      <w:r w:rsidRPr="00CF47F3">
        <w:t>solution</w:t>
      </w:r>
      <w:r>
        <w:t xml:space="preserve"> </w:t>
      </w:r>
      <w:r w:rsidRPr="00CF47F3">
        <w:t>of</w:t>
      </w:r>
      <w:r>
        <w:t xml:space="preserve"> </w:t>
      </w:r>
      <w:r w:rsidRPr="00CF47F3">
        <w:t>the</w:t>
      </w:r>
      <w:r>
        <w:t xml:space="preserve"> </w:t>
      </w:r>
      <w:r w:rsidRPr="00CF47F3">
        <w:t>model</w:t>
      </w:r>
      <w:r>
        <w:t xml:space="preserve"> </w:t>
      </w:r>
      <w:r w:rsidRPr="00CF47F3">
        <w:t>is</w:t>
      </w:r>
      <w:r>
        <w:t xml:space="preserve"> </w:t>
      </w:r>
      <w:r w:rsidRPr="00CF47F3">
        <w:t>found</w:t>
      </w:r>
      <w:r>
        <w:t xml:space="preserve"> </w:t>
      </w:r>
      <w:r w:rsidRPr="00CF47F3">
        <w:t>through</w:t>
      </w:r>
      <w:r>
        <w:t xml:space="preserve"> </w:t>
      </w:r>
      <w:r w:rsidRPr="00CF47F3">
        <w:t>application</w:t>
      </w:r>
      <w:r>
        <w:t xml:space="preserve"> </w:t>
      </w:r>
      <w:r w:rsidRPr="00CF47F3">
        <w:t>of</w:t>
      </w:r>
      <w:r>
        <w:t xml:space="preserve"> </w:t>
      </w:r>
      <w:r w:rsidRPr="00CF47F3">
        <w:t>linear</w:t>
      </w:r>
      <w:r>
        <w:t xml:space="preserve"> </w:t>
      </w:r>
      <w:r w:rsidRPr="00CF47F3">
        <w:t>programming</w:t>
      </w:r>
      <w:r>
        <w:t xml:space="preserve"> </w:t>
      </w:r>
      <w:r w:rsidRPr="00CF47F3">
        <w:t>techniques</w:t>
      </w:r>
      <w:r>
        <w:t xml:space="preserve"> </w:t>
      </w:r>
      <w:r w:rsidRPr="00CF47F3">
        <w:t>which</w:t>
      </w:r>
      <w:r>
        <w:t xml:space="preserve"> </w:t>
      </w:r>
      <w:r w:rsidRPr="00CF47F3">
        <w:t>seek</w:t>
      </w:r>
      <w:r>
        <w:t xml:space="preserve"> </w:t>
      </w:r>
      <w:r w:rsidRPr="00CF47F3">
        <w:t>to</w:t>
      </w:r>
      <w:r>
        <w:t xml:space="preserve"> </w:t>
      </w:r>
      <w:r w:rsidRPr="00CF47F3">
        <w:t>maximise</w:t>
      </w:r>
      <w:r>
        <w:t xml:space="preserve"> </w:t>
      </w:r>
      <w:r w:rsidRPr="00CF47F3">
        <w:t>the</w:t>
      </w:r>
      <w:r>
        <w:t xml:space="preserve"> </w:t>
      </w:r>
      <w:r w:rsidRPr="00CF47F3">
        <w:t>sum</w:t>
      </w:r>
      <w:r>
        <w:t xml:space="preserve"> </w:t>
      </w:r>
      <w:r w:rsidRPr="00CF47F3">
        <w:t>of</w:t>
      </w:r>
      <w:r>
        <w:t xml:space="preserve"> </w:t>
      </w:r>
      <w:r w:rsidRPr="00CF47F3">
        <w:t>producer</w:t>
      </w:r>
      <w:r>
        <w:t xml:space="preserve"> </w:t>
      </w:r>
      <w:r w:rsidRPr="00CF47F3">
        <w:t>and</w:t>
      </w:r>
      <w:r>
        <w:t xml:space="preserve"> </w:t>
      </w:r>
      <w:r w:rsidRPr="00CF47F3">
        <w:t>consumer</w:t>
      </w:r>
      <w:r>
        <w:t xml:space="preserve"> </w:t>
      </w:r>
      <w:r w:rsidRPr="00CF47F3">
        <w:t>surplus</w:t>
      </w:r>
      <w:r>
        <w:t xml:space="preserve"> </w:t>
      </w:r>
      <w:r w:rsidRPr="00CF47F3">
        <w:t>across</w:t>
      </w:r>
      <w:r>
        <w:t xml:space="preserve"> </w:t>
      </w:r>
      <w:r w:rsidRPr="00CF47F3">
        <w:t>the</w:t>
      </w:r>
      <w:r>
        <w:t xml:space="preserve"> </w:t>
      </w:r>
      <w:r w:rsidRPr="00CF47F3">
        <w:t>entire</w:t>
      </w:r>
      <w:r>
        <w:t xml:space="preserve"> </w:t>
      </w:r>
      <w:r w:rsidRPr="00CF47F3">
        <w:t>market</w:t>
      </w:r>
      <w:r>
        <w:t xml:space="preserve"> </w:t>
      </w:r>
      <w:r w:rsidRPr="00CF47F3">
        <w:t>simultaneously.</w:t>
      </w:r>
      <w:r>
        <w:t xml:space="preserve"> </w:t>
      </w:r>
      <w:r w:rsidRPr="00CF47F3">
        <w:t>The</w:t>
      </w:r>
      <w:r>
        <w:t xml:space="preserve"> </w:t>
      </w:r>
      <w:r w:rsidRPr="00CF47F3">
        <w:t>objective</w:t>
      </w:r>
      <w:r>
        <w:t xml:space="preserve"> </w:t>
      </w:r>
      <w:r w:rsidRPr="00CF47F3">
        <w:t>function</w:t>
      </w:r>
      <w:r>
        <w:t xml:space="preserve"> </w:t>
      </w:r>
      <w:r w:rsidRPr="00CF47F3">
        <w:t>of</w:t>
      </w:r>
      <w:r>
        <w:t xml:space="preserve"> </w:t>
      </w:r>
      <w:r w:rsidRPr="00CF47F3">
        <w:t>this</w:t>
      </w:r>
      <w:r>
        <w:t xml:space="preserve"> </w:t>
      </w:r>
      <w:r w:rsidRPr="00CF47F3">
        <w:t>solution,</w:t>
      </w:r>
      <w:r>
        <w:t xml:space="preserve"> </w:t>
      </w:r>
      <w:r w:rsidRPr="00CF47F3">
        <w:t>which</w:t>
      </w:r>
      <w:r>
        <w:t xml:space="preserve"> </w:t>
      </w:r>
      <w:r w:rsidRPr="00CF47F3">
        <w:t>is</w:t>
      </w:r>
      <w:r>
        <w:t xml:space="preserve"> </w:t>
      </w:r>
      <w:r w:rsidRPr="00CF47F3">
        <w:t>well</w:t>
      </w:r>
      <w:r>
        <w:t xml:space="preserve"> </w:t>
      </w:r>
      <w:r w:rsidRPr="00CF47F3">
        <w:t>established</w:t>
      </w:r>
      <w:r>
        <w:t xml:space="preserve"> </w:t>
      </w:r>
      <w:r w:rsidRPr="00CF47F3">
        <w:t>in</w:t>
      </w:r>
      <w:r>
        <w:t xml:space="preserve"> </w:t>
      </w:r>
      <w:r w:rsidRPr="00CF47F3">
        <w:t>economic</w:t>
      </w:r>
      <w:r>
        <w:t xml:space="preserve"> </w:t>
      </w:r>
      <w:r w:rsidRPr="00CF47F3">
        <w:t>theory</w:t>
      </w:r>
      <w:r w:rsidRPr="00CF47F3">
        <w:rPr>
          <w:rStyle w:val="FootnoteReference"/>
        </w:rPr>
        <w:footnoteReference w:id="30"/>
      </w:r>
      <w:r w:rsidRPr="00CF47F3">
        <w:t>,</w:t>
      </w:r>
      <w:r>
        <w:t xml:space="preserve"> </w:t>
      </w:r>
      <w:r w:rsidRPr="00CF47F3">
        <w:t>consists</w:t>
      </w:r>
      <w:r>
        <w:t xml:space="preserve"> </w:t>
      </w:r>
      <w:r w:rsidRPr="00CF47F3">
        <w:t>of</w:t>
      </w:r>
      <w:r>
        <w:t xml:space="preserve"> </w:t>
      </w:r>
      <w:r w:rsidRPr="00CF47F3">
        <w:t>three</w:t>
      </w:r>
      <w:r>
        <w:t xml:space="preserve"> </w:t>
      </w:r>
      <w:r w:rsidRPr="00CF47F3">
        <w:t>terms:</w:t>
      </w:r>
    </w:p>
    <w:p w14:paraId="0057690C" w14:textId="77777777" w:rsidR="00676882" w:rsidRPr="00CF47F3" w:rsidRDefault="00676882" w:rsidP="00676882">
      <w:pPr>
        <w:pStyle w:val="ListBullet"/>
      </w:pPr>
      <w:r w:rsidRPr="00CF47F3">
        <w:t>the</w:t>
      </w:r>
      <w:r>
        <w:t xml:space="preserve"> </w:t>
      </w:r>
      <w:r w:rsidRPr="00CF47F3">
        <w:t>integral</w:t>
      </w:r>
      <w:r>
        <w:t xml:space="preserve"> </w:t>
      </w:r>
      <w:r w:rsidRPr="00CF47F3">
        <w:t>of</w:t>
      </w:r>
      <w:r>
        <w:t xml:space="preserve"> </w:t>
      </w:r>
      <w:r w:rsidRPr="00CF47F3">
        <w:t>the</w:t>
      </w:r>
      <w:r>
        <w:t xml:space="preserve"> </w:t>
      </w:r>
      <w:r w:rsidRPr="00CF47F3">
        <w:t>demand</w:t>
      </w:r>
      <w:r>
        <w:t xml:space="preserve"> </w:t>
      </w:r>
      <w:r w:rsidRPr="00CF47F3">
        <w:t>price</w:t>
      </w:r>
      <w:r>
        <w:t xml:space="preserve"> </w:t>
      </w:r>
      <w:r w:rsidRPr="00CF47F3">
        <w:t>function</w:t>
      </w:r>
      <w:r>
        <w:t xml:space="preserve"> </w:t>
      </w:r>
      <w:r w:rsidRPr="00CF47F3">
        <w:t>over</w:t>
      </w:r>
      <w:r>
        <w:t xml:space="preserve"> </w:t>
      </w:r>
      <w:r w:rsidRPr="00CF47F3">
        <w:t>demand; minus</w:t>
      </w:r>
    </w:p>
    <w:p w14:paraId="34659301" w14:textId="77777777" w:rsidR="00676882" w:rsidRPr="00CF47F3" w:rsidRDefault="00676882" w:rsidP="00676882">
      <w:pPr>
        <w:pStyle w:val="ListBullet"/>
      </w:pPr>
      <w:r w:rsidRPr="00CF47F3">
        <w:t>the</w:t>
      </w:r>
      <w:r>
        <w:t xml:space="preserve"> </w:t>
      </w:r>
      <w:r w:rsidRPr="00CF47F3">
        <w:t>integral</w:t>
      </w:r>
      <w:r>
        <w:t xml:space="preserve"> </w:t>
      </w:r>
      <w:r w:rsidRPr="00CF47F3">
        <w:t>of</w:t>
      </w:r>
      <w:r>
        <w:t xml:space="preserve"> </w:t>
      </w:r>
      <w:r w:rsidRPr="00CF47F3">
        <w:t>the</w:t>
      </w:r>
      <w:r>
        <w:t xml:space="preserve"> </w:t>
      </w:r>
      <w:r w:rsidRPr="00CF47F3">
        <w:t>supply</w:t>
      </w:r>
      <w:r>
        <w:t xml:space="preserve"> </w:t>
      </w:r>
      <w:r w:rsidRPr="00CF47F3">
        <w:t>price</w:t>
      </w:r>
      <w:r>
        <w:t xml:space="preserve"> </w:t>
      </w:r>
      <w:r w:rsidRPr="00CF47F3">
        <w:t>function</w:t>
      </w:r>
      <w:r>
        <w:t xml:space="preserve"> </w:t>
      </w:r>
      <w:r w:rsidRPr="00CF47F3">
        <w:t>over</w:t>
      </w:r>
      <w:r>
        <w:t xml:space="preserve"> </w:t>
      </w:r>
      <w:r w:rsidRPr="00CF47F3">
        <w:t>supply; minus</w:t>
      </w:r>
    </w:p>
    <w:p w14:paraId="37C55632" w14:textId="77777777" w:rsidR="00676882" w:rsidRPr="00CF47F3" w:rsidRDefault="00676882" w:rsidP="00676882">
      <w:pPr>
        <w:pStyle w:val="ListBullet"/>
      </w:pPr>
      <w:r w:rsidRPr="00CF47F3">
        <w:t>the</w:t>
      </w:r>
      <w:r>
        <w:t xml:space="preserve"> </w:t>
      </w:r>
      <w:r w:rsidRPr="00CF47F3">
        <w:t>sum</w:t>
      </w:r>
      <w:r>
        <w:t xml:space="preserve"> </w:t>
      </w:r>
      <w:r w:rsidRPr="00CF47F3">
        <w:t>of</w:t>
      </w:r>
      <w:r>
        <w:t xml:space="preserve"> </w:t>
      </w:r>
      <w:r w:rsidRPr="00CF47F3">
        <w:t>the</w:t>
      </w:r>
      <w:r>
        <w:t xml:space="preserve"> </w:t>
      </w:r>
      <w:r w:rsidRPr="00CF47F3">
        <w:t>transportation,</w:t>
      </w:r>
      <w:r>
        <w:t xml:space="preserve"> </w:t>
      </w:r>
      <w:r w:rsidRPr="00CF47F3">
        <w:t>conversion</w:t>
      </w:r>
      <w:r>
        <w:t xml:space="preserve"> </w:t>
      </w:r>
      <w:r w:rsidRPr="00CF47F3">
        <w:t>and</w:t>
      </w:r>
      <w:r>
        <w:t xml:space="preserve"> </w:t>
      </w:r>
      <w:r w:rsidRPr="00CF47F3">
        <w:t>storage</w:t>
      </w:r>
      <w:r>
        <w:t xml:space="preserve"> </w:t>
      </w:r>
      <w:r w:rsidRPr="00CF47F3">
        <w:t>costs.</w:t>
      </w:r>
    </w:p>
    <w:p w14:paraId="2888934F" w14:textId="77777777" w:rsidR="00676882" w:rsidRPr="00CF47F3" w:rsidRDefault="00676882" w:rsidP="00676882">
      <w:pPr>
        <w:pStyle w:val="BodyText"/>
      </w:pPr>
      <w:r w:rsidRPr="00CF47F3">
        <w:t>The</w:t>
      </w:r>
      <w:r>
        <w:t xml:space="preserve"> </w:t>
      </w:r>
      <w:r w:rsidRPr="00CF47F3">
        <w:t>solution</w:t>
      </w:r>
      <w:r>
        <w:t xml:space="preserve"> </w:t>
      </w:r>
      <w:r w:rsidRPr="00CF47F3">
        <w:t>results</w:t>
      </w:r>
      <w:r>
        <w:t xml:space="preserve"> </w:t>
      </w:r>
      <w:r w:rsidRPr="00CF47F3">
        <w:t>in</w:t>
      </w:r>
      <w:r>
        <w:t xml:space="preserve"> </w:t>
      </w:r>
      <w:r w:rsidRPr="00CF47F3">
        <w:t>an</w:t>
      </w:r>
      <w:r>
        <w:t xml:space="preserve"> </w:t>
      </w:r>
      <w:r w:rsidRPr="00CF47F3">
        <w:t>economically</w:t>
      </w:r>
      <w:r>
        <w:t xml:space="preserve"> </w:t>
      </w:r>
      <w:r w:rsidRPr="00CF47F3">
        <w:t>efficient</w:t>
      </w:r>
      <w:r>
        <w:t xml:space="preserve"> </w:t>
      </w:r>
      <w:r w:rsidRPr="00CF47F3">
        <w:t>system</w:t>
      </w:r>
      <w:r>
        <w:t xml:space="preserve"> </w:t>
      </w:r>
      <w:r w:rsidRPr="00CF47F3">
        <w:t>where</w:t>
      </w:r>
      <w:r>
        <w:t xml:space="preserve"> </w:t>
      </w:r>
      <w:r w:rsidRPr="00CF47F3">
        <w:t>lower</w:t>
      </w:r>
      <w:r>
        <w:t xml:space="preserve"> </w:t>
      </w:r>
      <w:r w:rsidRPr="00CF47F3">
        <w:t>cost</w:t>
      </w:r>
      <w:r>
        <w:t xml:space="preserve"> </w:t>
      </w:r>
      <w:r w:rsidRPr="00CF47F3">
        <w:t>sources</w:t>
      </w:r>
      <w:r>
        <w:t xml:space="preserve"> </w:t>
      </w:r>
      <w:r w:rsidRPr="00CF47F3">
        <w:t>of</w:t>
      </w:r>
      <w:r>
        <w:t xml:space="preserve"> </w:t>
      </w:r>
      <w:r w:rsidRPr="00CF47F3">
        <w:t>supply</w:t>
      </w:r>
      <w:r>
        <w:t xml:space="preserve"> </w:t>
      </w:r>
      <w:r w:rsidRPr="00CF47F3">
        <w:t>are</w:t>
      </w:r>
      <w:r>
        <w:t xml:space="preserve"> </w:t>
      </w:r>
      <w:r w:rsidRPr="00CF47F3">
        <w:t>utilised</w:t>
      </w:r>
      <w:r>
        <w:t xml:space="preserve"> </w:t>
      </w:r>
      <w:r w:rsidRPr="00CF47F3">
        <w:t>before</w:t>
      </w:r>
      <w:r>
        <w:t xml:space="preserve"> </w:t>
      </w:r>
      <w:r w:rsidRPr="00CF47F3">
        <w:t>more</w:t>
      </w:r>
      <w:r>
        <w:t xml:space="preserve"> </w:t>
      </w:r>
      <w:r w:rsidRPr="00CF47F3">
        <w:t>expensive</w:t>
      </w:r>
      <w:r>
        <w:t xml:space="preserve"> </w:t>
      </w:r>
      <w:r w:rsidRPr="00CF47F3">
        <w:t>sources</w:t>
      </w:r>
      <w:r>
        <w:t xml:space="preserve"> </w:t>
      </w:r>
      <w:r w:rsidRPr="00CF47F3">
        <w:t>and</w:t>
      </w:r>
      <w:r>
        <w:t xml:space="preserve"> </w:t>
      </w:r>
      <w:r w:rsidRPr="00CF47F3">
        <w:t>end-users</w:t>
      </w:r>
      <w:r>
        <w:t xml:space="preserve"> </w:t>
      </w:r>
      <w:r w:rsidRPr="00CF47F3">
        <w:t>who</w:t>
      </w:r>
      <w:r>
        <w:t xml:space="preserve"> </w:t>
      </w:r>
      <w:r w:rsidRPr="00CF47F3">
        <w:t>have</w:t>
      </w:r>
      <w:r>
        <w:t xml:space="preserve"> </w:t>
      </w:r>
      <w:r w:rsidRPr="00CF47F3">
        <w:t>higher</w:t>
      </w:r>
      <w:r>
        <w:t xml:space="preserve"> </w:t>
      </w:r>
      <w:r w:rsidRPr="00CF47F3">
        <w:t>willingness</w:t>
      </w:r>
      <w:r>
        <w:t xml:space="preserve"> </w:t>
      </w:r>
      <w:r w:rsidRPr="00CF47F3">
        <w:t>to</w:t>
      </w:r>
      <w:r>
        <w:t xml:space="preserve"> </w:t>
      </w:r>
      <w:r w:rsidRPr="00CF47F3">
        <w:t>pay</w:t>
      </w:r>
      <w:r>
        <w:t xml:space="preserve"> </w:t>
      </w:r>
      <w:r w:rsidRPr="00CF47F3">
        <w:t>are</w:t>
      </w:r>
      <w:r>
        <w:t xml:space="preserve"> </w:t>
      </w:r>
      <w:r w:rsidRPr="00CF47F3">
        <w:t>served</w:t>
      </w:r>
      <w:r>
        <w:t xml:space="preserve"> </w:t>
      </w:r>
      <w:r w:rsidRPr="00CF47F3">
        <w:t>before</w:t>
      </w:r>
      <w:r>
        <w:t xml:space="preserve"> </w:t>
      </w:r>
      <w:r w:rsidRPr="00CF47F3">
        <w:t>those</w:t>
      </w:r>
      <w:r>
        <w:t xml:space="preserve"> </w:t>
      </w:r>
      <w:r w:rsidRPr="00CF47F3">
        <w:t>who</w:t>
      </w:r>
      <w:r>
        <w:t xml:space="preserve"> </w:t>
      </w:r>
      <w:r w:rsidRPr="00CF47F3">
        <w:t>are</w:t>
      </w:r>
      <w:r>
        <w:t xml:space="preserve"> </w:t>
      </w:r>
      <w:r w:rsidRPr="00CF47F3">
        <w:t>less</w:t>
      </w:r>
      <w:r>
        <w:t xml:space="preserve"> </w:t>
      </w:r>
      <w:r w:rsidRPr="00CF47F3">
        <w:t>willing</w:t>
      </w:r>
      <w:r>
        <w:t xml:space="preserve"> </w:t>
      </w:r>
      <w:r w:rsidRPr="00CF47F3">
        <w:t>to</w:t>
      </w:r>
      <w:r>
        <w:t xml:space="preserve"> </w:t>
      </w:r>
      <w:r w:rsidRPr="00CF47F3">
        <w:t>pay.</w:t>
      </w:r>
      <w:r>
        <w:t xml:space="preserve"> </w:t>
      </w:r>
      <w:r w:rsidRPr="00CF47F3">
        <w:t>Through</w:t>
      </w:r>
      <w:r>
        <w:t xml:space="preserve"> </w:t>
      </w:r>
      <w:r w:rsidRPr="00CF47F3">
        <w:t>the</w:t>
      </w:r>
      <w:r>
        <w:t xml:space="preserve"> </w:t>
      </w:r>
      <w:r w:rsidRPr="00CF47F3">
        <w:t>process</w:t>
      </w:r>
      <w:r>
        <w:t xml:space="preserve"> </w:t>
      </w:r>
      <w:r w:rsidRPr="00CF47F3">
        <w:t>of</w:t>
      </w:r>
      <w:r>
        <w:t xml:space="preserve"> </w:t>
      </w:r>
      <w:r w:rsidRPr="00CF47F3">
        <w:t>maximising</w:t>
      </w:r>
      <w:r>
        <w:t xml:space="preserve"> </w:t>
      </w:r>
      <w:r w:rsidRPr="00CF47F3">
        <w:t>producer</w:t>
      </w:r>
      <w:r>
        <w:t xml:space="preserve"> </w:t>
      </w:r>
      <w:r w:rsidRPr="00CF47F3">
        <w:t>and</w:t>
      </w:r>
      <w:r>
        <w:t xml:space="preserve"> </w:t>
      </w:r>
      <w:r w:rsidRPr="00CF47F3">
        <w:t>consumer</w:t>
      </w:r>
      <w:r>
        <w:t xml:space="preserve"> </w:t>
      </w:r>
      <w:r w:rsidRPr="00CF47F3">
        <w:t>surplus,</w:t>
      </w:r>
      <w:r>
        <w:t xml:space="preserve"> </w:t>
      </w:r>
      <w:r w:rsidRPr="00CF47F3">
        <w:t>transportation</w:t>
      </w:r>
      <w:r>
        <w:t xml:space="preserve"> </w:t>
      </w:r>
      <w:r w:rsidRPr="00CF47F3">
        <w:t>costs</w:t>
      </w:r>
      <w:r>
        <w:t xml:space="preserve"> </w:t>
      </w:r>
      <w:r w:rsidRPr="00CF47F3">
        <w:t>are</w:t>
      </w:r>
      <w:r>
        <w:t xml:space="preserve"> </w:t>
      </w:r>
      <w:proofErr w:type="gramStart"/>
      <w:r w:rsidRPr="00CF47F3">
        <w:t>minimised</w:t>
      </w:r>
      <w:proofErr w:type="gramEnd"/>
      <w:r>
        <w:t xml:space="preserve"> </w:t>
      </w:r>
      <w:r w:rsidRPr="00CF47F3">
        <w:t>and</w:t>
      </w:r>
      <w:r>
        <w:t xml:space="preserve"> </w:t>
      </w:r>
      <w:r w:rsidRPr="00CF47F3">
        <w:t>spatial</w:t>
      </w:r>
      <w:r>
        <w:t xml:space="preserve"> </w:t>
      </w:r>
      <w:r w:rsidRPr="00CF47F3">
        <w:t>arbitrage</w:t>
      </w:r>
      <w:r>
        <w:t xml:space="preserve"> </w:t>
      </w:r>
      <w:r w:rsidRPr="00CF47F3">
        <w:t>opportunities</w:t>
      </w:r>
      <w:r>
        <w:t xml:space="preserve"> </w:t>
      </w:r>
      <w:r w:rsidRPr="00CF47F3">
        <w:t>are</w:t>
      </w:r>
      <w:r>
        <w:t xml:space="preserve"> </w:t>
      </w:r>
      <w:r w:rsidRPr="00CF47F3">
        <w:t>eliminated.</w:t>
      </w:r>
      <w:r>
        <w:t xml:space="preserve"> </w:t>
      </w:r>
      <w:r w:rsidRPr="00CF47F3">
        <w:t>Each</w:t>
      </w:r>
      <w:r>
        <w:t xml:space="preserve"> </w:t>
      </w:r>
      <w:r w:rsidRPr="00CF47F3">
        <w:t>market</w:t>
      </w:r>
      <w:r>
        <w:t xml:space="preserve"> </w:t>
      </w:r>
      <w:r w:rsidRPr="00CF47F3">
        <w:t>is</w:t>
      </w:r>
      <w:r>
        <w:t xml:space="preserve"> </w:t>
      </w:r>
      <w:r w:rsidRPr="00CF47F3">
        <w:t>cleared</w:t>
      </w:r>
      <w:r>
        <w:t xml:space="preserve"> </w:t>
      </w:r>
      <w:r w:rsidRPr="00CF47F3">
        <w:t>with</w:t>
      </w:r>
      <w:r>
        <w:t xml:space="preserve"> </w:t>
      </w:r>
      <w:r w:rsidRPr="00CF47F3">
        <w:t>a</w:t>
      </w:r>
      <w:r>
        <w:t xml:space="preserve"> </w:t>
      </w:r>
      <w:r w:rsidRPr="00CF47F3">
        <w:t>single</w:t>
      </w:r>
      <w:r>
        <w:t xml:space="preserve"> </w:t>
      </w:r>
      <w:r w:rsidRPr="00CF47F3">
        <w:t>competitive</w:t>
      </w:r>
      <w:r>
        <w:t xml:space="preserve"> </w:t>
      </w:r>
      <w:r w:rsidRPr="00CF47F3">
        <w:t>price.</w:t>
      </w:r>
    </w:p>
    <w:p w14:paraId="1A87FAB2" w14:textId="77777777" w:rsidR="00676882" w:rsidRPr="00CF47F3" w:rsidRDefault="00676882" w:rsidP="00676882">
      <w:pPr>
        <w:pStyle w:val="BodyText"/>
      </w:pPr>
      <w:r>
        <w:t xml:space="preserve">Figure D.2 </w:t>
      </w:r>
      <w:r w:rsidRPr="00CF47F3">
        <w:t>seeks</w:t>
      </w:r>
      <w:r>
        <w:t xml:space="preserve"> </w:t>
      </w:r>
      <w:r w:rsidRPr="00CF47F3">
        <w:t>to</w:t>
      </w:r>
      <w:r>
        <w:t xml:space="preserve"> </w:t>
      </w:r>
      <w:r w:rsidRPr="00CF47F3">
        <w:t>explain</w:t>
      </w:r>
      <w:r>
        <w:t xml:space="preserve"> </w:t>
      </w:r>
      <w:r w:rsidRPr="00CF47F3">
        <w:t>diagrammatically</w:t>
      </w:r>
      <w:r>
        <w:t xml:space="preserve"> </w:t>
      </w:r>
      <w:r w:rsidRPr="00CF47F3">
        <w:t>a</w:t>
      </w:r>
      <w:r>
        <w:t xml:space="preserve"> </w:t>
      </w:r>
      <w:r w:rsidRPr="00CF47F3">
        <w:t>simplified</w:t>
      </w:r>
      <w:r>
        <w:t xml:space="preserve"> </w:t>
      </w:r>
      <w:r w:rsidRPr="00CF47F3">
        <w:t>example</w:t>
      </w:r>
      <w:r>
        <w:t xml:space="preserve"> </w:t>
      </w:r>
      <w:r w:rsidRPr="00CF47F3">
        <w:t>of</w:t>
      </w:r>
      <w:r>
        <w:t xml:space="preserve"> </w:t>
      </w:r>
      <w:r w:rsidRPr="00CF47F3">
        <w:t>the</w:t>
      </w:r>
      <w:r>
        <w:t xml:space="preserve"> </w:t>
      </w:r>
      <w:r w:rsidRPr="00CF47F3">
        <w:t>optimisation</w:t>
      </w:r>
      <w:r>
        <w:t xml:space="preserve"> </w:t>
      </w:r>
      <w:r w:rsidRPr="00CF47F3">
        <w:t>process.</w:t>
      </w:r>
      <w:r>
        <w:t xml:space="preserve"> </w:t>
      </w:r>
      <w:r w:rsidRPr="00CF47F3">
        <w:t>The</w:t>
      </w:r>
      <w:r>
        <w:t xml:space="preserve"> </w:t>
      </w:r>
      <w:r w:rsidRPr="00CF47F3">
        <w:t>two</w:t>
      </w:r>
      <w:r>
        <w:t xml:space="preserve"> </w:t>
      </w:r>
      <w:r w:rsidRPr="00CF47F3">
        <w:t>charts</w:t>
      </w:r>
      <w:r>
        <w:t xml:space="preserve"> </w:t>
      </w:r>
      <w:r w:rsidRPr="00CF47F3">
        <w:t>at</w:t>
      </w:r>
      <w:r>
        <w:t xml:space="preserve"> </w:t>
      </w:r>
      <w:r w:rsidRPr="00CF47F3">
        <w:t>the</w:t>
      </w:r>
      <w:r>
        <w:t xml:space="preserve"> </w:t>
      </w:r>
      <w:r w:rsidRPr="00CF47F3">
        <w:t>top</w:t>
      </w:r>
      <w:r>
        <w:t xml:space="preserve"> </w:t>
      </w:r>
      <w:r w:rsidRPr="00CF47F3">
        <w:t>of</w:t>
      </w:r>
      <w:r>
        <w:t xml:space="preserve"> </w:t>
      </w:r>
      <w:r w:rsidRPr="00CF47F3">
        <w:t>the</w:t>
      </w:r>
      <w:r>
        <w:t xml:space="preserve"> </w:t>
      </w:r>
      <w:r w:rsidRPr="00CF47F3">
        <w:t>figure</w:t>
      </w:r>
      <w:r>
        <w:t xml:space="preserve"> </w:t>
      </w:r>
      <w:r w:rsidRPr="00CF47F3">
        <w:t>show</w:t>
      </w:r>
      <w:r>
        <w:t xml:space="preserve"> </w:t>
      </w:r>
      <w:r w:rsidRPr="00CF47F3">
        <w:t>simple</w:t>
      </w:r>
      <w:r>
        <w:t xml:space="preserve"> </w:t>
      </w:r>
      <w:r w:rsidRPr="00CF47F3">
        <w:t>linear</w:t>
      </w:r>
      <w:r>
        <w:t xml:space="preserve"> </w:t>
      </w:r>
      <w:r w:rsidRPr="00CF47F3">
        <w:t>demand</w:t>
      </w:r>
      <w:r>
        <w:t xml:space="preserve"> </w:t>
      </w:r>
      <w:r w:rsidRPr="00CF47F3">
        <w:t>and</w:t>
      </w:r>
      <w:r>
        <w:t xml:space="preserve"> </w:t>
      </w:r>
      <w:r w:rsidRPr="00CF47F3">
        <w:t>supply</w:t>
      </w:r>
      <w:r>
        <w:t xml:space="preserve"> </w:t>
      </w:r>
      <w:r w:rsidRPr="00CF47F3">
        <w:t>functions</w:t>
      </w:r>
      <w:r>
        <w:t xml:space="preserve"> </w:t>
      </w:r>
      <w:r w:rsidRPr="00CF47F3">
        <w:t>for</w:t>
      </w:r>
      <w:r>
        <w:t xml:space="preserve"> </w:t>
      </w:r>
      <w:r w:rsidRPr="00CF47F3">
        <w:t>a</w:t>
      </w:r>
      <w:r>
        <w:t xml:space="preserve"> </w:t>
      </w:r>
      <w:r w:rsidRPr="00CF47F3">
        <w:t>market.</w:t>
      </w:r>
      <w:r>
        <w:t xml:space="preserve"> </w:t>
      </w:r>
      <w:r w:rsidRPr="00CF47F3">
        <w:t>The</w:t>
      </w:r>
      <w:r>
        <w:t xml:space="preserve"> </w:t>
      </w:r>
      <w:r w:rsidRPr="00CF47F3">
        <w:t>figures</w:t>
      </w:r>
      <w:r>
        <w:t xml:space="preserve"> </w:t>
      </w:r>
      <w:r w:rsidRPr="00CF47F3">
        <w:t>in</w:t>
      </w:r>
      <w:r>
        <w:t xml:space="preserve"> </w:t>
      </w:r>
      <w:r w:rsidRPr="00CF47F3">
        <w:t>the</w:t>
      </w:r>
      <w:r>
        <w:t xml:space="preserve"> </w:t>
      </w:r>
      <w:r w:rsidRPr="00CF47F3">
        <w:t>middle</w:t>
      </w:r>
      <w:r>
        <w:t xml:space="preserve"> </w:t>
      </w:r>
      <w:r w:rsidRPr="00CF47F3">
        <w:t>of</w:t>
      </w:r>
      <w:r>
        <w:t xml:space="preserve"> Figure D.2 </w:t>
      </w:r>
      <w:r w:rsidRPr="00CF47F3">
        <w:t>show</w:t>
      </w:r>
      <w:r>
        <w:t xml:space="preserve"> </w:t>
      </w:r>
      <w:r w:rsidRPr="00CF47F3">
        <w:t>the</w:t>
      </w:r>
      <w:r>
        <w:t xml:space="preserve"> </w:t>
      </w:r>
      <w:r w:rsidRPr="00CF47F3">
        <w:t>integrals</w:t>
      </w:r>
      <w:r>
        <w:t xml:space="preserve"> </w:t>
      </w:r>
      <w:r w:rsidRPr="00CF47F3">
        <w:t>of</w:t>
      </w:r>
      <w:r>
        <w:t xml:space="preserve"> </w:t>
      </w:r>
      <w:r w:rsidRPr="00CF47F3">
        <w:t>these</w:t>
      </w:r>
      <w:r>
        <w:t xml:space="preserve"> </w:t>
      </w:r>
      <w:r w:rsidRPr="00CF47F3">
        <w:t>demand</w:t>
      </w:r>
      <w:r>
        <w:t xml:space="preserve"> </w:t>
      </w:r>
      <w:r w:rsidRPr="00CF47F3">
        <w:t>and</w:t>
      </w:r>
      <w:r>
        <w:t xml:space="preserve"> </w:t>
      </w:r>
      <w:r w:rsidRPr="00CF47F3">
        <w:t>supply</w:t>
      </w:r>
      <w:r>
        <w:t xml:space="preserve"> </w:t>
      </w:r>
      <w:r w:rsidRPr="00CF47F3">
        <w:t>functions,</w:t>
      </w:r>
      <w:r>
        <w:t xml:space="preserve"> </w:t>
      </w:r>
      <w:r w:rsidRPr="00CF47F3">
        <w:t>which</w:t>
      </w:r>
      <w:r>
        <w:t xml:space="preserve"> </w:t>
      </w:r>
      <w:r w:rsidRPr="00CF47F3">
        <w:t>represent</w:t>
      </w:r>
      <w:r>
        <w:t xml:space="preserve"> </w:t>
      </w:r>
      <w:r w:rsidRPr="00CF47F3">
        <w:t>the</w:t>
      </w:r>
      <w:r>
        <w:t xml:space="preserve"> </w:t>
      </w:r>
      <w:r w:rsidRPr="00CF47F3">
        <w:t>areas</w:t>
      </w:r>
      <w:r>
        <w:t xml:space="preserve"> </w:t>
      </w:r>
      <w:r w:rsidRPr="00CF47F3">
        <w:t>under</w:t>
      </w:r>
      <w:r>
        <w:t xml:space="preserve"> </w:t>
      </w:r>
      <w:r w:rsidRPr="00CF47F3">
        <w:t>the</w:t>
      </w:r>
      <w:r>
        <w:t xml:space="preserve"> </w:t>
      </w:r>
      <w:r w:rsidRPr="00CF47F3">
        <w:t>demand</w:t>
      </w:r>
      <w:r>
        <w:t xml:space="preserve"> </w:t>
      </w:r>
      <w:r w:rsidRPr="00CF47F3">
        <w:t>and</w:t>
      </w:r>
      <w:r>
        <w:t xml:space="preserve"> </w:t>
      </w:r>
      <w:r w:rsidRPr="00CF47F3">
        <w:t>supply</w:t>
      </w:r>
      <w:r>
        <w:t xml:space="preserve"> </w:t>
      </w:r>
      <w:r w:rsidRPr="00CF47F3">
        <w:t>curves.</w:t>
      </w:r>
      <w:r>
        <w:t xml:space="preserve"> </w:t>
      </w:r>
      <w:r w:rsidRPr="00CF47F3">
        <w:t>These</w:t>
      </w:r>
      <w:r>
        <w:t xml:space="preserve"> </w:t>
      </w:r>
      <w:r w:rsidRPr="00CF47F3">
        <w:t>are</w:t>
      </w:r>
      <w:r>
        <w:t xml:space="preserve"> </w:t>
      </w:r>
      <w:r w:rsidRPr="00CF47F3">
        <w:t>equivalent</w:t>
      </w:r>
      <w:r>
        <w:t xml:space="preserve"> </w:t>
      </w:r>
      <w:r w:rsidRPr="00CF47F3">
        <w:t>to</w:t>
      </w:r>
      <w:r>
        <w:t xml:space="preserve"> </w:t>
      </w:r>
      <w:r w:rsidRPr="00CF47F3">
        <w:t>the</w:t>
      </w:r>
      <w:r>
        <w:t xml:space="preserve"> </w:t>
      </w:r>
      <w:r w:rsidRPr="00CF47F3">
        <w:t>consumer</w:t>
      </w:r>
      <w:r>
        <w:t xml:space="preserve"> </w:t>
      </w:r>
      <w:r w:rsidRPr="00CF47F3">
        <w:t>and</w:t>
      </w:r>
      <w:r>
        <w:t xml:space="preserve"> </w:t>
      </w:r>
      <w:r w:rsidRPr="00CF47F3">
        <w:t>producer</w:t>
      </w:r>
      <w:r>
        <w:t xml:space="preserve"> </w:t>
      </w:r>
      <w:r w:rsidRPr="00CF47F3">
        <w:t>surpluses</w:t>
      </w:r>
      <w:r>
        <w:t xml:space="preserve"> </w:t>
      </w:r>
      <w:r w:rsidRPr="00CF47F3">
        <w:t>at</w:t>
      </w:r>
      <w:r>
        <w:t xml:space="preserve"> </w:t>
      </w:r>
      <w:r w:rsidRPr="00CF47F3">
        <w:t>each</w:t>
      </w:r>
      <w:r>
        <w:t xml:space="preserve"> </w:t>
      </w:r>
      <w:r w:rsidRPr="00CF47F3">
        <w:t>price</w:t>
      </w:r>
      <w:r>
        <w:t xml:space="preserve"> </w:t>
      </w:r>
      <w:r w:rsidRPr="00CF47F3">
        <w:t>point</w:t>
      </w:r>
      <w:r>
        <w:t xml:space="preserve"> </w:t>
      </w:r>
      <w:r w:rsidRPr="00CF47F3">
        <w:t>along</w:t>
      </w:r>
      <w:r>
        <w:t xml:space="preserve"> </w:t>
      </w:r>
      <w:r w:rsidRPr="00CF47F3">
        <w:t>the</w:t>
      </w:r>
      <w:r>
        <w:t xml:space="preserve"> </w:t>
      </w:r>
      <w:r w:rsidRPr="00CF47F3">
        <w:t>curve.</w:t>
      </w:r>
      <w:r>
        <w:t xml:space="preserve"> </w:t>
      </w:r>
      <w:r w:rsidRPr="00CF47F3">
        <w:t>The</w:t>
      </w:r>
      <w:r>
        <w:t xml:space="preserve"> </w:t>
      </w:r>
      <w:r w:rsidRPr="00CF47F3">
        <w:t>figure</w:t>
      </w:r>
      <w:r>
        <w:t xml:space="preserve"> </w:t>
      </w:r>
      <w:r w:rsidRPr="00CF47F3">
        <w:t>on</w:t>
      </w:r>
      <w:r>
        <w:t xml:space="preserve"> </w:t>
      </w:r>
      <w:r w:rsidRPr="00CF47F3">
        <w:t>the</w:t>
      </w:r>
      <w:r>
        <w:t xml:space="preserve"> </w:t>
      </w:r>
      <w:r w:rsidRPr="00CF47F3">
        <w:t>bottom</w:t>
      </w:r>
      <w:r>
        <w:t xml:space="preserve"> </w:t>
      </w:r>
      <w:r w:rsidRPr="00CF47F3">
        <w:t>left</w:t>
      </w:r>
      <w:r>
        <w:t xml:space="preserve"> </w:t>
      </w:r>
      <w:r w:rsidRPr="00CF47F3">
        <w:t>shows</w:t>
      </w:r>
      <w:r>
        <w:t xml:space="preserve"> </w:t>
      </w:r>
      <w:r w:rsidRPr="00CF47F3">
        <w:t>the</w:t>
      </w:r>
      <w:r>
        <w:t xml:space="preserve"> </w:t>
      </w:r>
      <w:r w:rsidRPr="00CF47F3">
        <w:t>summation</w:t>
      </w:r>
      <w:r>
        <w:t xml:space="preserve"> </w:t>
      </w:r>
      <w:r w:rsidRPr="00CF47F3">
        <w:t>of</w:t>
      </w:r>
      <w:r>
        <w:t xml:space="preserve"> </w:t>
      </w:r>
      <w:r w:rsidRPr="00CF47F3">
        <w:t>the</w:t>
      </w:r>
      <w:r>
        <w:t xml:space="preserve"> </w:t>
      </w:r>
      <w:r w:rsidRPr="00CF47F3">
        <w:t>consumer</w:t>
      </w:r>
      <w:r>
        <w:t xml:space="preserve"> </w:t>
      </w:r>
      <w:r w:rsidRPr="00CF47F3">
        <w:t>and</w:t>
      </w:r>
      <w:r>
        <w:t xml:space="preserve"> </w:t>
      </w:r>
      <w:r w:rsidRPr="00CF47F3">
        <w:t>producer</w:t>
      </w:r>
      <w:r>
        <w:t xml:space="preserve"> </w:t>
      </w:r>
      <w:r w:rsidRPr="00CF47F3">
        <w:t>surplus,</w:t>
      </w:r>
      <w:r>
        <w:t xml:space="preserve"> </w:t>
      </w:r>
      <w:r w:rsidRPr="00CF47F3">
        <w:t>with</w:t>
      </w:r>
      <w:r>
        <w:t xml:space="preserve"> </w:t>
      </w:r>
      <w:r w:rsidRPr="00CF47F3">
        <w:t>a</w:t>
      </w:r>
      <w:r>
        <w:t xml:space="preserve"> </w:t>
      </w:r>
      <w:r w:rsidRPr="00CF47F3">
        <w:t>maximum</w:t>
      </w:r>
      <w:r>
        <w:t xml:space="preserve"> </w:t>
      </w:r>
      <w:r w:rsidRPr="00CF47F3">
        <w:t>at</w:t>
      </w:r>
      <w:r>
        <w:t xml:space="preserve"> </w:t>
      </w:r>
      <w:r w:rsidRPr="00CF47F3">
        <w:t>a</w:t>
      </w:r>
      <w:r>
        <w:t xml:space="preserve"> </w:t>
      </w:r>
      <w:r w:rsidRPr="00CF47F3">
        <w:t>quantity</w:t>
      </w:r>
      <w:r>
        <w:t xml:space="preserve"> </w:t>
      </w:r>
      <w:r w:rsidRPr="00CF47F3">
        <w:t>of</w:t>
      </w:r>
      <w:r>
        <w:t xml:space="preserve"> </w:t>
      </w:r>
      <w:r w:rsidRPr="00CF47F3">
        <w:t>900</w:t>
      </w:r>
      <w:r>
        <w:t xml:space="preserve"> </w:t>
      </w:r>
      <w:r w:rsidRPr="00CF47F3">
        <w:t>units.</w:t>
      </w:r>
      <w:r>
        <w:t xml:space="preserve"> </w:t>
      </w:r>
      <w:r w:rsidRPr="00CF47F3">
        <w:t>This</w:t>
      </w:r>
      <w:r>
        <w:t xml:space="preserve"> </w:t>
      </w:r>
      <w:r w:rsidRPr="00CF47F3">
        <w:t>is</w:t>
      </w:r>
      <w:r>
        <w:t xml:space="preserve"> </w:t>
      </w:r>
      <w:r w:rsidRPr="00CF47F3">
        <w:t>equivalent</w:t>
      </w:r>
      <w:r>
        <w:t xml:space="preserve"> </w:t>
      </w:r>
      <w:r w:rsidRPr="00CF47F3">
        <w:t>to</w:t>
      </w:r>
      <w:r>
        <w:t xml:space="preserve"> </w:t>
      </w:r>
      <w:r w:rsidRPr="00CF47F3">
        <w:t>the</w:t>
      </w:r>
      <w:r>
        <w:t xml:space="preserve"> </w:t>
      </w:r>
      <w:r w:rsidRPr="00CF47F3">
        <w:t>equilibrium</w:t>
      </w:r>
      <w:r>
        <w:t xml:space="preserve"> </w:t>
      </w:r>
      <w:r w:rsidRPr="00CF47F3">
        <w:t>quantity</w:t>
      </w:r>
      <w:r>
        <w:t xml:space="preserve"> </w:t>
      </w:r>
      <w:r w:rsidRPr="00CF47F3">
        <w:t>when</w:t>
      </w:r>
      <w:r>
        <w:t xml:space="preserve"> </w:t>
      </w:r>
      <w:r w:rsidRPr="00CF47F3">
        <w:t>demand</w:t>
      </w:r>
      <w:r>
        <w:t xml:space="preserve"> </w:t>
      </w:r>
      <w:r w:rsidRPr="00CF47F3">
        <w:t>and</w:t>
      </w:r>
      <w:r>
        <w:t xml:space="preserve"> </w:t>
      </w:r>
      <w:r w:rsidRPr="00CF47F3">
        <w:t>supply</w:t>
      </w:r>
      <w:r>
        <w:t xml:space="preserve"> </w:t>
      </w:r>
      <w:r w:rsidRPr="00CF47F3">
        <w:t>curves</w:t>
      </w:r>
      <w:r>
        <w:t xml:space="preserve"> </w:t>
      </w:r>
      <w:r w:rsidRPr="00CF47F3">
        <w:t>are</w:t>
      </w:r>
      <w:r>
        <w:t xml:space="preserve"> </w:t>
      </w:r>
      <w:r w:rsidRPr="00CF47F3">
        <w:t>overlayed</w:t>
      </w:r>
      <w:r>
        <w:t xml:space="preserve"> </w:t>
      </w:r>
      <w:r w:rsidRPr="00CF47F3">
        <w:t>as</w:t>
      </w:r>
      <w:r>
        <w:t xml:space="preserve"> </w:t>
      </w:r>
      <w:r w:rsidRPr="00CF47F3">
        <w:t>shown</w:t>
      </w:r>
      <w:r>
        <w:t xml:space="preserve"> </w:t>
      </w:r>
      <w:r w:rsidRPr="00CF47F3">
        <w:t>in</w:t>
      </w:r>
      <w:r>
        <w:t xml:space="preserve"> </w:t>
      </w:r>
      <w:r w:rsidRPr="00CF47F3">
        <w:t>the</w:t>
      </w:r>
      <w:r>
        <w:t xml:space="preserve"> </w:t>
      </w:r>
      <w:r w:rsidRPr="00CF47F3">
        <w:t>bottom</w:t>
      </w:r>
      <w:r>
        <w:t xml:space="preserve"> </w:t>
      </w:r>
      <w:r w:rsidRPr="00CF47F3">
        <w:t>right</w:t>
      </w:r>
      <w:r>
        <w:t xml:space="preserve"> </w:t>
      </w:r>
      <w:r w:rsidRPr="00CF47F3">
        <w:t>figure.</w:t>
      </w:r>
    </w:p>
    <w:p w14:paraId="6DA92C98" w14:textId="77777777" w:rsidR="00676882" w:rsidRPr="00CF47F3" w:rsidRDefault="00676882" w:rsidP="00676882">
      <w:pPr>
        <w:pStyle w:val="BodyText"/>
      </w:pPr>
      <w:r w:rsidRPr="00CF47F3">
        <w:t>The</w:t>
      </w:r>
      <w:r>
        <w:t xml:space="preserve"> </w:t>
      </w:r>
      <w:r w:rsidRPr="00CF47F3">
        <w:t>distinguishing</w:t>
      </w:r>
      <w:r>
        <w:t xml:space="preserve"> </w:t>
      </w:r>
      <w:r w:rsidRPr="00CF47F3">
        <w:t>characteristic</w:t>
      </w:r>
      <w:r>
        <w:t xml:space="preserve"> </w:t>
      </w:r>
      <w:r w:rsidRPr="00CF47F3">
        <w:t>of</w:t>
      </w:r>
      <w:r>
        <w:t xml:space="preserve"> </w:t>
      </w:r>
      <w:r w:rsidRPr="00CF47F3">
        <w:t>spatial</w:t>
      </w:r>
      <w:r>
        <w:t xml:space="preserve"> </w:t>
      </w:r>
      <w:r w:rsidRPr="00CF47F3">
        <w:t>price</w:t>
      </w:r>
      <w:r>
        <w:t xml:space="preserve"> </w:t>
      </w:r>
      <w:r w:rsidRPr="00CF47F3">
        <w:t>equilibrium</w:t>
      </w:r>
      <w:r>
        <w:t xml:space="preserve"> </w:t>
      </w:r>
      <w:r w:rsidRPr="00CF47F3">
        <w:t>models</w:t>
      </w:r>
      <w:r>
        <w:t xml:space="preserve"> </w:t>
      </w:r>
      <w:r w:rsidRPr="00CF47F3">
        <w:t>lies</w:t>
      </w:r>
      <w:r>
        <w:t xml:space="preserve"> </w:t>
      </w:r>
      <w:r w:rsidRPr="00CF47F3">
        <w:t>in</w:t>
      </w:r>
      <w:r>
        <w:t xml:space="preserve"> </w:t>
      </w:r>
      <w:r w:rsidRPr="00CF47F3">
        <w:t>their</w:t>
      </w:r>
      <w:r>
        <w:t xml:space="preserve"> </w:t>
      </w:r>
      <w:r w:rsidRPr="00CF47F3">
        <w:t>recognition</w:t>
      </w:r>
      <w:r>
        <w:t xml:space="preserve"> </w:t>
      </w:r>
      <w:r w:rsidRPr="00CF47F3">
        <w:t>of</w:t>
      </w:r>
      <w:r>
        <w:t xml:space="preserve"> </w:t>
      </w:r>
      <w:r w:rsidRPr="00CF47F3">
        <w:t>the</w:t>
      </w:r>
      <w:r>
        <w:t xml:space="preserve"> </w:t>
      </w:r>
      <w:r w:rsidRPr="00CF47F3">
        <w:t>importance</w:t>
      </w:r>
      <w:r>
        <w:t xml:space="preserve"> </w:t>
      </w:r>
      <w:r w:rsidRPr="00CF47F3">
        <w:t>of</w:t>
      </w:r>
      <w:r>
        <w:t xml:space="preserve"> </w:t>
      </w:r>
      <w:r w:rsidRPr="00CF47F3">
        <w:t>space</w:t>
      </w:r>
      <w:r>
        <w:t xml:space="preserve"> </w:t>
      </w:r>
      <w:r w:rsidRPr="00CF47F3">
        <w:t>and</w:t>
      </w:r>
      <w:r>
        <w:t xml:space="preserve"> </w:t>
      </w:r>
      <w:r w:rsidRPr="00CF47F3">
        <w:t>transportation</w:t>
      </w:r>
      <w:r>
        <w:t xml:space="preserve"> </w:t>
      </w:r>
      <w:r w:rsidRPr="00CF47F3">
        <w:t>costs</w:t>
      </w:r>
      <w:r>
        <w:t xml:space="preserve"> </w:t>
      </w:r>
      <w:r w:rsidRPr="00CF47F3">
        <w:t>associated</w:t>
      </w:r>
      <w:r>
        <w:t xml:space="preserve"> </w:t>
      </w:r>
      <w:r w:rsidRPr="00CF47F3">
        <w:t>with</w:t>
      </w:r>
      <w:r>
        <w:t xml:space="preserve"> </w:t>
      </w:r>
      <w:r w:rsidRPr="00CF47F3">
        <w:t>transporting</w:t>
      </w:r>
      <w:r>
        <w:t xml:space="preserve"> </w:t>
      </w:r>
      <w:r w:rsidRPr="00CF47F3">
        <w:t>a</w:t>
      </w:r>
      <w:r>
        <w:t xml:space="preserve"> </w:t>
      </w:r>
      <w:r w:rsidRPr="00CF47F3">
        <w:t>commodity</w:t>
      </w:r>
      <w:r>
        <w:t xml:space="preserve"> </w:t>
      </w:r>
      <w:r w:rsidRPr="00CF47F3">
        <w:t>from</w:t>
      </w:r>
      <w:r>
        <w:t xml:space="preserve"> </w:t>
      </w:r>
      <w:r w:rsidRPr="00CF47F3">
        <w:t>a</w:t>
      </w:r>
      <w:r>
        <w:t xml:space="preserve"> </w:t>
      </w:r>
      <w:r w:rsidRPr="00CF47F3">
        <w:t>supply</w:t>
      </w:r>
      <w:r>
        <w:t xml:space="preserve"> </w:t>
      </w:r>
      <w:r w:rsidRPr="00CF47F3">
        <w:t>source</w:t>
      </w:r>
      <w:r>
        <w:t xml:space="preserve"> </w:t>
      </w:r>
      <w:r w:rsidRPr="00CF47F3">
        <w:t>to</w:t>
      </w:r>
      <w:r>
        <w:t xml:space="preserve"> </w:t>
      </w:r>
      <w:r w:rsidRPr="00CF47F3">
        <w:t>a</w:t>
      </w:r>
      <w:r>
        <w:t xml:space="preserve"> </w:t>
      </w:r>
      <w:r w:rsidRPr="00CF47F3">
        <w:t>demand</w:t>
      </w:r>
      <w:r>
        <w:t xml:space="preserve"> </w:t>
      </w:r>
      <w:r w:rsidRPr="00CF47F3">
        <w:t>centre.</w:t>
      </w:r>
      <w:r>
        <w:t xml:space="preserve"> </w:t>
      </w:r>
      <w:r w:rsidRPr="00CF47F3">
        <w:t>Since</w:t>
      </w:r>
      <w:r>
        <w:t xml:space="preserve"> </w:t>
      </w:r>
      <w:r w:rsidRPr="00CF47F3">
        <w:t>gas</w:t>
      </w:r>
      <w:r>
        <w:t xml:space="preserve"> </w:t>
      </w:r>
      <w:r w:rsidRPr="00CF47F3">
        <w:t>markets</w:t>
      </w:r>
      <w:r>
        <w:t xml:space="preserve"> </w:t>
      </w:r>
      <w:r w:rsidRPr="00CF47F3">
        <w:t>are</w:t>
      </w:r>
      <w:r>
        <w:t xml:space="preserve"> </w:t>
      </w:r>
      <w:r w:rsidRPr="00CF47F3">
        <w:t>interlinked</w:t>
      </w:r>
      <w:r>
        <w:t xml:space="preserve"> </w:t>
      </w:r>
      <w:r w:rsidRPr="00CF47F3">
        <w:t>by</w:t>
      </w:r>
      <w:r>
        <w:t xml:space="preserve"> </w:t>
      </w:r>
      <w:r w:rsidRPr="00CF47F3">
        <w:t>a</w:t>
      </w:r>
      <w:r>
        <w:t xml:space="preserve"> </w:t>
      </w:r>
      <w:r w:rsidRPr="00CF47F3">
        <w:t>complex</w:t>
      </w:r>
      <w:r>
        <w:t xml:space="preserve"> </w:t>
      </w:r>
      <w:r w:rsidRPr="00CF47F3">
        <w:t>series</w:t>
      </w:r>
      <w:r>
        <w:t xml:space="preserve"> </w:t>
      </w:r>
      <w:r w:rsidRPr="00CF47F3">
        <w:t>of</w:t>
      </w:r>
      <w:r>
        <w:t xml:space="preserve"> </w:t>
      </w:r>
      <w:r w:rsidRPr="00CF47F3">
        <w:t>transportation</w:t>
      </w:r>
      <w:r>
        <w:t xml:space="preserve"> </w:t>
      </w:r>
      <w:r w:rsidRPr="00CF47F3">
        <w:t>paths</w:t>
      </w:r>
      <w:r>
        <w:t xml:space="preserve"> </w:t>
      </w:r>
      <w:r w:rsidRPr="00CF47F3">
        <w:t>(pipelines,</w:t>
      </w:r>
      <w:r>
        <w:t xml:space="preserve"> </w:t>
      </w:r>
      <w:r w:rsidRPr="00CF47F3">
        <w:t>shipping</w:t>
      </w:r>
      <w:r>
        <w:t xml:space="preserve"> </w:t>
      </w:r>
      <w:r w:rsidRPr="00CF47F3">
        <w:t>paths) with</w:t>
      </w:r>
      <w:r>
        <w:t xml:space="preserve"> </w:t>
      </w:r>
      <w:r w:rsidRPr="00CF47F3">
        <w:t>distinct</w:t>
      </w:r>
      <w:r>
        <w:t xml:space="preserve"> </w:t>
      </w:r>
      <w:r w:rsidRPr="00CF47F3">
        <w:t>pricing</w:t>
      </w:r>
      <w:r>
        <w:t xml:space="preserve"> </w:t>
      </w:r>
      <w:r w:rsidRPr="00CF47F3">
        <w:t>structures</w:t>
      </w:r>
      <w:r>
        <w:t xml:space="preserve"> </w:t>
      </w:r>
      <w:r w:rsidRPr="00CF47F3">
        <w:t>(fixed,</w:t>
      </w:r>
      <w:r>
        <w:t xml:space="preserve"> </w:t>
      </w:r>
      <w:r w:rsidRPr="00CF47F3">
        <w:t>zonal</w:t>
      </w:r>
      <w:r>
        <w:t xml:space="preserve"> </w:t>
      </w:r>
      <w:r w:rsidRPr="00CF47F3">
        <w:t>or</w:t>
      </w:r>
      <w:r>
        <w:t xml:space="preserve"> </w:t>
      </w:r>
      <w:r w:rsidRPr="00CF47F3">
        <w:t>distance</w:t>
      </w:r>
      <w:r>
        <w:t xml:space="preserve"> </w:t>
      </w:r>
      <w:r w:rsidRPr="00CF47F3">
        <w:t>based),</w:t>
      </w:r>
      <w:r>
        <w:t xml:space="preserve"> </w:t>
      </w:r>
      <w:r w:rsidRPr="00CF47F3">
        <w:t>GMG</w:t>
      </w:r>
      <w:r>
        <w:t xml:space="preserve"> </w:t>
      </w:r>
      <w:r w:rsidRPr="00CF47F3">
        <w:t>Australia</w:t>
      </w:r>
      <w:r>
        <w:t xml:space="preserve"> </w:t>
      </w:r>
      <w:r w:rsidRPr="00CF47F3">
        <w:t>also</w:t>
      </w:r>
      <w:r>
        <w:t xml:space="preserve"> </w:t>
      </w:r>
      <w:r w:rsidRPr="00CF47F3">
        <w:t>includes</w:t>
      </w:r>
      <w:r>
        <w:t xml:space="preserve"> </w:t>
      </w:r>
      <w:r w:rsidRPr="00CF47F3">
        <w:t>a</w:t>
      </w:r>
      <w:r>
        <w:t xml:space="preserve"> </w:t>
      </w:r>
      <w:r w:rsidRPr="00CF47F3">
        <w:t>detailed</w:t>
      </w:r>
      <w:r>
        <w:t xml:space="preserve"> </w:t>
      </w:r>
      <w:r w:rsidRPr="00CF47F3">
        <w:t>network</w:t>
      </w:r>
      <w:r>
        <w:t xml:space="preserve"> </w:t>
      </w:r>
      <w:r w:rsidRPr="00CF47F3">
        <w:t>model</w:t>
      </w:r>
      <w:r>
        <w:t xml:space="preserve"> </w:t>
      </w:r>
      <w:r w:rsidRPr="00CF47F3">
        <w:t>with</w:t>
      </w:r>
      <w:r>
        <w:t xml:space="preserve"> </w:t>
      </w:r>
      <w:r w:rsidRPr="00CF47F3">
        <w:t>these</w:t>
      </w:r>
      <w:r>
        <w:t xml:space="preserve"> </w:t>
      </w:r>
      <w:r w:rsidRPr="00CF47F3">
        <w:t>features.</w:t>
      </w:r>
    </w:p>
    <w:p w14:paraId="0E20AA53" w14:textId="77777777" w:rsidR="00676882" w:rsidRDefault="00676882" w:rsidP="00676882">
      <w:pPr>
        <w:pStyle w:val="BodyText"/>
      </w:pPr>
      <w:r w:rsidRPr="00CF47F3">
        <w:t>Spatial</w:t>
      </w:r>
      <w:r>
        <w:t xml:space="preserve"> </w:t>
      </w:r>
      <w:r w:rsidRPr="00CF47F3">
        <w:t>price</w:t>
      </w:r>
      <w:r>
        <w:t xml:space="preserve"> </w:t>
      </w:r>
      <w:r w:rsidRPr="00CF47F3">
        <w:t>equilibrium</w:t>
      </w:r>
      <w:r>
        <w:t xml:space="preserve"> </w:t>
      </w:r>
      <w:r w:rsidRPr="00CF47F3">
        <w:t>models</w:t>
      </w:r>
      <w:r>
        <w:t xml:space="preserve"> </w:t>
      </w:r>
      <w:r w:rsidRPr="00CF47F3">
        <w:t>have</w:t>
      </w:r>
      <w:r>
        <w:t xml:space="preserve"> </w:t>
      </w:r>
      <w:r w:rsidRPr="00CF47F3">
        <w:t>been</w:t>
      </w:r>
      <w:r>
        <w:t xml:space="preserve"> </w:t>
      </w:r>
      <w:r w:rsidRPr="00CF47F3">
        <w:t>used</w:t>
      </w:r>
      <w:r>
        <w:t xml:space="preserve"> </w:t>
      </w:r>
      <w:r w:rsidRPr="00CF47F3">
        <w:t>to</w:t>
      </w:r>
      <w:r>
        <w:t xml:space="preserve"> </w:t>
      </w:r>
      <w:r w:rsidRPr="00CF47F3">
        <w:t>study</w:t>
      </w:r>
      <w:r>
        <w:t xml:space="preserve"> </w:t>
      </w:r>
      <w:r w:rsidRPr="00CF47F3">
        <w:t>problems</w:t>
      </w:r>
      <w:r>
        <w:t xml:space="preserve"> </w:t>
      </w:r>
      <w:r w:rsidRPr="00CF47F3">
        <w:t>in</w:t>
      </w:r>
      <w:r>
        <w:t xml:space="preserve"> </w:t>
      </w:r>
      <w:proofErr w:type="gramStart"/>
      <w:r w:rsidRPr="00CF47F3">
        <w:t>a</w:t>
      </w:r>
      <w:r>
        <w:t xml:space="preserve"> </w:t>
      </w:r>
      <w:r w:rsidRPr="00CF47F3">
        <w:t>number</w:t>
      </w:r>
      <w:r>
        <w:t xml:space="preserve"> </w:t>
      </w:r>
      <w:r w:rsidRPr="00CF47F3">
        <w:t>of</w:t>
      </w:r>
      <w:proofErr w:type="gramEnd"/>
      <w:r>
        <w:t xml:space="preserve"> </w:t>
      </w:r>
      <w:r w:rsidRPr="00CF47F3">
        <w:t>fields</w:t>
      </w:r>
      <w:r>
        <w:t xml:space="preserve"> </w:t>
      </w:r>
      <w:r w:rsidRPr="00CF47F3">
        <w:t>including</w:t>
      </w:r>
      <w:r>
        <w:t xml:space="preserve"> </w:t>
      </w:r>
      <w:r w:rsidRPr="00CF47F3">
        <w:t>agriculture,</w:t>
      </w:r>
      <w:r>
        <w:t xml:space="preserve"> </w:t>
      </w:r>
      <w:r w:rsidRPr="00CF47F3">
        <w:t>energy</w:t>
      </w:r>
      <w:r>
        <w:t xml:space="preserve"> </w:t>
      </w:r>
      <w:r w:rsidRPr="00CF47F3">
        <w:t>markets,</w:t>
      </w:r>
      <w:r>
        <w:t xml:space="preserve"> </w:t>
      </w:r>
      <w:r w:rsidRPr="00CF47F3">
        <w:t>mineral</w:t>
      </w:r>
      <w:r>
        <w:t xml:space="preserve"> </w:t>
      </w:r>
      <w:r w:rsidRPr="00CF47F3">
        <w:t>economics,</w:t>
      </w:r>
      <w:r>
        <w:t xml:space="preserve"> </w:t>
      </w:r>
      <w:r w:rsidRPr="00CF47F3">
        <w:t>as</w:t>
      </w:r>
      <w:r>
        <w:t xml:space="preserve"> </w:t>
      </w:r>
      <w:r w:rsidRPr="00CF47F3">
        <w:t>well</w:t>
      </w:r>
      <w:r>
        <w:t xml:space="preserve"> </w:t>
      </w:r>
      <w:r w:rsidRPr="00CF47F3">
        <w:t>as</w:t>
      </w:r>
      <w:r>
        <w:t xml:space="preserve"> </w:t>
      </w:r>
      <w:r w:rsidRPr="00CF47F3">
        <w:t>in</w:t>
      </w:r>
      <w:r>
        <w:t xml:space="preserve"> </w:t>
      </w:r>
      <w:r w:rsidRPr="00CF47F3">
        <w:t>finance.</w:t>
      </w:r>
      <w:r>
        <w:t xml:space="preserve"> </w:t>
      </w:r>
      <w:r w:rsidRPr="00CF47F3">
        <w:t>These</w:t>
      </w:r>
      <w:r>
        <w:t xml:space="preserve"> </w:t>
      </w:r>
      <w:r w:rsidRPr="00CF47F3">
        <w:t>perfectly</w:t>
      </w:r>
      <w:r>
        <w:t xml:space="preserve"> </w:t>
      </w:r>
      <w:r w:rsidRPr="00CF47F3">
        <w:t>competitive</w:t>
      </w:r>
      <w:r>
        <w:t xml:space="preserve"> </w:t>
      </w:r>
      <w:r w:rsidRPr="00CF47F3">
        <w:t>partial</w:t>
      </w:r>
      <w:r>
        <w:t xml:space="preserve"> </w:t>
      </w:r>
      <w:r w:rsidRPr="00CF47F3">
        <w:t>equilibrium</w:t>
      </w:r>
      <w:r>
        <w:t xml:space="preserve"> </w:t>
      </w:r>
      <w:r w:rsidRPr="00CF47F3">
        <w:t>models</w:t>
      </w:r>
      <w:r>
        <w:t xml:space="preserve"> </w:t>
      </w:r>
      <w:r w:rsidRPr="00CF47F3">
        <w:t>assume</w:t>
      </w:r>
      <w:r>
        <w:t xml:space="preserve"> </w:t>
      </w:r>
      <w:r w:rsidRPr="00CF47F3">
        <w:t>that</w:t>
      </w:r>
      <w:r>
        <w:t xml:space="preserve"> </w:t>
      </w:r>
      <w:r w:rsidRPr="00CF47F3">
        <w:t>there</w:t>
      </w:r>
      <w:r>
        <w:t xml:space="preserve"> </w:t>
      </w:r>
      <w:r w:rsidRPr="00CF47F3">
        <w:t>are</w:t>
      </w:r>
      <w:r>
        <w:t xml:space="preserve"> </w:t>
      </w:r>
      <w:r w:rsidRPr="00CF47F3">
        <w:t>many</w:t>
      </w:r>
      <w:r>
        <w:t xml:space="preserve"> </w:t>
      </w:r>
      <w:r w:rsidRPr="00CF47F3">
        <w:t>producers</w:t>
      </w:r>
      <w:r>
        <w:t xml:space="preserve"> </w:t>
      </w:r>
      <w:r w:rsidRPr="00CF47F3">
        <w:t>and</w:t>
      </w:r>
      <w:r>
        <w:t xml:space="preserve"> </w:t>
      </w:r>
      <w:r w:rsidRPr="00CF47F3">
        <w:t>consumers</w:t>
      </w:r>
      <w:r>
        <w:t xml:space="preserve"> </w:t>
      </w:r>
      <w:r w:rsidRPr="00CF47F3">
        <w:t>involved</w:t>
      </w:r>
      <w:r>
        <w:t xml:space="preserve"> </w:t>
      </w:r>
      <w:r w:rsidRPr="00CF47F3">
        <w:t>in</w:t>
      </w:r>
      <w:r>
        <w:t xml:space="preserve"> </w:t>
      </w:r>
      <w:r w:rsidRPr="00CF47F3">
        <w:t>the</w:t>
      </w:r>
      <w:r>
        <w:t xml:space="preserve"> </w:t>
      </w:r>
      <w:r w:rsidRPr="00CF47F3">
        <w:t>production</w:t>
      </w:r>
      <w:r>
        <w:t xml:space="preserve"> </w:t>
      </w:r>
      <w:r w:rsidRPr="00CF47F3">
        <w:t>and</w:t>
      </w:r>
      <w:r>
        <w:t xml:space="preserve"> </w:t>
      </w:r>
      <w:r w:rsidRPr="00CF47F3">
        <w:t>consumption,</w:t>
      </w:r>
      <w:r>
        <w:t xml:space="preserve"> </w:t>
      </w:r>
      <w:r w:rsidRPr="00CF47F3">
        <w:t>respectively,</w:t>
      </w:r>
      <w:r>
        <w:t xml:space="preserve"> </w:t>
      </w:r>
      <w:r w:rsidRPr="00CF47F3">
        <w:t>of</w:t>
      </w:r>
      <w:r>
        <w:t xml:space="preserve"> </w:t>
      </w:r>
      <w:r w:rsidRPr="00CF47F3">
        <w:t>one</w:t>
      </w:r>
      <w:r>
        <w:t xml:space="preserve"> </w:t>
      </w:r>
      <w:r w:rsidRPr="00CF47F3">
        <w:t>or</w:t>
      </w:r>
      <w:r>
        <w:t xml:space="preserve"> </w:t>
      </w:r>
      <w:r w:rsidRPr="00CF47F3">
        <w:t>more</w:t>
      </w:r>
      <w:r>
        <w:t xml:space="preserve"> </w:t>
      </w:r>
      <w:r w:rsidRPr="00CF47F3">
        <w:t>commodities</w:t>
      </w:r>
      <w:r>
        <w:t xml:space="preserve"> </w:t>
      </w:r>
      <w:r w:rsidRPr="00CF47F3">
        <w:t>and</w:t>
      </w:r>
      <w:r>
        <w:t xml:space="preserve"> </w:t>
      </w:r>
      <w:r w:rsidRPr="00CF47F3">
        <w:t>that</w:t>
      </w:r>
      <w:r>
        <w:t xml:space="preserve"> </w:t>
      </w:r>
      <w:r w:rsidRPr="00CF47F3">
        <w:t>as</w:t>
      </w:r>
      <w:r>
        <w:t xml:space="preserve"> </w:t>
      </w:r>
      <w:r w:rsidRPr="00CF47F3">
        <w:t>a</w:t>
      </w:r>
      <w:r>
        <w:t xml:space="preserve"> </w:t>
      </w:r>
      <w:r w:rsidRPr="00CF47F3">
        <w:t>result</w:t>
      </w:r>
      <w:r>
        <w:t xml:space="preserve"> </w:t>
      </w:r>
      <w:r w:rsidRPr="00CF47F3">
        <w:t>the</w:t>
      </w:r>
      <w:r>
        <w:t xml:space="preserve"> </w:t>
      </w:r>
      <w:r w:rsidRPr="00CF47F3">
        <w:t>market</w:t>
      </w:r>
      <w:r>
        <w:t xml:space="preserve"> </w:t>
      </w:r>
      <w:r w:rsidRPr="00CF47F3">
        <w:t>settles</w:t>
      </w:r>
      <w:r>
        <w:t xml:space="preserve"> </w:t>
      </w:r>
      <w:r w:rsidRPr="00CF47F3">
        <w:t>in</w:t>
      </w:r>
      <w:r>
        <w:t xml:space="preserve"> </w:t>
      </w:r>
      <w:r w:rsidRPr="00CF47F3">
        <w:t>an</w:t>
      </w:r>
      <w:r>
        <w:t xml:space="preserve"> </w:t>
      </w:r>
      <w:r w:rsidRPr="00CF47F3">
        <w:t>economically</w:t>
      </w:r>
      <w:r>
        <w:t xml:space="preserve"> </w:t>
      </w:r>
      <w:r w:rsidRPr="00CF47F3">
        <w:t>efficient</w:t>
      </w:r>
      <w:r>
        <w:t xml:space="preserve"> </w:t>
      </w:r>
      <w:r w:rsidRPr="00CF47F3">
        <w:t>fashion.</w:t>
      </w:r>
      <w:r>
        <w:t xml:space="preserve"> </w:t>
      </w:r>
      <w:r w:rsidRPr="00CF47F3">
        <w:t>Similar</w:t>
      </w:r>
      <w:r>
        <w:t xml:space="preserve"> </w:t>
      </w:r>
      <w:r w:rsidRPr="00CF47F3">
        <w:t>approaches</w:t>
      </w:r>
      <w:r>
        <w:t xml:space="preserve"> </w:t>
      </w:r>
      <w:r w:rsidRPr="00CF47F3">
        <w:t>are</w:t>
      </w:r>
      <w:r>
        <w:t xml:space="preserve"> </w:t>
      </w:r>
      <w:r w:rsidRPr="00CF47F3">
        <w:t>used</w:t>
      </w:r>
      <w:r>
        <w:t xml:space="preserve"> </w:t>
      </w:r>
      <w:r w:rsidRPr="00CF47F3">
        <w:t>within</w:t>
      </w:r>
      <w:r>
        <w:t xml:space="preserve"> </w:t>
      </w:r>
      <w:r w:rsidRPr="00CF47F3">
        <w:t>gas</w:t>
      </w:r>
      <w:r>
        <w:t xml:space="preserve"> </w:t>
      </w:r>
      <w:r w:rsidRPr="00CF47F3">
        <w:t>market</w:t>
      </w:r>
      <w:r>
        <w:t xml:space="preserve"> </w:t>
      </w:r>
      <w:r w:rsidRPr="00CF47F3">
        <w:t>models</w:t>
      </w:r>
      <w:r>
        <w:t xml:space="preserve"> </w:t>
      </w:r>
      <w:r w:rsidRPr="00CF47F3">
        <w:t>across</w:t>
      </w:r>
      <w:r>
        <w:t xml:space="preserve"> </w:t>
      </w:r>
      <w:r w:rsidRPr="00CF47F3">
        <w:t>the</w:t>
      </w:r>
      <w:r>
        <w:t xml:space="preserve"> </w:t>
      </w:r>
      <w:r w:rsidRPr="00CF47F3">
        <w:t>world.</w:t>
      </w:r>
    </w:p>
    <w:p w14:paraId="1632E33C" w14:textId="77777777" w:rsidR="00676882" w:rsidRDefault="00676882" w:rsidP="00676882">
      <w:pPr>
        <w:pStyle w:val="Caption"/>
      </w:pPr>
      <w:bookmarkStart w:id="517" w:name="_Toc80719300"/>
      <w:r w:rsidRPr="006B0263">
        <w:rPr>
          <w:rStyle w:val="CaptionLabel"/>
        </w:rPr>
        <w:lastRenderedPageBreak/>
        <w:t>Figure </w:t>
      </w:r>
      <w:r w:rsidRPr="006B0263">
        <w:rPr>
          <w:rStyle w:val="CaptionLabel"/>
        </w:rPr>
        <w:fldChar w:fldCharType="begin"/>
      </w:r>
      <w:r w:rsidRPr="006B0263">
        <w:rPr>
          <w:rStyle w:val="CaptionLabel"/>
        </w:rPr>
        <w:instrText xml:space="preserve"> STYLEREF 9 \S \* MERGEFORMAT </w:instrText>
      </w:r>
      <w:r w:rsidRPr="006B0263">
        <w:rPr>
          <w:rStyle w:val="CaptionLabel"/>
        </w:rPr>
        <w:fldChar w:fldCharType="separate"/>
      </w:r>
      <w:r>
        <w:rPr>
          <w:rStyle w:val="CaptionLabel"/>
          <w:noProof/>
        </w:rPr>
        <w:t>D</w:t>
      </w:r>
      <w:r w:rsidRPr="006B0263">
        <w:rPr>
          <w:rStyle w:val="CaptionLabel"/>
        </w:rPr>
        <w:fldChar w:fldCharType="end"/>
      </w:r>
      <w:r w:rsidRPr="006B0263">
        <w:rPr>
          <w:rStyle w:val="CaptionLabel"/>
        </w:rPr>
        <w:t>.</w:t>
      </w:r>
      <w:r w:rsidRPr="006B0263">
        <w:rPr>
          <w:rStyle w:val="CaptionLabel"/>
        </w:rPr>
        <w:fldChar w:fldCharType="begin"/>
      </w:r>
      <w:r w:rsidRPr="006B0263">
        <w:rPr>
          <w:rStyle w:val="CaptionLabel"/>
        </w:rPr>
        <w:instrText xml:space="preserve"> SEQ Figure_AP \* ARABIC \S 9 \* MERGEFORMAT </w:instrText>
      </w:r>
      <w:r w:rsidRPr="006B0263">
        <w:rPr>
          <w:rStyle w:val="CaptionLabel"/>
        </w:rPr>
        <w:fldChar w:fldCharType="separate"/>
      </w:r>
      <w:r>
        <w:rPr>
          <w:rStyle w:val="CaptionLabel"/>
          <w:noProof/>
        </w:rPr>
        <w:t>2</w:t>
      </w:r>
      <w:r w:rsidRPr="006B0263">
        <w:rPr>
          <w:rStyle w:val="CaptionLabel"/>
        </w:rPr>
        <w:fldChar w:fldCharType="end"/>
      </w:r>
      <w:r>
        <w:tab/>
        <w:t>Simplified example of market equilibrium and settlement process</w:t>
      </w:r>
      <w:bookmarkEnd w:id="517"/>
    </w:p>
    <w:p w14:paraId="3944274D" w14:textId="77777777" w:rsidR="00676882" w:rsidRDefault="00676882" w:rsidP="00676882">
      <w:pPr>
        <w:pStyle w:val="BodyText"/>
        <w:keepNext/>
        <w:keepLines/>
        <w:spacing w:before="0" w:after="0" w:line="0" w:lineRule="atLeast"/>
      </w:pPr>
      <w:r>
        <w:rPr>
          <w:noProof/>
        </w:rPr>
        <w:drawing>
          <wp:inline distT="0" distB="0" distL="0" distR="0" wp14:anchorId="73D78089" wp14:editId="2D6AF025">
            <wp:extent cx="5039360" cy="5304656"/>
            <wp:effectExtent l="0" t="0" r="8890" b="0"/>
            <wp:docPr id="539" name="Picture 539" descr="This figure shows a simplified example of market equilibrium and settlement process where supply equals dem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 name="Picture 539" descr="This figure shows a simplified example of market equilibrium and settlement process where supply equals demand."/>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5039360" cy="5304656"/>
                    </a:xfrm>
                    <a:prstGeom prst="rect">
                      <a:avLst/>
                    </a:prstGeom>
                  </pic:spPr>
                </pic:pic>
              </a:graphicData>
            </a:graphic>
          </wp:inline>
        </w:drawing>
      </w:r>
    </w:p>
    <w:p w14:paraId="06A478C9" w14:textId="77777777" w:rsidR="00676882" w:rsidRPr="00950866" w:rsidRDefault="00676882" w:rsidP="00676882">
      <w:pPr>
        <w:pStyle w:val="BodyText"/>
        <w:keepNext/>
        <w:keepLines/>
        <w:spacing w:before="0" w:after="0" w:line="0" w:lineRule="atLeast"/>
        <w:rPr>
          <w:i/>
          <w:iCs/>
          <w:sz w:val="16"/>
          <w:szCs w:val="16"/>
        </w:rPr>
      </w:pPr>
      <w:r w:rsidRPr="00950866">
        <w:rPr>
          <w:i/>
          <w:iCs/>
          <w:sz w:val="16"/>
          <w:szCs w:val="16"/>
        </w:rPr>
        <w:t>Source: ACIL Allen</w:t>
      </w:r>
    </w:p>
    <w:p w14:paraId="6EBA7941" w14:textId="77777777" w:rsidR="00676882" w:rsidRPr="00CF47F3" w:rsidRDefault="00676882" w:rsidP="00676882">
      <w:pPr>
        <w:pStyle w:val="Heading3AP"/>
      </w:pPr>
      <w:bookmarkStart w:id="518" w:name="_Toc473624803"/>
      <w:bookmarkStart w:id="519" w:name="_Toc473903495"/>
      <w:bookmarkStart w:id="520" w:name="_Toc475465027"/>
      <w:bookmarkStart w:id="521" w:name="_Toc536180540"/>
      <w:r w:rsidRPr="00CF47F3">
        <w:t>Data</w:t>
      </w:r>
      <w:r>
        <w:t xml:space="preserve"> </w:t>
      </w:r>
      <w:r w:rsidRPr="00CF47F3">
        <w:t>inputs</w:t>
      </w:r>
      <w:bookmarkEnd w:id="518"/>
      <w:bookmarkEnd w:id="519"/>
      <w:bookmarkEnd w:id="520"/>
      <w:bookmarkEnd w:id="521"/>
    </w:p>
    <w:p w14:paraId="02CAA256" w14:textId="77777777" w:rsidR="00676882" w:rsidRPr="00CF47F3" w:rsidRDefault="00676882" w:rsidP="00676882">
      <w:pPr>
        <w:pStyle w:val="BodyText"/>
      </w:pPr>
      <w:r w:rsidRPr="00CF47F3">
        <w:t>The</w:t>
      </w:r>
      <w:r>
        <w:t xml:space="preserve"> </w:t>
      </w:r>
      <w:r w:rsidRPr="00CF47F3">
        <w:t>user</w:t>
      </w:r>
      <w:r>
        <w:t xml:space="preserve"> </w:t>
      </w:r>
      <w:r w:rsidRPr="00CF47F3">
        <w:t>can</w:t>
      </w:r>
      <w:r>
        <w:t xml:space="preserve"> </w:t>
      </w:r>
      <w:r w:rsidRPr="00CF47F3">
        <w:t>establish</w:t>
      </w:r>
      <w:r>
        <w:t xml:space="preserve"> </w:t>
      </w:r>
      <w:r w:rsidRPr="00CF47F3">
        <w:t>the</w:t>
      </w:r>
      <w:r>
        <w:t xml:space="preserve"> </w:t>
      </w:r>
      <w:r w:rsidRPr="00CF47F3">
        <w:t>level</w:t>
      </w:r>
      <w:r>
        <w:t xml:space="preserve"> </w:t>
      </w:r>
      <w:r w:rsidRPr="00CF47F3">
        <w:t>of</w:t>
      </w:r>
      <w:r>
        <w:t xml:space="preserve"> </w:t>
      </w:r>
      <w:r w:rsidRPr="00CF47F3">
        <w:t>detail</w:t>
      </w:r>
      <w:r>
        <w:t xml:space="preserve"> </w:t>
      </w:r>
      <w:r w:rsidRPr="00CF47F3">
        <w:t>by</w:t>
      </w:r>
      <w:r>
        <w:t xml:space="preserve"> </w:t>
      </w:r>
      <w:r w:rsidRPr="00CF47F3">
        <w:t>defining</w:t>
      </w:r>
      <w:r>
        <w:t xml:space="preserve"> </w:t>
      </w:r>
      <w:r w:rsidRPr="00CF47F3">
        <w:t>a</w:t>
      </w:r>
      <w:r>
        <w:t xml:space="preserve"> </w:t>
      </w:r>
      <w:r w:rsidRPr="00CF47F3">
        <w:t>set</w:t>
      </w:r>
      <w:r>
        <w:t xml:space="preserve"> </w:t>
      </w:r>
      <w:r w:rsidRPr="00CF47F3">
        <w:t>of</w:t>
      </w:r>
      <w:r>
        <w:t xml:space="preserve"> </w:t>
      </w:r>
      <w:r w:rsidRPr="00CF47F3">
        <w:t>supply</w:t>
      </w:r>
      <w:r>
        <w:t xml:space="preserve"> </w:t>
      </w:r>
      <w:r w:rsidRPr="00CF47F3">
        <w:t>regions,</w:t>
      </w:r>
      <w:r>
        <w:t xml:space="preserve"> </w:t>
      </w:r>
      <w:r w:rsidRPr="00CF47F3">
        <w:t>customers,</w:t>
      </w:r>
      <w:r>
        <w:t xml:space="preserve"> </w:t>
      </w:r>
      <w:r w:rsidRPr="00CF47F3">
        <w:t>demand</w:t>
      </w:r>
      <w:r>
        <w:t xml:space="preserve"> </w:t>
      </w:r>
      <w:r w:rsidRPr="00CF47F3">
        <w:t>regions,</w:t>
      </w:r>
      <w:r>
        <w:t xml:space="preserve"> </w:t>
      </w:r>
      <w:r w:rsidRPr="00CF47F3">
        <w:t>pipelines</w:t>
      </w:r>
      <w:r>
        <w:t xml:space="preserve"> </w:t>
      </w:r>
      <w:r w:rsidRPr="00CF47F3">
        <w:t>and</w:t>
      </w:r>
      <w:r>
        <w:t xml:space="preserve"> </w:t>
      </w:r>
      <w:r w:rsidRPr="00CF47F3">
        <w:t>LNG</w:t>
      </w:r>
      <w:r>
        <w:t xml:space="preserve"> </w:t>
      </w:r>
      <w:r w:rsidRPr="00CF47F3">
        <w:t>facilities.</w:t>
      </w:r>
      <w:r>
        <w:t xml:space="preserve"> </w:t>
      </w:r>
      <w:r w:rsidRPr="00CF47F3">
        <w:t>These</w:t>
      </w:r>
      <w:r>
        <w:t xml:space="preserve"> </w:t>
      </w:r>
      <w:r w:rsidRPr="00CF47F3">
        <w:t>sets</w:t>
      </w:r>
      <w:r>
        <w:t xml:space="preserve"> </w:t>
      </w:r>
      <w:r w:rsidRPr="00CF47F3">
        <w:t>of</w:t>
      </w:r>
      <w:r>
        <w:t xml:space="preserve"> </w:t>
      </w:r>
      <w:r w:rsidRPr="00CF47F3">
        <w:t>basic</w:t>
      </w:r>
      <w:r>
        <w:t xml:space="preserve"> </w:t>
      </w:r>
      <w:r w:rsidRPr="00CF47F3">
        <w:t>entities</w:t>
      </w:r>
      <w:r>
        <w:t xml:space="preserve"> </w:t>
      </w:r>
      <w:r w:rsidRPr="00CF47F3">
        <w:t>in</w:t>
      </w:r>
      <w:r>
        <w:t xml:space="preserve"> </w:t>
      </w:r>
      <w:r w:rsidRPr="00CF47F3">
        <w:t>the</w:t>
      </w:r>
      <w:r>
        <w:t xml:space="preserve"> </w:t>
      </w:r>
      <w:r w:rsidRPr="00CF47F3">
        <w:t>model</w:t>
      </w:r>
      <w:r>
        <w:t xml:space="preserve"> </w:t>
      </w:r>
      <w:r w:rsidRPr="00CF47F3">
        <w:t>can</w:t>
      </w:r>
      <w:r>
        <w:t xml:space="preserve"> </w:t>
      </w:r>
      <w:r w:rsidRPr="00CF47F3">
        <w:t>be</w:t>
      </w:r>
      <w:r>
        <w:t xml:space="preserve"> </w:t>
      </w:r>
      <w:r w:rsidRPr="00CF47F3">
        <w:t>very</w:t>
      </w:r>
      <w:r>
        <w:t xml:space="preserve"> </w:t>
      </w:r>
      <w:r w:rsidRPr="00CF47F3">
        <w:t>detailed</w:t>
      </w:r>
      <w:r>
        <w:t xml:space="preserve"> </w:t>
      </w:r>
      <w:r w:rsidRPr="00CF47F3">
        <w:t>or</w:t>
      </w:r>
      <w:r>
        <w:t xml:space="preserve"> </w:t>
      </w:r>
      <w:r w:rsidRPr="00CF47F3">
        <w:t>aggregated</w:t>
      </w:r>
      <w:r>
        <w:t xml:space="preserve"> </w:t>
      </w:r>
      <w:r w:rsidRPr="00CF47F3">
        <w:t>as</w:t>
      </w:r>
      <w:r>
        <w:t xml:space="preserve"> </w:t>
      </w:r>
      <w:r w:rsidRPr="00CF47F3">
        <w:t>best</w:t>
      </w:r>
      <w:r>
        <w:t xml:space="preserve"> </w:t>
      </w:r>
      <w:r w:rsidRPr="00CF47F3">
        <w:t>suits</w:t>
      </w:r>
      <w:r>
        <w:t xml:space="preserve"> </w:t>
      </w:r>
      <w:r w:rsidRPr="00CF47F3">
        <w:t>the</w:t>
      </w:r>
      <w:r>
        <w:t xml:space="preserve"> </w:t>
      </w:r>
      <w:r w:rsidRPr="00CF47F3">
        <w:t>objectives</w:t>
      </w:r>
      <w:r>
        <w:t xml:space="preserve"> </w:t>
      </w:r>
      <w:r w:rsidRPr="00CF47F3">
        <w:t>of</w:t>
      </w:r>
      <w:r>
        <w:t xml:space="preserve"> </w:t>
      </w:r>
      <w:r w:rsidRPr="00CF47F3">
        <w:t>the</w:t>
      </w:r>
      <w:r>
        <w:t xml:space="preserve"> </w:t>
      </w:r>
      <w:r w:rsidRPr="00CF47F3">
        <w:t>user.</w:t>
      </w:r>
      <w:r>
        <w:t xml:space="preserve"> </w:t>
      </w:r>
      <w:r w:rsidRPr="00CF47F3">
        <w:t>A</w:t>
      </w:r>
      <w:r>
        <w:t xml:space="preserve"> </w:t>
      </w:r>
      <w:r w:rsidRPr="00CF47F3">
        <w:t>‘pipeline’ could</w:t>
      </w:r>
      <w:r>
        <w:t xml:space="preserve"> </w:t>
      </w:r>
      <w:r w:rsidRPr="00CF47F3">
        <w:t>represent</w:t>
      </w:r>
      <w:r>
        <w:t xml:space="preserve"> </w:t>
      </w:r>
      <w:r w:rsidRPr="00CF47F3">
        <w:t>an</w:t>
      </w:r>
      <w:r>
        <w:t xml:space="preserve"> </w:t>
      </w:r>
      <w:r w:rsidRPr="00CF47F3">
        <w:t>actual</w:t>
      </w:r>
      <w:r>
        <w:t xml:space="preserve"> </w:t>
      </w:r>
      <w:r w:rsidRPr="00CF47F3">
        <w:t>pipeline</w:t>
      </w:r>
      <w:r>
        <w:t xml:space="preserve"> </w:t>
      </w:r>
      <w:r w:rsidRPr="00CF47F3">
        <w:t>or</w:t>
      </w:r>
      <w:r>
        <w:t xml:space="preserve"> </w:t>
      </w:r>
      <w:r w:rsidRPr="00CF47F3">
        <w:t>a</w:t>
      </w:r>
      <w:r>
        <w:t xml:space="preserve"> </w:t>
      </w:r>
      <w:r w:rsidRPr="00CF47F3">
        <w:t>pipeline</w:t>
      </w:r>
      <w:r>
        <w:t xml:space="preserve"> </w:t>
      </w:r>
      <w:r w:rsidRPr="00CF47F3">
        <w:t>corridor</w:t>
      </w:r>
      <w:r>
        <w:t xml:space="preserve"> </w:t>
      </w:r>
      <w:r w:rsidRPr="00CF47F3">
        <w:t>between</w:t>
      </w:r>
      <w:r>
        <w:t xml:space="preserve"> </w:t>
      </w:r>
      <w:r w:rsidRPr="00CF47F3">
        <w:t>a</w:t>
      </w:r>
      <w:r>
        <w:t xml:space="preserve"> </w:t>
      </w:r>
      <w:r w:rsidRPr="00CF47F3">
        <w:t>supply</w:t>
      </w:r>
      <w:r>
        <w:t xml:space="preserve"> </w:t>
      </w:r>
      <w:r w:rsidRPr="00CF47F3">
        <w:t>and</w:t>
      </w:r>
      <w:r>
        <w:t xml:space="preserve"> </w:t>
      </w:r>
      <w:r w:rsidRPr="00CF47F3">
        <w:t>a</w:t>
      </w:r>
      <w:r>
        <w:t xml:space="preserve"> </w:t>
      </w:r>
      <w:r w:rsidRPr="00CF47F3">
        <w:t>demand</w:t>
      </w:r>
      <w:r>
        <w:t xml:space="preserve"> </w:t>
      </w:r>
      <w:r w:rsidRPr="00CF47F3">
        <w:t>region.</w:t>
      </w:r>
      <w:r>
        <w:t xml:space="preserve"> </w:t>
      </w:r>
      <w:r w:rsidRPr="00CF47F3">
        <w:t>A</w:t>
      </w:r>
      <w:r>
        <w:t xml:space="preserve"> </w:t>
      </w:r>
      <w:r w:rsidRPr="00CF47F3">
        <w:t>supplier</w:t>
      </w:r>
      <w:r>
        <w:t xml:space="preserve"> </w:t>
      </w:r>
      <w:r w:rsidRPr="00CF47F3">
        <w:t>could</w:t>
      </w:r>
      <w:r>
        <w:t xml:space="preserve"> </w:t>
      </w:r>
      <w:r w:rsidRPr="00CF47F3">
        <w:t>be</w:t>
      </w:r>
      <w:r>
        <w:t xml:space="preserve"> </w:t>
      </w:r>
      <w:r w:rsidRPr="00CF47F3">
        <w:t>a</w:t>
      </w:r>
      <w:r>
        <w:t xml:space="preserve"> </w:t>
      </w:r>
      <w:r w:rsidRPr="00CF47F3">
        <w:t>whole</w:t>
      </w:r>
      <w:r>
        <w:t xml:space="preserve"> </w:t>
      </w:r>
      <w:r w:rsidRPr="00CF47F3">
        <w:t>gas</w:t>
      </w:r>
      <w:r>
        <w:t xml:space="preserve"> </w:t>
      </w:r>
      <w:r w:rsidRPr="00CF47F3">
        <w:t>production</w:t>
      </w:r>
      <w:r>
        <w:t xml:space="preserve"> </w:t>
      </w:r>
      <w:r w:rsidRPr="00CF47F3">
        <w:t>basin</w:t>
      </w:r>
      <w:r>
        <w:t xml:space="preserve"> </w:t>
      </w:r>
      <w:r w:rsidRPr="00CF47F3">
        <w:t>aggregating</w:t>
      </w:r>
      <w:r>
        <w:t xml:space="preserve"> </w:t>
      </w:r>
      <w:r w:rsidRPr="00CF47F3">
        <w:t>the</w:t>
      </w:r>
      <w:r>
        <w:t xml:space="preserve"> </w:t>
      </w:r>
      <w:r w:rsidRPr="00CF47F3">
        <w:t>output</w:t>
      </w:r>
      <w:r>
        <w:t xml:space="preserve"> </w:t>
      </w:r>
      <w:r w:rsidRPr="00CF47F3">
        <w:t>of</w:t>
      </w:r>
      <w:r>
        <w:t xml:space="preserve"> </w:t>
      </w:r>
      <w:r w:rsidRPr="00CF47F3">
        <w:t>many</w:t>
      </w:r>
      <w:r>
        <w:t xml:space="preserve"> </w:t>
      </w:r>
      <w:r w:rsidRPr="00CF47F3">
        <w:t>individual</w:t>
      </w:r>
      <w:r>
        <w:t xml:space="preserve"> </w:t>
      </w:r>
      <w:r w:rsidRPr="00CF47F3">
        <w:t>fields or</w:t>
      </w:r>
      <w:r>
        <w:t xml:space="preserve"> </w:t>
      </w:r>
      <w:r w:rsidRPr="00CF47F3">
        <w:t>could</w:t>
      </w:r>
      <w:r>
        <w:t xml:space="preserve"> </w:t>
      </w:r>
      <w:r w:rsidRPr="00CF47F3">
        <w:t>be</w:t>
      </w:r>
      <w:r>
        <w:t xml:space="preserve"> </w:t>
      </w:r>
      <w:r w:rsidRPr="00CF47F3">
        <w:t>a</w:t>
      </w:r>
      <w:r>
        <w:t xml:space="preserve"> </w:t>
      </w:r>
      <w:r w:rsidRPr="00CF47F3">
        <w:t>specific</w:t>
      </w:r>
      <w:r>
        <w:t xml:space="preserve"> </w:t>
      </w:r>
      <w:r w:rsidRPr="00CF47F3">
        <w:t>producer</w:t>
      </w:r>
      <w:r>
        <w:t xml:space="preserve"> </w:t>
      </w:r>
      <w:r w:rsidRPr="00CF47F3">
        <w:t>in</w:t>
      </w:r>
      <w:r>
        <w:t xml:space="preserve"> </w:t>
      </w:r>
      <w:r w:rsidRPr="00CF47F3">
        <w:t>a</w:t>
      </w:r>
      <w:r>
        <w:t xml:space="preserve"> </w:t>
      </w:r>
      <w:r w:rsidRPr="00CF47F3">
        <w:t>smaller</w:t>
      </w:r>
      <w:r>
        <w:t xml:space="preserve"> </w:t>
      </w:r>
      <w:r w:rsidRPr="00CF47F3">
        <w:t>region.</w:t>
      </w:r>
      <w:r>
        <w:t xml:space="preserve"> </w:t>
      </w:r>
      <w:r w:rsidRPr="00CF47F3">
        <w:t>Similarly,</w:t>
      </w:r>
      <w:r>
        <w:t xml:space="preserve"> </w:t>
      </w:r>
      <w:r w:rsidRPr="00CF47F3">
        <w:t>a</w:t>
      </w:r>
      <w:r>
        <w:t xml:space="preserve"> </w:t>
      </w:r>
      <w:r w:rsidRPr="00CF47F3">
        <w:t>demand</w:t>
      </w:r>
      <w:r>
        <w:t xml:space="preserve"> </w:t>
      </w:r>
      <w:r w:rsidRPr="00CF47F3">
        <w:t>point</w:t>
      </w:r>
      <w:r>
        <w:t xml:space="preserve"> </w:t>
      </w:r>
      <w:r w:rsidRPr="00CF47F3">
        <w:t>could</w:t>
      </w:r>
      <w:r>
        <w:t xml:space="preserve"> </w:t>
      </w:r>
      <w:r w:rsidRPr="00CF47F3">
        <w:t>be</w:t>
      </w:r>
      <w:r>
        <w:t xml:space="preserve"> </w:t>
      </w:r>
      <w:r w:rsidRPr="00CF47F3">
        <w:t>a</w:t>
      </w:r>
      <w:r>
        <w:t xml:space="preserve"> </w:t>
      </w:r>
      <w:r w:rsidRPr="00CF47F3">
        <w:t>single</w:t>
      </w:r>
      <w:r>
        <w:t xml:space="preserve"> </w:t>
      </w:r>
      <w:r w:rsidRPr="00CF47F3">
        <w:t>industrial</w:t>
      </w:r>
      <w:r>
        <w:t xml:space="preserve"> </w:t>
      </w:r>
      <w:r w:rsidRPr="00CF47F3">
        <w:t>user</w:t>
      </w:r>
      <w:r>
        <w:t xml:space="preserve"> </w:t>
      </w:r>
      <w:r w:rsidRPr="00CF47F3">
        <w:t>or</w:t>
      </w:r>
      <w:r>
        <w:t xml:space="preserve"> </w:t>
      </w:r>
      <w:r w:rsidRPr="00CF47F3">
        <w:t>an</w:t>
      </w:r>
      <w:r>
        <w:t xml:space="preserve"> </w:t>
      </w:r>
      <w:r w:rsidRPr="00CF47F3">
        <w:t>aggregation</w:t>
      </w:r>
      <w:r>
        <w:t xml:space="preserve"> </w:t>
      </w:r>
      <w:r w:rsidRPr="00CF47F3">
        <w:t>of</w:t>
      </w:r>
      <w:r>
        <w:t xml:space="preserve"> </w:t>
      </w:r>
      <w:r w:rsidRPr="00CF47F3">
        <w:t>small</w:t>
      </w:r>
      <w:r>
        <w:t xml:space="preserve"> </w:t>
      </w:r>
      <w:r w:rsidRPr="00CF47F3">
        <w:t>consumers</w:t>
      </w:r>
      <w:r>
        <w:t xml:space="preserve"> </w:t>
      </w:r>
      <w:r w:rsidRPr="00CF47F3">
        <w:t>such</w:t>
      </w:r>
      <w:r>
        <w:t xml:space="preserve"> </w:t>
      </w:r>
      <w:r w:rsidRPr="00CF47F3">
        <w:t>as</w:t>
      </w:r>
      <w:r>
        <w:t xml:space="preserve"> </w:t>
      </w:r>
      <w:r w:rsidRPr="00CF47F3">
        <w:t>the</w:t>
      </w:r>
      <w:r>
        <w:t xml:space="preserve"> </w:t>
      </w:r>
      <w:r w:rsidRPr="00CF47F3">
        <w:t>residential</w:t>
      </w:r>
      <w:r>
        <w:t xml:space="preserve"> </w:t>
      </w:r>
      <w:r w:rsidRPr="00CF47F3">
        <w:t>and</w:t>
      </w:r>
      <w:r>
        <w:t xml:space="preserve"> </w:t>
      </w:r>
      <w:r w:rsidRPr="00CF47F3">
        <w:t>commercial</w:t>
      </w:r>
      <w:r>
        <w:t xml:space="preserve"> </w:t>
      </w:r>
      <w:r w:rsidRPr="00CF47F3">
        <w:t>users</w:t>
      </w:r>
      <w:r>
        <w:t xml:space="preserve"> </w:t>
      </w:r>
      <w:r w:rsidRPr="00CF47F3">
        <w:t>typically</w:t>
      </w:r>
      <w:r>
        <w:t xml:space="preserve"> </w:t>
      </w:r>
      <w:r w:rsidRPr="00CF47F3">
        <w:t>serviced</w:t>
      </w:r>
      <w:r>
        <w:t xml:space="preserve"> </w:t>
      </w:r>
      <w:r w:rsidRPr="00CF47F3">
        <w:t>by</w:t>
      </w:r>
      <w:r>
        <w:t xml:space="preserve"> </w:t>
      </w:r>
      <w:r w:rsidRPr="00CF47F3">
        <w:t>energy</w:t>
      </w:r>
      <w:r>
        <w:t xml:space="preserve"> </w:t>
      </w:r>
      <w:r w:rsidRPr="00CF47F3">
        <w:t>utility</w:t>
      </w:r>
      <w:r>
        <w:t xml:space="preserve"> </w:t>
      </w:r>
      <w:r w:rsidRPr="00CF47F3">
        <w:t>companies.</w:t>
      </w:r>
    </w:p>
    <w:p w14:paraId="32C26A20" w14:textId="77777777" w:rsidR="00676882" w:rsidRPr="00CF47F3" w:rsidRDefault="00676882" w:rsidP="00676882">
      <w:pPr>
        <w:pStyle w:val="BodyText"/>
      </w:pPr>
      <w:r w:rsidRPr="00CF47F3">
        <w:t>The</w:t>
      </w:r>
      <w:r>
        <w:t xml:space="preserve"> </w:t>
      </w:r>
      <w:r w:rsidRPr="00CF47F3">
        <w:t>inputs</w:t>
      </w:r>
      <w:r>
        <w:t xml:space="preserve"> </w:t>
      </w:r>
      <w:r w:rsidRPr="00CF47F3">
        <w:t>to</w:t>
      </w:r>
      <w:r>
        <w:t xml:space="preserve"> </w:t>
      </w:r>
      <w:r w:rsidRPr="00CF47F3">
        <w:t>GMG</w:t>
      </w:r>
      <w:r>
        <w:t xml:space="preserve"> </w:t>
      </w:r>
      <w:r w:rsidRPr="00CF47F3">
        <w:t>Australia</w:t>
      </w:r>
      <w:r>
        <w:t xml:space="preserve"> </w:t>
      </w:r>
      <w:r w:rsidRPr="00CF47F3">
        <w:t>can</w:t>
      </w:r>
      <w:r>
        <w:t xml:space="preserve"> </w:t>
      </w:r>
      <w:r w:rsidRPr="00CF47F3">
        <w:t>be</w:t>
      </w:r>
      <w:r>
        <w:t xml:space="preserve"> </w:t>
      </w:r>
      <w:r w:rsidRPr="00CF47F3">
        <w:t>categorised</w:t>
      </w:r>
      <w:r>
        <w:t xml:space="preserve"> </w:t>
      </w:r>
      <w:r w:rsidRPr="00CF47F3">
        <w:t>as</w:t>
      </w:r>
      <w:r>
        <w:t xml:space="preserve"> </w:t>
      </w:r>
      <w:r w:rsidRPr="00CF47F3">
        <w:t>follows:</w:t>
      </w:r>
    </w:p>
    <w:p w14:paraId="676E1FE6" w14:textId="77777777" w:rsidR="00676882" w:rsidRPr="00CF47F3" w:rsidRDefault="00676882" w:rsidP="00676882">
      <w:pPr>
        <w:pStyle w:val="ListBullet"/>
      </w:pPr>
      <w:r w:rsidRPr="00CF47F3">
        <w:rPr>
          <w:b/>
        </w:rPr>
        <w:t>Existing</w:t>
      </w:r>
      <w:r>
        <w:rPr>
          <w:b/>
        </w:rPr>
        <w:t xml:space="preserve"> </w:t>
      </w:r>
      <w:r w:rsidRPr="00CF47F3">
        <w:rPr>
          <w:b/>
        </w:rPr>
        <w:t>and</w:t>
      </w:r>
      <w:r>
        <w:rPr>
          <w:b/>
        </w:rPr>
        <w:t xml:space="preserve"> </w:t>
      </w:r>
      <w:r w:rsidRPr="00CF47F3">
        <w:rPr>
          <w:b/>
        </w:rPr>
        <w:t>potential</w:t>
      </w:r>
      <w:r>
        <w:rPr>
          <w:b/>
        </w:rPr>
        <w:t xml:space="preserve"> </w:t>
      </w:r>
      <w:r w:rsidRPr="00CF47F3">
        <w:rPr>
          <w:b/>
        </w:rPr>
        <w:t>new</w:t>
      </w:r>
      <w:r>
        <w:rPr>
          <w:b/>
        </w:rPr>
        <w:t xml:space="preserve"> </w:t>
      </w:r>
      <w:r w:rsidRPr="00CF47F3">
        <w:rPr>
          <w:b/>
        </w:rPr>
        <w:t>sources</w:t>
      </w:r>
      <w:r>
        <w:rPr>
          <w:b/>
        </w:rPr>
        <w:t xml:space="preserve"> </w:t>
      </w:r>
      <w:r w:rsidRPr="00CF47F3">
        <w:rPr>
          <w:b/>
        </w:rPr>
        <w:t>of</w:t>
      </w:r>
      <w:r>
        <w:rPr>
          <w:b/>
        </w:rPr>
        <w:t xml:space="preserve"> </w:t>
      </w:r>
      <w:r w:rsidRPr="00CF47F3">
        <w:rPr>
          <w:b/>
        </w:rPr>
        <w:t>gas</w:t>
      </w:r>
      <w:r>
        <w:rPr>
          <w:b/>
        </w:rPr>
        <w:t xml:space="preserve"> </w:t>
      </w:r>
      <w:r w:rsidRPr="00CF47F3">
        <w:rPr>
          <w:b/>
        </w:rPr>
        <w:t>supply</w:t>
      </w:r>
      <w:r w:rsidRPr="00CF47F3">
        <w:t>: these</w:t>
      </w:r>
      <w:r>
        <w:t xml:space="preserve"> </w:t>
      </w:r>
      <w:r w:rsidRPr="00CF47F3">
        <w:t>are</w:t>
      </w:r>
      <w:r>
        <w:t xml:space="preserve"> </w:t>
      </w:r>
      <w:r w:rsidRPr="00CF47F3">
        <w:t>characterised</w:t>
      </w:r>
      <w:r>
        <w:t xml:space="preserve"> </w:t>
      </w:r>
      <w:r w:rsidRPr="00CF47F3">
        <w:t>by</w:t>
      </w:r>
      <w:r>
        <w:t xml:space="preserve"> </w:t>
      </w:r>
      <w:r w:rsidRPr="00CF47F3">
        <w:t>assumptions</w:t>
      </w:r>
      <w:r>
        <w:t xml:space="preserve"> </w:t>
      </w:r>
      <w:r w:rsidRPr="00CF47F3">
        <w:t>about</w:t>
      </w:r>
      <w:r>
        <w:t xml:space="preserve"> </w:t>
      </w:r>
      <w:r w:rsidRPr="00CF47F3">
        <w:t>available</w:t>
      </w:r>
      <w:r>
        <w:t xml:space="preserve"> </w:t>
      </w:r>
      <w:r w:rsidRPr="00CF47F3">
        <w:t>reserves,</w:t>
      </w:r>
      <w:r>
        <w:t xml:space="preserve"> </w:t>
      </w:r>
      <w:r w:rsidRPr="00CF47F3">
        <w:t>production</w:t>
      </w:r>
      <w:r>
        <w:t xml:space="preserve"> </w:t>
      </w:r>
      <w:r w:rsidRPr="00CF47F3">
        <w:t>rates,</w:t>
      </w:r>
      <w:r>
        <w:t xml:space="preserve"> </w:t>
      </w:r>
      <w:r w:rsidRPr="00CF47F3">
        <w:t>production</w:t>
      </w:r>
      <w:r>
        <w:t xml:space="preserve"> </w:t>
      </w:r>
      <w:r w:rsidRPr="00CF47F3">
        <w:t>decline</w:t>
      </w:r>
      <w:r>
        <w:t xml:space="preserve"> </w:t>
      </w:r>
      <w:r w:rsidRPr="00CF47F3">
        <w:t>characteristics,</w:t>
      </w:r>
      <w:r>
        <w:t xml:space="preserve"> </w:t>
      </w:r>
      <w:r w:rsidRPr="00CF47F3">
        <w:t>and</w:t>
      </w:r>
      <w:r>
        <w:t xml:space="preserve"> </w:t>
      </w:r>
      <w:r w:rsidRPr="00CF47F3">
        <w:t>minimum</w:t>
      </w:r>
      <w:r>
        <w:t xml:space="preserve"> </w:t>
      </w:r>
      <w:r w:rsidRPr="00CF47F3">
        <w:t>price</w:t>
      </w:r>
      <w:r>
        <w:t xml:space="preserve"> </w:t>
      </w:r>
      <w:r w:rsidRPr="00CF47F3">
        <w:t>expectations</w:t>
      </w:r>
      <w:r>
        <w:t xml:space="preserve"> </w:t>
      </w:r>
      <w:r w:rsidRPr="00CF47F3">
        <w:t>of</w:t>
      </w:r>
      <w:r>
        <w:t xml:space="preserve"> </w:t>
      </w:r>
      <w:r w:rsidRPr="00CF47F3">
        <w:t>the</w:t>
      </w:r>
      <w:r>
        <w:t xml:space="preserve"> </w:t>
      </w:r>
      <w:r w:rsidRPr="00CF47F3">
        <w:t>producer.</w:t>
      </w:r>
      <w:r>
        <w:t xml:space="preserve"> </w:t>
      </w:r>
      <w:r w:rsidRPr="00CF47F3">
        <w:t>These</w:t>
      </w:r>
      <w:r>
        <w:t xml:space="preserve"> </w:t>
      </w:r>
      <w:r w:rsidRPr="00CF47F3">
        <w:t>price</w:t>
      </w:r>
      <w:r>
        <w:t xml:space="preserve"> </w:t>
      </w:r>
      <w:r w:rsidRPr="00CF47F3">
        <w:t>expectations</w:t>
      </w:r>
      <w:r>
        <w:t xml:space="preserve"> </w:t>
      </w:r>
      <w:r w:rsidRPr="00CF47F3">
        <w:t>may</w:t>
      </w:r>
      <w:r>
        <w:t xml:space="preserve"> </w:t>
      </w:r>
      <w:r w:rsidRPr="00CF47F3">
        <w:t>be</w:t>
      </w:r>
      <w:r>
        <w:t xml:space="preserve"> </w:t>
      </w:r>
      <w:r w:rsidRPr="00CF47F3">
        <w:t>based</w:t>
      </w:r>
      <w:r>
        <w:t xml:space="preserve"> </w:t>
      </w:r>
      <w:r w:rsidRPr="00CF47F3">
        <w:t>on</w:t>
      </w:r>
      <w:r>
        <w:t xml:space="preserve"> </w:t>
      </w:r>
      <w:r w:rsidRPr="00CF47F3">
        <w:t>long-run</w:t>
      </w:r>
      <w:r>
        <w:t xml:space="preserve"> </w:t>
      </w:r>
      <w:r w:rsidRPr="00CF47F3">
        <w:t>marginal</w:t>
      </w:r>
      <w:r>
        <w:t xml:space="preserve"> </w:t>
      </w:r>
      <w:r w:rsidRPr="00CF47F3">
        <w:t>costs</w:t>
      </w:r>
      <w:r>
        <w:t xml:space="preserve"> </w:t>
      </w:r>
      <w:r w:rsidRPr="00CF47F3">
        <w:t>of</w:t>
      </w:r>
      <w:r>
        <w:t xml:space="preserve"> </w:t>
      </w:r>
      <w:r w:rsidRPr="00CF47F3">
        <w:t>production</w:t>
      </w:r>
      <w:r>
        <w:t xml:space="preserve"> </w:t>
      </w:r>
      <w:r w:rsidRPr="00CF47F3">
        <w:t>or</w:t>
      </w:r>
      <w:r>
        <w:t xml:space="preserve"> </w:t>
      </w:r>
      <w:r w:rsidRPr="00CF47F3">
        <w:t>on</w:t>
      </w:r>
      <w:r>
        <w:t xml:space="preserve"> </w:t>
      </w:r>
      <w:r w:rsidRPr="00CF47F3">
        <w:t>market</w:t>
      </w:r>
      <w:r>
        <w:t xml:space="preserve"> </w:t>
      </w:r>
      <w:r w:rsidRPr="00CF47F3">
        <w:t>expectations,</w:t>
      </w:r>
      <w:r>
        <w:t xml:space="preserve"> </w:t>
      </w:r>
      <w:r w:rsidRPr="00CF47F3">
        <w:t>including</w:t>
      </w:r>
      <w:r>
        <w:t xml:space="preserve"> </w:t>
      </w:r>
      <w:r w:rsidRPr="00CF47F3">
        <w:t>producer’s</w:t>
      </w:r>
      <w:r>
        <w:t xml:space="preserve"> </w:t>
      </w:r>
      <w:r w:rsidRPr="00CF47F3">
        <w:t>understandings</w:t>
      </w:r>
      <w:r>
        <w:t xml:space="preserve"> </w:t>
      </w:r>
      <w:r w:rsidRPr="00CF47F3">
        <w:t>of</w:t>
      </w:r>
      <w:r>
        <w:t xml:space="preserve"> </w:t>
      </w:r>
      <w:r w:rsidRPr="00CF47F3">
        <w:t>substitute</w:t>
      </w:r>
      <w:r>
        <w:t xml:space="preserve"> </w:t>
      </w:r>
      <w:r w:rsidRPr="00CF47F3">
        <w:t>prices.</w:t>
      </w:r>
    </w:p>
    <w:p w14:paraId="06CA95F9" w14:textId="77777777" w:rsidR="00676882" w:rsidRPr="00CF47F3" w:rsidRDefault="00676882" w:rsidP="00676882">
      <w:pPr>
        <w:pStyle w:val="ListBullet"/>
      </w:pPr>
      <w:r w:rsidRPr="00CF47F3">
        <w:rPr>
          <w:b/>
        </w:rPr>
        <w:t>Existing</w:t>
      </w:r>
      <w:r>
        <w:rPr>
          <w:b/>
        </w:rPr>
        <w:t xml:space="preserve"> </w:t>
      </w:r>
      <w:r w:rsidRPr="00CF47F3">
        <w:rPr>
          <w:b/>
        </w:rPr>
        <w:t>and</w:t>
      </w:r>
      <w:r>
        <w:rPr>
          <w:b/>
        </w:rPr>
        <w:t xml:space="preserve"> </w:t>
      </w:r>
      <w:r w:rsidRPr="00CF47F3">
        <w:rPr>
          <w:b/>
        </w:rPr>
        <w:t>potential</w:t>
      </w:r>
      <w:r>
        <w:rPr>
          <w:b/>
        </w:rPr>
        <w:t xml:space="preserve"> </w:t>
      </w:r>
      <w:r w:rsidRPr="00CF47F3">
        <w:rPr>
          <w:b/>
        </w:rPr>
        <w:t>new</w:t>
      </w:r>
      <w:r>
        <w:rPr>
          <w:b/>
        </w:rPr>
        <w:t xml:space="preserve"> </w:t>
      </w:r>
      <w:r w:rsidRPr="00CF47F3">
        <w:rPr>
          <w:b/>
        </w:rPr>
        <w:t>gas</w:t>
      </w:r>
      <w:r>
        <w:rPr>
          <w:b/>
        </w:rPr>
        <w:t xml:space="preserve"> </w:t>
      </w:r>
      <w:r w:rsidRPr="00CF47F3">
        <w:rPr>
          <w:b/>
        </w:rPr>
        <w:t>demand</w:t>
      </w:r>
      <w:r w:rsidRPr="00CF47F3">
        <w:t>: demand</w:t>
      </w:r>
      <w:r>
        <w:t xml:space="preserve"> </w:t>
      </w:r>
      <w:r w:rsidRPr="00CF47F3">
        <w:t>may</w:t>
      </w:r>
      <w:r>
        <w:t xml:space="preserve"> </w:t>
      </w:r>
      <w:r w:rsidRPr="00CF47F3">
        <w:t>relate</w:t>
      </w:r>
      <w:r>
        <w:t xml:space="preserve"> </w:t>
      </w:r>
      <w:r w:rsidRPr="00CF47F3">
        <w:t>to</w:t>
      </w:r>
      <w:r>
        <w:t xml:space="preserve"> </w:t>
      </w:r>
      <w:r w:rsidRPr="00CF47F3">
        <w:t>a</w:t>
      </w:r>
      <w:r>
        <w:t xml:space="preserve"> </w:t>
      </w:r>
      <w:r w:rsidRPr="00CF47F3">
        <w:t>specific</w:t>
      </w:r>
      <w:r>
        <w:t xml:space="preserve"> </w:t>
      </w:r>
      <w:r w:rsidRPr="00CF47F3">
        <w:t>load</w:t>
      </w:r>
      <w:r>
        <w:t xml:space="preserve"> </w:t>
      </w:r>
      <w:r w:rsidRPr="00CF47F3">
        <w:t>such</w:t>
      </w:r>
      <w:r>
        <w:t xml:space="preserve"> </w:t>
      </w:r>
      <w:r w:rsidRPr="00CF47F3">
        <w:t>as</w:t>
      </w:r>
      <w:r>
        <w:t xml:space="preserve"> </w:t>
      </w:r>
      <w:r w:rsidRPr="00CF47F3">
        <w:t>a</w:t>
      </w:r>
      <w:r>
        <w:t xml:space="preserve"> </w:t>
      </w:r>
      <w:r w:rsidRPr="00CF47F3">
        <w:t>power</w:t>
      </w:r>
      <w:r>
        <w:t xml:space="preserve"> </w:t>
      </w:r>
      <w:r w:rsidRPr="00CF47F3">
        <w:t>station,</w:t>
      </w:r>
      <w:r>
        <w:t xml:space="preserve"> </w:t>
      </w:r>
      <w:r w:rsidRPr="00CF47F3">
        <w:t>or</w:t>
      </w:r>
      <w:r>
        <w:t xml:space="preserve"> </w:t>
      </w:r>
      <w:r w:rsidRPr="00CF47F3">
        <w:t>fertiliser</w:t>
      </w:r>
      <w:r>
        <w:t xml:space="preserve"> </w:t>
      </w:r>
      <w:r w:rsidRPr="00CF47F3">
        <w:t>plant.</w:t>
      </w:r>
      <w:r>
        <w:t xml:space="preserve"> </w:t>
      </w:r>
      <w:r w:rsidRPr="00CF47F3">
        <w:t>Alternatively,</w:t>
      </w:r>
      <w:r>
        <w:t xml:space="preserve"> </w:t>
      </w:r>
      <w:r w:rsidRPr="00CF47F3">
        <w:t>it</w:t>
      </w:r>
      <w:r>
        <w:t xml:space="preserve"> </w:t>
      </w:r>
      <w:r w:rsidRPr="00CF47F3">
        <w:t>may</w:t>
      </w:r>
      <w:r>
        <w:t xml:space="preserve"> </w:t>
      </w:r>
      <w:r w:rsidRPr="00CF47F3">
        <w:t>relate</w:t>
      </w:r>
      <w:r>
        <w:t xml:space="preserve"> </w:t>
      </w:r>
      <w:r w:rsidRPr="00CF47F3">
        <w:t>to</w:t>
      </w:r>
      <w:r>
        <w:t xml:space="preserve"> </w:t>
      </w:r>
      <w:r w:rsidRPr="00CF47F3">
        <w:t>a</w:t>
      </w:r>
      <w:r>
        <w:t xml:space="preserve"> </w:t>
      </w:r>
      <w:r w:rsidRPr="00CF47F3">
        <w:t>group</w:t>
      </w:r>
      <w:r>
        <w:t xml:space="preserve"> </w:t>
      </w:r>
      <w:r w:rsidRPr="00CF47F3">
        <w:t>or</w:t>
      </w:r>
      <w:r>
        <w:t xml:space="preserve"> </w:t>
      </w:r>
      <w:r w:rsidRPr="00CF47F3">
        <w:t>aggregation</w:t>
      </w:r>
      <w:r>
        <w:t xml:space="preserve"> </w:t>
      </w:r>
      <w:r w:rsidRPr="00CF47F3">
        <w:t>of</w:t>
      </w:r>
      <w:r>
        <w:t xml:space="preserve"> </w:t>
      </w:r>
      <w:r w:rsidRPr="00CF47F3">
        <w:lastRenderedPageBreak/>
        <w:t>customers,</w:t>
      </w:r>
      <w:r>
        <w:t xml:space="preserve"> </w:t>
      </w:r>
      <w:r w:rsidRPr="00CF47F3">
        <w:t>such</w:t>
      </w:r>
      <w:r>
        <w:t xml:space="preserve"> </w:t>
      </w:r>
      <w:r w:rsidRPr="00CF47F3">
        <w:t>as</w:t>
      </w:r>
      <w:r>
        <w:t xml:space="preserve"> </w:t>
      </w:r>
      <w:r w:rsidRPr="00CF47F3">
        <w:t>the</w:t>
      </w:r>
      <w:r>
        <w:t xml:space="preserve"> </w:t>
      </w:r>
      <w:r w:rsidRPr="00CF47F3">
        <w:t>residential</w:t>
      </w:r>
      <w:r>
        <w:t xml:space="preserve"> </w:t>
      </w:r>
      <w:r w:rsidRPr="00CF47F3">
        <w:t>or</w:t>
      </w:r>
      <w:r>
        <w:t xml:space="preserve"> </w:t>
      </w:r>
      <w:r w:rsidRPr="00CF47F3">
        <w:t>commercial</w:t>
      </w:r>
      <w:r>
        <w:t xml:space="preserve"> </w:t>
      </w:r>
      <w:r w:rsidRPr="00CF47F3">
        <w:t>utility</w:t>
      </w:r>
      <w:r>
        <w:t xml:space="preserve"> </w:t>
      </w:r>
      <w:r w:rsidRPr="00CF47F3">
        <w:t>load</w:t>
      </w:r>
      <w:r>
        <w:t xml:space="preserve"> </w:t>
      </w:r>
      <w:r w:rsidRPr="00CF47F3">
        <w:t>in</w:t>
      </w:r>
      <w:r>
        <w:t xml:space="preserve"> </w:t>
      </w:r>
      <w:r w:rsidRPr="00CF47F3">
        <w:t>a</w:t>
      </w:r>
      <w:r>
        <w:t xml:space="preserve"> </w:t>
      </w:r>
      <w:r w:rsidRPr="00CF47F3">
        <w:t>particular</w:t>
      </w:r>
      <w:r>
        <w:t xml:space="preserve"> </w:t>
      </w:r>
      <w:r w:rsidRPr="00CF47F3">
        <w:t>region</w:t>
      </w:r>
      <w:r>
        <w:t xml:space="preserve"> </w:t>
      </w:r>
      <w:r w:rsidRPr="00CF47F3">
        <w:t>or</w:t>
      </w:r>
      <w:r>
        <w:t xml:space="preserve"> </w:t>
      </w:r>
      <w:r w:rsidRPr="00CF47F3">
        <w:t>location.</w:t>
      </w:r>
      <w:r>
        <w:t xml:space="preserve"> </w:t>
      </w:r>
      <w:r w:rsidRPr="00CF47F3">
        <w:t>Loads</w:t>
      </w:r>
      <w:r>
        <w:t xml:space="preserve"> </w:t>
      </w:r>
      <w:r w:rsidRPr="00CF47F3">
        <w:t>are</w:t>
      </w:r>
      <w:r>
        <w:t xml:space="preserve"> </w:t>
      </w:r>
      <w:r w:rsidRPr="00CF47F3">
        <w:t>defined</w:t>
      </w:r>
      <w:r>
        <w:t xml:space="preserve"> </w:t>
      </w:r>
      <w:r w:rsidRPr="00CF47F3">
        <w:t>in</w:t>
      </w:r>
      <w:r>
        <w:t xml:space="preserve"> </w:t>
      </w:r>
      <w:r w:rsidRPr="00CF47F3">
        <w:t>terms</w:t>
      </w:r>
      <w:r>
        <w:t xml:space="preserve"> </w:t>
      </w:r>
      <w:r w:rsidRPr="00CF47F3">
        <w:t>of</w:t>
      </w:r>
      <w:r>
        <w:t xml:space="preserve"> </w:t>
      </w:r>
      <w:r w:rsidRPr="00CF47F3">
        <w:t>their</w:t>
      </w:r>
      <w:r>
        <w:t xml:space="preserve"> </w:t>
      </w:r>
      <w:r w:rsidRPr="00CF47F3">
        <w:t>location,</w:t>
      </w:r>
      <w:r>
        <w:t xml:space="preserve"> </w:t>
      </w:r>
      <w:r w:rsidRPr="00CF47F3">
        <w:t>annual</w:t>
      </w:r>
      <w:r>
        <w:t xml:space="preserve"> </w:t>
      </w:r>
      <w:r w:rsidRPr="00CF47F3">
        <w:t>and</w:t>
      </w:r>
      <w:r>
        <w:t xml:space="preserve"> </w:t>
      </w:r>
      <w:r w:rsidRPr="00CF47F3">
        <w:t>daily</w:t>
      </w:r>
      <w:r>
        <w:t xml:space="preserve"> </w:t>
      </w:r>
      <w:r w:rsidRPr="00CF47F3">
        <w:t>gas</w:t>
      </w:r>
      <w:r>
        <w:t xml:space="preserve"> </w:t>
      </w:r>
      <w:r w:rsidRPr="00CF47F3">
        <w:t>demand</w:t>
      </w:r>
      <w:r>
        <w:t xml:space="preserve"> </w:t>
      </w:r>
      <w:r w:rsidRPr="00CF47F3">
        <w:t>including</w:t>
      </w:r>
      <w:r>
        <w:t xml:space="preserve"> </w:t>
      </w:r>
      <w:r w:rsidRPr="00CF47F3">
        <w:t>daily</w:t>
      </w:r>
      <w:r>
        <w:t xml:space="preserve"> </w:t>
      </w:r>
      <w:r w:rsidRPr="00CF47F3">
        <w:t>demand</w:t>
      </w:r>
      <w:r>
        <w:t xml:space="preserve"> </w:t>
      </w:r>
      <w:r w:rsidRPr="00CF47F3">
        <w:t>profiles,</w:t>
      </w:r>
      <w:r>
        <w:t xml:space="preserve"> </w:t>
      </w:r>
      <w:r w:rsidRPr="00CF47F3">
        <w:t>and</w:t>
      </w:r>
      <w:r>
        <w:t xml:space="preserve"> </w:t>
      </w:r>
      <w:r w:rsidRPr="00CF47F3">
        <w:t>price</w:t>
      </w:r>
      <w:r>
        <w:t xml:space="preserve"> </w:t>
      </w:r>
      <w:r w:rsidRPr="00CF47F3">
        <w:t>tolerance.</w:t>
      </w:r>
    </w:p>
    <w:p w14:paraId="24E815A6" w14:textId="77777777" w:rsidR="00676882" w:rsidRPr="00CF47F3" w:rsidRDefault="00676882" w:rsidP="00676882">
      <w:pPr>
        <w:pStyle w:val="ListBullet"/>
      </w:pPr>
      <w:r w:rsidRPr="00CF47F3">
        <w:rPr>
          <w:b/>
        </w:rPr>
        <w:t>Existing,</w:t>
      </w:r>
      <w:r>
        <w:rPr>
          <w:b/>
        </w:rPr>
        <w:t xml:space="preserve"> </w:t>
      </w:r>
      <w:r w:rsidRPr="00CF47F3">
        <w:rPr>
          <w:b/>
        </w:rPr>
        <w:t>new</w:t>
      </w:r>
      <w:r>
        <w:rPr>
          <w:b/>
        </w:rPr>
        <w:t xml:space="preserve"> </w:t>
      </w:r>
      <w:r w:rsidRPr="00CF47F3">
        <w:rPr>
          <w:b/>
        </w:rPr>
        <w:t>and</w:t>
      </w:r>
      <w:r>
        <w:rPr>
          <w:b/>
        </w:rPr>
        <w:t xml:space="preserve"> </w:t>
      </w:r>
      <w:r w:rsidRPr="00CF47F3">
        <w:rPr>
          <w:b/>
        </w:rPr>
        <w:t>expanded</w:t>
      </w:r>
      <w:r>
        <w:rPr>
          <w:b/>
        </w:rPr>
        <w:t xml:space="preserve"> </w:t>
      </w:r>
      <w:r w:rsidRPr="00CF47F3">
        <w:rPr>
          <w:b/>
        </w:rPr>
        <w:t>transmission</w:t>
      </w:r>
      <w:r>
        <w:rPr>
          <w:b/>
        </w:rPr>
        <w:t xml:space="preserve"> </w:t>
      </w:r>
      <w:r w:rsidRPr="00CF47F3">
        <w:rPr>
          <w:b/>
        </w:rPr>
        <w:t>pipeline</w:t>
      </w:r>
      <w:r>
        <w:rPr>
          <w:b/>
        </w:rPr>
        <w:t xml:space="preserve"> </w:t>
      </w:r>
      <w:r w:rsidRPr="00CF47F3">
        <w:rPr>
          <w:b/>
        </w:rPr>
        <w:t>capacity</w:t>
      </w:r>
      <w:r w:rsidRPr="00CF47F3">
        <w:t>: pipelines</w:t>
      </w:r>
      <w:r>
        <w:t xml:space="preserve"> </w:t>
      </w:r>
      <w:r w:rsidRPr="00CF47F3">
        <w:t>are</w:t>
      </w:r>
      <w:r>
        <w:t xml:space="preserve"> </w:t>
      </w:r>
      <w:r w:rsidRPr="00CF47F3">
        <w:t>represented</w:t>
      </w:r>
      <w:r>
        <w:t xml:space="preserve"> </w:t>
      </w:r>
      <w:r w:rsidRPr="00CF47F3">
        <w:t>in</w:t>
      </w:r>
      <w:r>
        <w:t xml:space="preserve"> </w:t>
      </w:r>
      <w:r w:rsidRPr="00CF47F3">
        <w:t>terms</w:t>
      </w:r>
      <w:r>
        <w:t xml:space="preserve"> </w:t>
      </w:r>
      <w:r w:rsidRPr="00CF47F3">
        <w:t>of</w:t>
      </w:r>
      <w:r>
        <w:t xml:space="preserve"> </w:t>
      </w:r>
      <w:r w:rsidRPr="00CF47F3">
        <w:t>their</w:t>
      </w:r>
      <w:r>
        <w:t xml:space="preserve"> </w:t>
      </w:r>
      <w:r w:rsidRPr="00CF47F3">
        <w:t>geographic</w:t>
      </w:r>
      <w:r>
        <w:t xml:space="preserve"> </w:t>
      </w:r>
      <w:r w:rsidRPr="00CF47F3">
        <w:t>location,</w:t>
      </w:r>
      <w:r>
        <w:t xml:space="preserve"> </w:t>
      </w:r>
      <w:r w:rsidRPr="00CF47F3">
        <w:t>physical</w:t>
      </w:r>
      <w:r>
        <w:t xml:space="preserve"> </w:t>
      </w:r>
      <w:r w:rsidRPr="00CF47F3">
        <w:t>capacity</w:t>
      </w:r>
      <w:r>
        <w:t xml:space="preserve"> </w:t>
      </w:r>
      <w:r w:rsidRPr="00CF47F3">
        <w:t>(which</w:t>
      </w:r>
      <w:r>
        <w:t xml:space="preserve"> </w:t>
      </w:r>
      <w:r w:rsidRPr="00CF47F3">
        <w:t>may</w:t>
      </w:r>
      <w:r>
        <w:t xml:space="preserve"> </w:t>
      </w:r>
      <w:r w:rsidRPr="00CF47F3">
        <w:t>vary</w:t>
      </w:r>
      <w:r>
        <w:t xml:space="preserve"> </w:t>
      </w:r>
      <w:r w:rsidRPr="00CF47F3">
        <w:t>over</w:t>
      </w:r>
      <w:r>
        <w:t xml:space="preserve"> </w:t>
      </w:r>
      <w:r w:rsidRPr="00CF47F3">
        <w:t>time),</w:t>
      </w:r>
      <w:r>
        <w:t xml:space="preserve"> </w:t>
      </w:r>
      <w:r w:rsidRPr="00CF47F3">
        <w:t>flow</w:t>
      </w:r>
      <w:r>
        <w:t xml:space="preserve"> </w:t>
      </w:r>
      <w:r w:rsidRPr="00CF47F3">
        <w:t>characteristics</w:t>
      </w:r>
      <w:r>
        <w:t xml:space="preserve"> </w:t>
      </w:r>
      <w:r w:rsidRPr="00CF47F3">
        <w:t>(uni-directional</w:t>
      </w:r>
      <w:r>
        <w:t xml:space="preserve"> </w:t>
      </w:r>
      <w:r w:rsidRPr="00CF47F3">
        <w:t>or</w:t>
      </w:r>
      <w:r>
        <w:t xml:space="preserve"> </w:t>
      </w:r>
      <w:r w:rsidRPr="00CF47F3">
        <w:t>bi-directional) and</w:t>
      </w:r>
      <w:r>
        <w:t xml:space="preserve"> </w:t>
      </w:r>
      <w:r w:rsidRPr="00CF47F3">
        <w:t>tariffs.</w:t>
      </w:r>
    </w:p>
    <w:p w14:paraId="769350E0" w14:textId="77777777" w:rsidR="00676882" w:rsidRDefault="00676882" w:rsidP="00676882">
      <w:pPr>
        <w:pStyle w:val="ListBullet"/>
      </w:pPr>
      <w:r w:rsidRPr="00885897">
        <w:rPr>
          <w:b/>
        </w:rPr>
        <w:t>Existing,</w:t>
      </w:r>
      <w:r>
        <w:rPr>
          <w:b/>
        </w:rPr>
        <w:t xml:space="preserve"> </w:t>
      </w:r>
      <w:r w:rsidRPr="00885897">
        <w:rPr>
          <w:b/>
        </w:rPr>
        <w:t>new</w:t>
      </w:r>
      <w:r>
        <w:rPr>
          <w:b/>
        </w:rPr>
        <w:t xml:space="preserve"> </w:t>
      </w:r>
      <w:r w:rsidRPr="00885897">
        <w:rPr>
          <w:b/>
        </w:rPr>
        <w:t>and</w:t>
      </w:r>
      <w:r>
        <w:rPr>
          <w:b/>
        </w:rPr>
        <w:t xml:space="preserve"> </w:t>
      </w:r>
      <w:r w:rsidRPr="00885897">
        <w:rPr>
          <w:b/>
        </w:rPr>
        <w:t>expanded</w:t>
      </w:r>
      <w:r>
        <w:rPr>
          <w:b/>
        </w:rPr>
        <w:t xml:space="preserve"> </w:t>
      </w:r>
      <w:r w:rsidRPr="00885897">
        <w:rPr>
          <w:b/>
        </w:rPr>
        <w:t>gas</w:t>
      </w:r>
      <w:r>
        <w:rPr>
          <w:b/>
        </w:rPr>
        <w:t xml:space="preserve"> </w:t>
      </w:r>
      <w:r w:rsidRPr="00885897">
        <w:rPr>
          <w:b/>
        </w:rPr>
        <w:t>storage</w:t>
      </w:r>
      <w:r>
        <w:rPr>
          <w:b/>
        </w:rPr>
        <w:t xml:space="preserve"> </w:t>
      </w:r>
      <w:r w:rsidRPr="00885897">
        <w:rPr>
          <w:b/>
        </w:rPr>
        <w:t>facilities</w:t>
      </w:r>
      <w:r w:rsidRPr="00CF47F3">
        <w:t>: Storage</w:t>
      </w:r>
      <w:r>
        <w:t xml:space="preserve"> </w:t>
      </w:r>
      <w:r w:rsidRPr="00CF47F3">
        <w:t>is</w:t>
      </w:r>
      <w:r>
        <w:t xml:space="preserve"> </w:t>
      </w:r>
      <w:r w:rsidRPr="00CF47F3">
        <w:t>represented</w:t>
      </w:r>
      <w:r>
        <w:t xml:space="preserve"> </w:t>
      </w:r>
      <w:r w:rsidRPr="00CF47F3">
        <w:t>in</w:t>
      </w:r>
      <w:r>
        <w:t xml:space="preserve"> </w:t>
      </w:r>
      <w:r w:rsidRPr="00CF47F3">
        <w:t>terms</w:t>
      </w:r>
      <w:r>
        <w:t xml:space="preserve"> </w:t>
      </w:r>
      <w:r w:rsidRPr="00CF47F3">
        <w:t>of</w:t>
      </w:r>
      <w:r>
        <w:t xml:space="preserve"> </w:t>
      </w:r>
      <w:r w:rsidRPr="00CF47F3">
        <w:t>geographic</w:t>
      </w:r>
      <w:r>
        <w:t xml:space="preserve"> </w:t>
      </w:r>
      <w:r w:rsidRPr="00CF47F3">
        <w:t>location,</w:t>
      </w:r>
      <w:r>
        <w:t xml:space="preserve"> </w:t>
      </w:r>
      <w:r w:rsidRPr="00CF47F3">
        <w:t>physical</w:t>
      </w:r>
      <w:r>
        <w:t xml:space="preserve"> </w:t>
      </w:r>
      <w:r w:rsidRPr="00CF47F3">
        <w:t>capacity</w:t>
      </w:r>
      <w:r>
        <w:t xml:space="preserve"> </w:t>
      </w:r>
      <w:r w:rsidRPr="00CF47F3">
        <w:t>(which</w:t>
      </w:r>
      <w:r>
        <w:t xml:space="preserve"> </w:t>
      </w:r>
      <w:r w:rsidRPr="00CF47F3">
        <w:t>may</w:t>
      </w:r>
      <w:r>
        <w:t xml:space="preserve"> </w:t>
      </w:r>
      <w:r w:rsidRPr="00CF47F3">
        <w:t>vary</w:t>
      </w:r>
      <w:r>
        <w:t xml:space="preserve"> </w:t>
      </w:r>
      <w:r w:rsidRPr="00CF47F3">
        <w:t>over</w:t>
      </w:r>
      <w:r>
        <w:t xml:space="preserve"> </w:t>
      </w:r>
      <w:r w:rsidRPr="00CF47F3">
        <w:t>time),</w:t>
      </w:r>
      <w:r>
        <w:t xml:space="preserve"> </w:t>
      </w:r>
      <w:r w:rsidRPr="00CF47F3">
        <w:t>injection</w:t>
      </w:r>
      <w:r>
        <w:t xml:space="preserve"> </w:t>
      </w:r>
      <w:r w:rsidRPr="00CF47F3">
        <w:t>and</w:t>
      </w:r>
      <w:r>
        <w:t xml:space="preserve"> </w:t>
      </w:r>
      <w:r w:rsidRPr="00CF47F3">
        <w:t>withdrawal</w:t>
      </w:r>
      <w:r>
        <w:t xml:space="preserve"> </w:t>
      </w:r>
      <w:r w:rsidRPr="00CF47F3">
        <w:t>rates,</w:t>
      </w:r>
      <w:r>
        <w:t xml:space="preserve"> </w:t>
      </w:r>
      <w:r w:rsidRPr="00CF47F3">
        <w:t>storage</w:t>
      </w:r>
      <w:r>
        <w:t xml:space="preserve"> </w:t>
      </w:r>
      <w:r w:rsidRPr="00CF47F3">
        <w:t>efficiency</w:t>
      </w:r>
      <w:r>
        <w:t xml:space="preserve"> </w:t>
      </w:r>
      <w:r w:rsidRPr="00CF47F3">
        <w:t>and</w:t>
      </w:r>
      <w:r>
        <w:t xml:space="preserve"> </w:t>
      </w:r>
      <w:r w:rsidRPr="00CF47F3">
        <w:t>tariffs.</w:t>
      </w:r>
    </w:p>
    <w:p w14:paraId="0C929DD6" w14:textId="77777777" w:rsidR="00676882" w:rsidRDefault="00676882" w:rsidP="00676882">
      <w:pPr>
        <w:pStyle w:val="ListBullet"/>
      </w:pPr>
      <w:r w:rsidRPr="00885897">
        <w:rPr>
          <w:b/>
        </w:rPr>
        <w:t>Existing</w:t>
      </w:r>
      <w:r>
        <w:rPr>
          <w:b/>
        </w:rPr>
        <w:t xml:space="preserve"> </w:t>
      </w:r>
      <w:r w:rsidRPr="00885897">
        <w:rPr>
          <w:b/>
        </w:rPr>
        <w:t>and</w:t>
      </w:r>
      <w:r>
        <w:rPr>
          <w:b/>
        </w:rPr>
        <w:t xml:space="preserve"> </w:t>
      </w:r>
      <w:r w:rsidRPr="00885897">
        <w:rPr>
          <w:b/>
        </w:rPr>
        <w:t>potential</w:t>
      </w:r>
      <w:r>
        <w:rPr>
          <w:b/>
        </w:rPr>
        <w:t xml:space="preserve"> </w:t>
      </w:r>
      <w:r w:rsidRPr="00885897">
        <w:rPr>
          <w:b/>
        </w:rPr>
        <w:t>new</w:t>
      </w:r>
      <w:r>
        <w:rPr>
          <w:b/>
        </w:rPr>
        <w:t xml:space="preserve"> </w:t>
      </w:r>
      <w:r w:rsidRPr="00885897">
        <w:rPr>
          <w:b/>
        </w:rPr>
        <w:t>LNG</w:t>
      </w:r>
      <w:r>
        <w:rPr>
          <w:b/>
        </w:rPr>
        <w:t xml:space="preserve"> </w:t>
      </w:r>
      <w:r w:rsidRPr="00885897">
        <w:rPr>
          <w:b/>
        </w:rPr>
        <w:t>facilities</w:t>
      </w:r>
      <w:r w:rsidRPr="00CF47F3">
        <w:t>: LNG</w:t>
      </w:r>
      <w:r>
        <w:t xml:space="preserve"> </w:t>
      </w:r>
      <w:r w:rsidRPr="00CF47F3">
        <w:t>facilities</w:t>
      </w:r>
      <w:r>
        <w:t xml:space="preserve"> </w:t>
      </w:r>
      <w:r w:rsidRPr="00CF47F3">
        <w:t>include</w:t>
      </w:r>
      <w:r>
        <w:t xml:space="preserve"> </w:t>
      </w:r>
      <w:r w:rsidRPr="00CF47F3">
        <w:t>liquefaction</w:t>
      </w:r>
      <w:r>
        <w:t xml:space="preserve"> </w:t>
      </w:r>
      <w:r w:rsidRPr="00CF47F3">
        <w:t>plants,</w:t>
      </w:r>
      <w:r>
        <w:t xml:space="preserve"> </w:t>
      </w:r>
      <w:r w:rsidRPr="00CF47F3">
        <w:t>regasification</w:t>
      </w:r>
      <w:r>
        <w:t xml:space="preserve"> </w:t>
      </w:r>
      <w:r w:rsidRPr="00CF47F3">
        <w:t>(receiving) terminals</w:t>
      </w:r>
      <w:r>
        <w:t xml:space="preserve"> </w:t>
      </w:r>
      <w:r w:rsidRPr="00CF47F3">
        <w:t>and</w:t>
      </w:r>
      <w:r>
        <w:t xml:space="preserve"> </w:t>
      </w:r>
      <w:r w:rsidRPr="00CF47F3">
        <w:t>assumptions</w:t>
      </w:r>
      <w:r>
        <w:t xml:space="preserve"> </w:t>
      </w:r>
      <w:r w:rsidRPr="00CF47F3">
        <w:t>regarding</w:t>
      </w:r>
      <w:r>
        <w:t xml:space="preserve"> </w:t>
      </w:r>
      <w:r w:rsidRPr="00CF47F3">
        <w:t>shipping</w:t>
      </w:r>
      <w:r>
        <w:t xml:space="preserve"> </w:t>
      </w:r>
      <w:r w:rsidRPr="00CF47F3">
        <w:t>costs</w:t>
      </w:r>
      <w:r>
        <w:t xml:space="preserve"> </w:t>
      </w:r>
      <w:r w:rsidRPr="00CF47F3">
        <w:t>and</w:t>
      </w:r>
      <w:r>
        <w:t xml:space="preserve"> </w:t>
      </w:r>
      <w:r w:rsidRPr="00CF47F3">
        <w:t>routes.</w:t>
      </w:r>
      <w:r>
        <w:t xml:space="preserve"> </w:t>
      </w:r>
      <w:r w:rsidRPr="00CF47F3">
        <w:t>LNG</w:t>
      </w:r>
      <w:r>
        <w:t xml:space="preserve"> </w:t>
      </w:r>
      <w:r w:rsidRPr="00CF47F3">
        <w:t>facilities</w:t>
      </w:r>
      <w:r>
        <w:t xml:space="preserve"> </w:t>
      </w:r>
      <w:r w:rsidRPr="00CF47F3">
        <w:t>play</w:t>
      </w:r>
      <w:r>
        <w:t xml:space="preserve"> </w:t>
      </w:r>
      <w:r w:rsidRPr="00CF47F3">
        <w:t>a</w:t>
      </w:r>
      <w:r>
        <w:t xml:space="preserve"> </w:t>
      </w:r>
      <w:r w:rsidRPr="00CF47F3">
        <w:t>similar</w:t>
      </w:r>
      <w:r>
        <w:t xml:space="preserve"> </w:t>
      </w:r>
      <w:r w:rsidRPr="00CF47F3">
        <w:t>role</w:t>
      </w:r>
      <w:r>
        <w:t xml:space="preserve"> </w:t>
      </w:r>
      <w:r w:rsidRPr="00CF47F3">
        <w:t>to</w:t>
      </w:r>
      <w:r>
        <w:t xml:space="preserve"> </w:t>
      </w:r>
      <w:r w:rsidRPr="00CF47F3">
        <w:t>pipelines</w:t>
      </w:r>
      <w:r>
        <w:t xml:space="preserve"> </w:t>
      </w:r>
      <w:r w:rsidRPr="00CF47F3">
        <w:t>in</w:t>
      </w:r>
      <w:r>
        <w:t xml:space="preserve"> </w:t>
      </w:r>
      <w:r w:rsidRPr="00CF47F3">
        <w:t>that</w:t>
      </w:r>
      <w:r>
        <w:t xml:space="preserve"> </w:t>
      </w:r>
      <w:r w:rsidRPr="00CF47F3">
        <w:t>they</w:t>
      </w:r>
      <w:r>
        <w:t xml:space="preserve"> </w:t>
      </w:r>
      <w:r w:rsidRPr="00CF47F3">
        <w:t>link</w:t>
      </w:r>
      <w:r>
        <w:t xml:space="preserve"> </w:t>
      </w:r>
      <w:r w:rsidRPr="00CF47F3">
        <w:t>supply</w:t>
      </w:r>
      <w:r>
        <w:t xml:space="preserve"> </w:t>
      </w:r>
      <w:r w:rsidRPr="00CF47F3">
        <w:t>sources</w:t>
      </w:r>
      <w:r>
        <w:t xml:space="preserve"> </w:t>
      </w:r>
      <w:r w:rsidRPr="00CF47F3">
        <w:t>with</w:t>
      </w:r>
      <w:r>
        <w:t xml:space="preserve"> </w:t>
      </w:r>
      <w:r w:rsidRPr="00CF47F3">
        <w:t>demand.</w:t>
      </w:r>
      <w:r>
        <w:t xml:space="preserve"> </w:t>
      </w:r>
      <w:r w:rsidRPr="00CF47F3">
        <w:t>LNG</w:t>
      </w:r>
      <w:r>
        <w:t xml:space="preserve"> </w:t>
      </w:r>
      <w:r w:rsidRPr="00CF47F3">
        <w:t>plants</w:t>
      </w:r>
      <w:r>
        <w:t xml:space="preserve"> </w:t>
      </w:r>
      <w:r w:rsidRPr="00CF47F3">
        <w:t>and</w:t>
      </w:r>
      <w:r>
        <w:t xml:space="preserve"> </w:t>
      </w:r>
      <w:r w:rsidRPr="00CF47F3">
        <w:t>terminals</w:t>
      </w:r>
      <w:r>
        <w:t xml:space="preserve"> </w:t>
      </w:r>
      <w:r w:rsidRPr="00CF47F3">
        <w:t>are</w:t>
      </w:r>
      <w:r>
        <w:t xml:space="preserve"> </w:t>
      </w:r>
      <w:r w:rsidRPr="00CF47F3">
        <w:t>defined</w:t>
      </w:r>
      <w:r>
        <w:t xml:space="preserve"> </w:t>
      </w:r>
      <w:r w:rsidRPr="00CF47F3">
        <w:t>at</w:t>
      </w:r>
      <w:r>
        <w:t xml:space="preserve"> </w:t>
      </w:r>
      <w:r w:rsidRPr="00CF47F3">
        <w:t>the</w:t>
      </w:r>
      <w:r>
        <w:t xml:space="preserve"> </w:t>
      </w:r>
      <w:r w:rsidRPr="00CF47F3">
        <w:t>plant</w:t>
      </w:r>
      <w:r>
        <w:t xml:space="preserve"> </w:t>
      </w:r>
      <w:r w:rsidRPr="00CF47F3">
        <w:t>level</w:t>
      </w:r>
      <w:r>
        <w:t xml:space="preserve"> </w:t>
      </w:r>
      <w:r w:rsidRPr="00CF47F3">
        <w:t>and</w:t>
      </w:r>
      <w:r>
        <w:t xml:space="preserve"> </w:t>
      </w:r>
      <w:r w:rsidRPr="00CF47F3">
        <w:t>require</w:t>
      </w:r>
      <w:r>
        <w:t xml:space="preserve"> </w:t>
      </w:r>
      <w:r w:rsidRPr="00CF47F3">
        <w:t>assumptions</w:t>
      </w:r>
      <w:r>
        <w:t xml:space="preserve"> </w:t>
      </w:r>
      <w:proofErr w:type="gramStart"/>
      <w:r w:rsidRPr="00CF47F3">
        <w:t>with</w:t>
      </w:r>
      <w:r>
        <w:t xml:space="preserve"> </w:t>
      </w:r>
      <w:r w:rsidRPr="00CF47F3">
        <w:t>regard</w:t>
      </w:r>
      <w:r>
        <w:t xml:space="preserve"> </w:t>
      </w:r>
      <w:r w:rsidRPr="00CF47F3">
        <w:t>to</w:t>
      </w:r>
      <w:proofErr w:type="gramEnd"/>
      <w:r>
        <w:t xml:space="preserve"> </w:t>
      </w:r>
      <w:r w:rsidRPr="00CF47F3">
        <w:t>annual</w:t>
      </w:r>
      <w:r>
        <w:t xml:space="preserve"> </w:t>
      </w:r>
      <w:r w:rsidRPr="00CF47F3">
        <w:t>throughput</w:t>
      </w:r>
      <w:r>
        <w:t xml:space="preserve"> </w:t>
      </w:r>
      <w:r w:rsidRPr="00CF47F3">
        <w:t>capacity</w:t>
      </w:r>
      <w:r>
        <w:t xml:space="preserve"> </w:t>
      </w:r>
      <w:r w:rsidRPr="00CF47F3">
        <w:t>and</w:t>
      </w:r>
      <w:r>
        <w:t xml:space="preserve"> </w:t>
      </w:r>
      <w:r w:rsidRPr="00CF47F3">
        <w:t>tariffs</w:t>
      </w:r>
      <w:r>
        <w:t xml:space="preserve"> </w:t>
      </w:r>
      <w:r w:rsidRPr="00CF47F3">
        <w:t>for</w:t>
      </w:r>
      <w:r>
        <w:t xml:space="preserve"> </w:t>
      </w:r>
      <w:r w:rsidRPr="00CF47F3">
        <w:t>conversion.</w:t>
      </w:r>
    </w:p>
    <w:p w14:paraId="6FBDC2FA" w14:textId="77777777" w:rsidR="00676882" w:rsidRDefault="00676882" w:rsidP="00676882">
      <w:pPr>
        <w:pStyle w:val="BodyText"/>
      </w:pPr>
    </w:p>
    <w:p w14:paraId="5DEDDF6A" w14:textId="77777777" w:rsidR="00676882" w:rsidRDefault="00676882" w:rsidP="00676882">
      <w:pPr>
        <w:pStyle w:val="BodyText"/>
        <w:sectPr w:rsidR="00676882" w:rsidSect="00F32FCC">
          <w:headerReference w:type="even" r:id="rId139"/>
          <w:footerReference w:type="even" r:id="rId140"/>
          <w:headerReference w:type="first" r:id="rId141"/>
          <w:footerReference w:type="first" r:id="rId142"/>
          <w:pgSz w:w="11906" w:h="16838" w:code="9"/>
          <w:pgMar w:top="1134" w:right="851" w:bottom="1134" w:left="3119" w:header="454" w:footer="374" w:gutter="0"/>
          <w:pgNumType w:start="1" w:chapStyle="9"/>
          <w:cols w:space="708"/>
          <w:docGrid w:linePitch="360"/>
        </w:sectPr>
      </w:pPr>
    </w:p>
    <w:tbl>
      <w:tblPr>
        <w:tblW w:w="0" w:type="auto"/>
        <w:tblLayout w:type="fixed"/>
        <w:tblCellMar>
          <w:left w:w="0" w:type="dxa"/>
          <w:right w:w="0" w:type="dxa"/>
        </w:tblCellMar>
        <w:tblLook w:val="0000" w:firstRow="0" w:lastRow="0" w:firstColumn="0" w:lastColumn="0" w:noHBand="0" w:noVBand="0"/>
        <w:tblCaption w:val="Appendix E"/>
        <w:tblDescription w:val="Stakeholder views"/>
      </w:tblPr>
      <w:tblGrid>
        <w:gridCol w:w="5570"/>
        <w:gridCol w:w="2366"/>
      </w:tblGrid>
      <w:tr w:rsidR="00676882" w14:paraId="79040110" w14:textId="77777777" w:rsidTr="00DF45FA">
        <w:trPr>
          <w:trHeight w:hRule="exact" w:val="382"/>
        </w:trPr>
        <w:tc>
          <w:tcPr>
            <w:tcW w:w="5570" w:type="dxa"/>
          </w:tcPr>
          <w:p w14:paraId="09A0C33F" w14:textId="77777777" w:rsidR="00676882" w:rsidRDefault="00676882" w:rsidP="00DF45FA">
            <w:pPr>
              <w:pStyle w:val="tagappendixChapter"/>
            </w:pPr>
            <w:r>
              <w:rPr>
                <w:noProof/>
              </w:rPr>
              <w:lastRenderedPageBreak/>
              <w:drawing>
                <wp:anchor distT="0" distB="0" distL="114300" distR="114300" simplePos="0" relativeHeight="251670528" behindDoc="1" locked="1" layoutInCell="1" allowOverlap="1" wp14:anchorId="7A8B9654" wp14:editId="5812FB04">
                  <wp:simplePos x="0" y="0"/>
                  <wp:positionH relativeFrom="page">
                    <wp:posOffset>0</wp:posOffset>
                  </wp:positionH>
                  <wp:positionV relativeFrom="page">
                    <wp:posOffset>0</wp:posOffset>
                  </wp:positionV>
                  <wp:extent cx="5039360" cy="1995170"/>
                  <wp:effectExtent l="0" t="0" r="8890" b="5080"/>
                  <wp:wrapNone/>
                  <wp:docPr id="87"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7"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776F0447" w14:textId="77777777" w:rsidR="00676882" w:rsidRDefault="00676882" w:rsidP="00DF45FA">
            <w:pPr>
              <w:pStyle w:val="Heading9"/>
            </w:pPr>
          </w:p>
        </w:tc>
      </w:tr>
      <w:tr w:rsidR="00676882" w14:paraId="1E3F574C" w14:textId="77777777" w:rsidTr="00DF45FA">
        <w:trPr>
          <w:trHeight w:hRule="exact" w:val="2760"/>
        </w:trPr>
        <w:tc>
          <w:tcPr>
            <w:tcW w:w="5570" w:type="dxa"/>
            <w:vAlign w:val="bottom"/>
          </w:tcPr>
          <w:p w14:paraId="29A9CAF5" w14:textId="77777777" w:rsidR="00676882" w:rsidRDefault="00676882" w:rsidP="00DF45FA">
            <w:pPr>
              <w:pStyle w:val="Heading1AP"/>
            </w:pPr>
            <w:bookmarkStart w:id="522" w:name="_Ref75434457"/>
            <w:bookmarkStart w:id="523" w:name="_Ref75435056"/>
            <w:bookmarkStart w:id="524" w:name="_Toc80712629"/>
            <w:r>
              <w:t>Stakeholder views</w:t>
            </w:r>
            <w:bookmarkEnd w:id="522"/>
            <w:bookmarkEnd w:id="523"/>
            <w:bookmarkEnd w:id="524"/>
          </w:p>
        </w:tc>
        <w:tc>
          <w:tcPr>
            <w:tcW w:w="2366" w:type="dxa"/>
            <w:tcMar>
              <w:right w:w="224" w:type="dxa"/>
            </w:tcMar>
            <w:vAlign w:val="bottom"/>
          </w:tcPr>
          <w:p w14:paraId="71DBF47D" w14:textId="77777777" w:rsidR="00676882" w:rsidRDefault="00676882" w:rsidP="00DF45FA">
            <w:pPr>
              <w:pStyle w:val="HeadingAppendix"/>
            </w:pPr>
            <w:r>
              <w:fldChar w:fldCharType="begin"/>
            </w:r>
            <w:r>
              <w:instrText xml:space="preserve"> SEQ AppNum \* ALPHABETIC </w:instrText>
            </w:r>
            <w:r>
              <w:fldChar w:fldCharType="separate"/>
            </w:r>
            <w:r>
              <w:rPr>
                <w:noProof/>
              </w:rPr>
              <w:t>E</w:t>
            </w:r>
            <w:r>
              <w:rPr>
                <w:noProof/>
              </w:rPr>
              <w:fldChar w:fldCharType="end"/>
            </w:r>
          </w:p>
        </w:tc>
      </w:tr>
      <w:tr w:rsidR="00676882" w14:paraId="7D23A7E0" w14:textId="77777777" w:rsidTr="00DF45FA">
        <w:trPr>
          <w:trHeight w:hRule="exact" w:val="228"/>
        </w:trPr>
        <w:tc>
          <w:tcPr>
            <w:tcW w:w="5570" w:type="dxa"/>
          </w:tcPr>
          <w:p w14:paraId="7F04CA0F" w14:textId="77777777" w:rsidR="00676882" w:rsidRDefault="00676882" w:rsidP="00DF45FA">
            <w:pPr>
              <w:pStyle w:val="spacer"/>
            </w:pPr>
          </w:p>
        </w:tc>
        <w:tc>
          <w:tcPr>
            <w:tcW w:w="2366" w:type="dxa"/>
          </w:tcPr>
          <w:p w14:paraId="75C89E47" w14:textId="77777777" w:rsidR="00676882" w:rsidRDefault="00676882" w:rsidP="00DF45FA">
            <w:pPr>
              <w:pStyle w:val="spacer"/>
            </w:pPr>
          </w:p>
          <w:p w14:paraId="2C6CFB50" w14:textId="77777777" w:rsidR="00676882" w:rsidRDefault="00676882" w:rsidP="00DF45FA">
            <w:pPr>
              <w:pStyle w:val="spacer"/>
            </w:pPr>
          </w:p>
          <w:p w14:paraId="6BF1E6BB" w14:textId="77777777" w:rsidR="00676882" w:rsidRDefault="00676882" w:rsidP="00DF45FA">
            <w:pPr>
              <w:pStyle w:val="spacer"/>
            </w:pPr>
          </w:p>
          <w:p w14:paraId="3A2D7664" w14:textId="77777777" w:rsidR="00676882" w:rsidRDefault="00676882" w:rsidP="00DF45FA">
            <w:pPr>
              <w:pStyle w:val="spacer"/>
            </w:pPr>
          </w:p>
        </w:tc>
      </w:tr>
    </w:tbl>
    <w:p w14:paraId="5BEC3C80" w14:textId="77777777" w:rsidR="00676882" w:rsidRDefault="00676882" w:rsidP="00676882">
      <w:pPr>
        <w:pStyle w:val="BodyText"/>
      </w:pPr>
      <w:r>
        <w:t>As part of the development of this RIS, ACIL Allen undertook a comprehensive series of consultations with a variety of stakeholders, including internal representatives from across the ACT Government — for example areas responsible for safety, sustainability, and rental regulation. Not all potentially impacted individuals could be consulted, though we endeavoured to find representatives of as many groups as possible.</w:t>
      </w:r>
    </w:p>
    <w:p w14:paraId="10D9EBB8" w14:textId="77777777" w:rsidR="00676882" w:rsidRDefault="00676882" w:rsidP="00676882">
      <w:pPr>
        <w:pStyle w:val="BodyText"/>
      </w:pPr>
      <w:r>
        <w:t xml:space="preserve">The stakeholder engagement process involved thirteen interviews and workshops, a survey (see Appendix </w:t>
      </w:r>
      <w:r w:rsidRPr="009E4AB1">
        <w:fldChar w:fldCharType="begin"/>
      </w:r>
      <w:r w:rsidRPr="009E4AB1">
        <w:instrText xml:space="preserve"> REF _Ref75435338 \r \h  \* MERGEFORMAT </w:instrText>
      </w:r>
      <w:r w:rsidRPr="009E4AB1">
        <w:fldChar w:fldCharType="separate"/>
      </w:r>
      <w:r>
        <w:t>F</w:t>
      </w:r>
      <w:r w:rsidRPr="009E4AB1">
        <w:fldChar w:fldCharType="end"/>
      </w:r>
      <w:r>
        <w:t xml:space="preserve">), as well as direct submissions on the proposed reforms. The external stakeholders engaged represent or advocate for rental providers, tenants, industry, and community organisations. Some of the consulted organisations, such as CHC Australia, Care Financial Counselling and the Real Estate Institute ACT (REIACT) work with both rental providers and tenants. Those stakeholders that contributed their views are included in </w:t>
      </w:r>
      <w:r w:rsidRPr="009E4AB1">
        <w:fldChar w:fldCharType="begin"/>
      </w:r>
      <w:r w:rsidRPr="009E4AB1">
        <w:instrText xml:space="preserve"> REF _Ref72486796 \h  \* MERGEFORMAT </w:instrText>
      </w:r>
      <w:r w:rsidRPr="009E4AB1">
        <w:fldChar w:fldCharType="separate"/>
      </w:r>
      <w:r w:rsidRPr="00F32FCC">
        <w:t>Figure E.1</w:t>
      </w:r>
      <w:r w:rsidRPr="009E4AB1">
        <w:fldChar w:fldCharType="end"/>
      </w:r>
      <w:r>
        <w:t>.</w:t>
      </w:r>
    </w:p>
    <w:p w14:paraId="1334B6EE" w14:textId="77777777" w:rsidR="00676882" w:rsidRDefault="00676882" w:rsidP="00676882">
      <w:pPr>
        <w:pStyle w:val="BodyText"/>
        <w:ind w:left="-1985"/>
      </w:pPr>
      <w:bookmarkStart w:id="525" w:name="_Ref72486796"/>
      <w:bookmarkStart w:id="526" w:name="_Toc73485651"/>
      <w:bookmarkStart w:id="527" w:name="_Toc80719301"/>
      <w:r w:rsidRPr="00EA7A06">
        <w:rPr>
          <w:rStyle w:val="CaptionLabel"/>
        </w:rPr>
        <w:t>Figure </w:t>
      </w:r>
      <w:r w:rsidRPr="00EA7A06">
        <w:rPr>
          <w:rStyle w:val="CaptionLabel"/>
        </w:rPr>
        <w:fldChar w:fldCharType="begin"/>
      </w:r>
      <w:r w:rsidRPr="00EA7A06">
        <w:rPr>
          <w:rStyle w:val="CaptionLabel"/>
        </w:rPr>
        <w:instrText xml:space="preserve"> STYLEREF 9 \S \* MERGEFORMAT </w:instrText>
      </w:r>
      <w:r w:rsidRPr="00EA7A06">
        <w:rPr>
          <w:rStyle w:val="CaptionLabel"/>
        </w:rPr>
        <w:fldChar w:fldCharType="separate"/>
      </w:r>
      <w:r>
        <w:rPr>
          <w:rStyle w:val="CaptionLabel"/>
          <w:noProof/>
        </w:rPr>
        <w:t>E</w:t>
      </w:r>
      <w:r w:rsidRPr="00EA7A06">
        <w:rPr>
          <w:rStyle w:val="CaptionLabel"/>
        </w:rPr>
        <w:fldChar w:fldCharType="end"/>
      </w:r>
      <w:r w:rsidRPr="00EA7A06">
        <w:rPr>
          <w:rStyle w:val="CaptionLabel"/>
        </w:rPr>
        <w:t>.</w:t>
      </w:r>
      <w:r w:rsidRPr="00EA7A06">
        <w:rPr>
          <w:rStyle w:val="CaptionLabel"/>
        </w:rPr>
        <w:fldChar w:fldCharType="begin"/>
      </w:r>
      <w:r w:rsidRPr="00EA7A06">
        <w:rPr>
          <w:rStyle w:val="CaptionLabel"/>
        </w:rPr>
        <w:instrText xml:space="preserve"> SEQ Figure_AP \* ARABIC \S 9 \* MERGEFORMAT </w:instrText>
      </w:r>
      <w:r w:rsidRPr="00EA7A06">
        <w:rPr>
          <w:rStyle w:val="CaptionLabel"/>
        </w:rPr>
        <w:fldChar w:fldCharType="separate"/>
      </w:r>
      <w:r>
        <w:rPr>
          <w:rStyle w:val="CaptionLabel"/>
          <w:noProof/>
        </w:rPr>
        <w:t>1</w:t>
      </w:r>
      <w:r w:rsidRPr="00EA7A06">
        <w:rPr>
          <w:rStyle w:val="CaptionLabel"/>
        </w:rPr>
        <w:fldChar w:fldCharType="end"/>
      </w:r>
      <w:bookmarkEnd w:id="525"/>
      <w:r>
        <w:tab/>
        <w:t>External stakeholders</w:t>
      </w:r>
      <w:bookmarkEnd w:id="526"/>
      <w:bookmarkEnd w:id="527"/>
    </w:p>
    <w:p w14:paraId="685A8E11" w14:textId="77777777" w:rsidR="00676882" w:rsidRDefault="00676882" w:rsidP="00676882">
      <w:pPr>
        <w:pStyle w:val="BodyText"/>
        <w:spacing w:before="0" w:after="0" w:line="0" w:lineRule="atLeast"/>
        <w:ind w:left="-1985"/>
      </w:pPr>
      <w:r>
        <w:rPr>
          <w:noProof/>
        </w:rPr>
        <w:drawing>
          <wp:inline distT="0" distB="0" distL="0" distR="0" wp14:anchorId="6B34B4DF" wp14:editId="600BC8D8">
            <wp:extent cx="6264000" cy="3218480"/>
            <wp:effectExtent l="0" t="0" r="0" b="0"/>
            <wp:docPr id="512" name="Picture 512" descr="Rental providers &amp; advocates, including: Owners Corporation, Network of the ACT, Ratepayers Association of the ACT , CHC Australia, Housing ACT, Law Society of the ACT property law committee, and Individual rental providers.&#10;&#10;Tenants and advocates groups including: The Tenant’s Union ACT, Legal Aid ACT – Tenant Advice Service, Canberra Community Law, Care Financial Counselling and individual tenants.&#10;&#10;Community advocates including: ACT Council of Social Services, St Vincent de Paul, ACT Shelter, Better Renting, and Conservation Council ACT&#10;&#10;Industry groups, including: Real Estate Institute ACT, Insulation Australasia, Australian Building Sustainability Association, Master Electricians Australia, Insulation Council of Australia &amp; New Zealand, National Electrical and Communications Association&#10;&#10;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Picture 512" descr="Rental providers &amp; advocates, including: Owners Corporation, Network of the ACT, Ratepayers Association of the ACT , CHC Australia, Housing ACT, Law Society of the ACT property law committee, and Individual rental providers.&#10;&#10;Tenants and advocates groups including: The Tenant’s Union ACT, Legal Aid ACT – Tenant Advice Service, Canberra Community Law, Care Financial Counselling and individual tenants.&#10;&#10;Community advocates including: ACT Council of Social Services, St Vincent de Paul, ACT Shelter, Better Renting, and Conservation Council ACT&#10;&#10;Industry groups, including: Real Estate Institute ACT, Insulation Australasia, Australian Building Sustainability Association, Master Electricians Australia, Insulation Council of Australia &amp; New Zealand, National Electrical and Communications Association&#10;&#10; &#10;"/>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6264000" cy="3218480"/>
                    </a:xfrm>
                    <a:prstGeom prst="rect">
                      <a:avLst/>
                    </a:prstGeom>
                    <a:noFill/>
                  </pic:spPr>
                </pic:pic>
              </a:graphicData>
            </a:graphic>
          </wp:inline>
        </w:drawing>
      </w:r>
    </w:p>
    <w:p w14:paraId="7509188F" w14:textId="77777777" w:rsidR="00676882" w:rsidRPr="004E43C3" w:rsidRDefault="00676882" w:rsidP="00676882">
      <w:pPr>
        <w:pStyle w:val="BodyText"/>
        <w:spacing w:before="0" w:after="0" w:line="0" w:lineRule="atLeast"/>
        <w:ind w:left="-1985"/>
        <w:rPr>
          <w:i/>
          <w:iCs/>
          <w:sz w:val="16"/>
          <w:szCs w:val="16"/>
        </w:rPr>
      </w:pPr>
      <w:r w:rsidRPr="004E43C3">
        <w:rPr>
          <w:i/>
          <w:iCs/>
          <w:sz w:val="16"/>
          <w:szCs w:val="16"/>
        </w:rPr>
        <w:t>Source: ACIL Allen</w:t>
      </w:r>
    </w:p>
    <w:p w14:paraId="790025D9" w14:textId="77777777" w:rsidR="00676882" w:rsidRDefault="00676882" w:rsidP="00676882">
      <w:pPr>
        <w:pStyle w:val="Heading2AP"/>
      </w:pPr>
      <w:bookmarkStart w:id="528" w:name="_Toc74515455"/>
      <w:bookmarkStart w:id="529" w:name="_Toc80712630"/>
      <w:r>
        <w:t>Views on the proposed options</w:t>
      </w:r>
      <w:bookmarkEnd w:id="528"/>
      <w:bookmarkEnd w:id="529"/>
    </w:p>
    <w:p w14:paraId="15B8F86F" w14:textId="77777777" w:rsidR="00676882" w:rsidRDefault="00676882" w:rsidP="00676882">
      <w:pPr>
        <w:pStyle w:val="BodyText"/>
      </w:pPr>
      <w:r>
        <w:t xml:space="preserve">There was no unanimously preferred option between a roof ceiling standard, an energy-efficient heater standard, or a performance-based standard across all groups consulted. Even within groups, there was no strong preference for one option over others. No group consistently dis-preferred any option, though they recognised that implementation was important across options. </w:t>
      </w:r>
    </w:p>
    <w:p w14:paraId="741F84E0" w14:textId="77777777" w:rsidR="00676882" w:rsidRDefault="00676882" w:rsidP="00676882">
      <w:pPr>
        <w:pStyle w:val="BodyText"/>
      </w:pPr>
      <w:r>
        <w:lastRenderedPageBreak/>
        <w:t>That said, there were some consistent messages (within engagements and across engagements) about the options:</w:t>
      </w:r>
    </w:p>
    <w:p w14:paraId="78397B4F" w14:textId="77777777" w:rsidR="00676882" w:rsidRDefault="00676882" w:rsidP="00676882">
      <w:pPr>
        <w:pStyle w:val="ListBullet"/>
      </w:pPr>
      <w:r>
        <w:t>Features-based standards (such as roof insulation or an energy efficient heater) are simpler for rental providers to comply with. A performance-based measure would provide more flexibility for rental providers.</w:t>
      </w:r>
    </w:p>
    <w:p w14:paraId="503C824E" w14:textId="77777777" w:rsidR="00676882" w:rsidRDefault="00676882" w:rsidP="00676882">
      <w:pPr>
        <w:pStyle w:val="ListBullet"/>
      </w:pPr>
      <w:r>
        <w:t>There are other minimum standards, such as safety, that could be more important than energy-efficiency or thermal control in the short-term.</w:t>
      </w:r>
    </w:p>
    <w:p w14:paraId="3C5FC6DF" w14:textId="77777777" w:rsidR="00676882" w:rsidRPr="00CF2CF1" w:rsidRDefault="00676882" w:rsidP="00676882">
      <w:pPr>
        <w:pStyle w:val="ListBullet"/>
      </w:pPr>
      <w:r>
        <w:t>The existing energy-efficiency improvement scheme overlaps in goal and coverage with the proposed standards and should be run in a coordinated manner with the standards.</w:t>
      </w:r>
    </w:p>
    <w:p w14:paraId="415D3F5D" w14:textId="77777777" w:rsidR="00676882" w:rsidRDefault="00676882" w:rsidP="00676882">
      <w:pPr>
        <w:pStyle w:val="ListBullet"/>
      </w:pPr>
      <w:r>
        <w:t xml:space="preserve">A heater-based standard is likely to </w:t>
      </w:r>
      <w:r>
        <w:rPr>
          <w:i/>
          <w:iCs/>
        </w:rPr>
        <w:t xml:space="preserve">increase </w:t>
      </w:r>
      <w:r>
        <w:t>energy use while insulation and a performance-based standard are more likely to decrease energy use. Partly for this reason, a heater-based standard may not be desirable without first investing in insulation and draught proofing.</w:t>
      </w:r>
    </w:p>
    <w:p w14:paraId="3154B145" w14:textId="77777777" w:rsidR="00676882" w:rsidRDefault="00676882" w:rsidP="00676882">
      <w:pPr>
        <w:pStyle w:val="ListBullet"/>
      </w:pPr>
      <w:r>
        <w:t>A less imposing standard (such as a feature-based standard) is preferred in the short-term, while more expansive standards (such as a performance-based, or multiple feature-based standards) should be a longer-term goal.</w:t>
      </w:r>
    </w:p>
    <w:p w14:paraId="19217FC8" w14:textId="77777777" w:rsidR="00676882" w:rsidRDefault="00676882" w:rsidP="00676882">
      <w:pPr>
        <w:pStyle w:val="ListBullet"/>
      </w:pPr>
      <w:r>
        <w:t>Implementation decisions will be highly impactful on the outcomes of any proposed standards.</w:t>
      </w:r>
    </w:p>
    <w:p w14:paraId="352FDBB9" w14:textId="77777777" w:rsidR="00676882" w:rsidRDefault="00676882" w:rsidP="00676882">
      <w:pPr>
        <w:pStyle w:val="ListBullet"/>
      </w:pPr>
      <w:r>
        <w:t>The thermal control features of a rental property are only one factor affecting energy consumption, and that the other part is tenant behaviours. Multiple stakeholders described it as 80 per cent features, 20 per cent behaviour.</w:t>
      </w:r>
    </w:p>
    <w:p w14:paraId="080D074D" w14:textId="77777777" w:rsidR="00676882" w:rsidRDefault="00676882" w:rsidP="00676882">
      <w:pPr>
        <w:pStyle w:val="ListBullet"/>
      </w:pPr>
      <w:r>
        <w:t>Draught-proofing may be a simpler option, though would be more difficult to regulate and enforce.</w:t>
      </w:r>
    </w:p>
    <w:p w14:paraId="76DDC633" w14:textId="77777777" w:rsidR="00676882" w:rsidRDefault="00676882" w:rsidP="00676882">
      <w:pPr>
        <w:pStyle w:val="ListBullet"/>
      </w:pPr>
      <w:r>
        <w:t>Window coverings are an additional simple option, that can also provide privacy benefits for tenants.</w:t>
      </w:r>
    </w:p>
    <w:p w14:paraId="35097954" w14:textId="77777777" w:rsidR="00676882" w:rsidRDefault="00676882" w:rsidP="00676882">
      <w:pPr>
        <w:pStyle w:val="ListBullet"/>
      </w:pPr>
      <w:r>
        <w:t>No option will fit all properties and all circumstances.</w:t>
      </w:r>
    </w:p>
    <w:p w14:paraId="47806D72" w14:textId="77777777" w:rsidR="00676882" w:rsidRDefault="00676882" w:rsidP="00676882">
      <w:pPr>
        <w:pStyle w:val="Heading2AP"/>
      </w:pPr>
      <w:bookmarkStart w:id="530" w:name="_Toc74515456"/>
      <w:bookmarkStart w:id="531" w:name="_Toc80712631"/>
      <w:r>
        <w:t>Views on impacts on tenants</w:t>
      </w:r>
      <w:bookmarkEnd w:id="530"/>
      <w:bookmarkEnd w:id="531"/>
    </w:p>
    <w:p w14:paraId="24F397C4" w14:textId="77777777" w:rsidR="00676882" w:rsidRDefault="00676882" w:rsidP="00676882">
      <w:pPr>
        <w:pStyle w:val="BodyText"/>
      </w:pPr>
      <w:r>
        <w:t xml:space="preserve">Stakeholders unanimously recognised that tenants would be the beneficiaries of the minimum standards. It is expected that they will benefit through both comfort, reduced energy bills, and health improvements. In the workshop with tenants’ advocates, it was pointed out that there could be a myriad of benefits across different tenant groups including, for example: less lost time to illness, better mental health, less sick days for workers, less budget pressures for tenants, and tenants who are willing to remain in a property for longer (more stability for tenants and rental providers). </w:t>
      </w:r>
    </w:p>
    <w:p w14:paraId="3011FC84" w14:textId="77777777" w:rsidR="00676882" w:rsidRDefault="00676882" w:rsidP="00676882">
      <w:pPr>
        <w:pStyle w:val="BodyText"/>
      </w:pPr>
      <w:r>
        <w:t>Several factors were identified across stakeholder that might decrease the net benefit to tenants. These include:</w:t>
      </w:r>
    </w:p>
    <w:p w14:paraId="3D112447" w14:textId="77777777" w:rsidR="00676882" w:rsidRDefault="00676882" w:rsidP="00676882">
      <w:pPr>
        <w:pStyle w:val="ListBullet"/>
      </w:pPr>
      <w:r>
        <w:t xml:space="preserve">The impacts of the standards on the rental market (see section </w:t>
      </w:r>
      <w:r w:rsidRPr="009E4AB1">
        <w:fldChar w:fldCharType="begin"/>
      </w:r>
      <w:r w:rsidRPr="009E4AB1">
        <w:instrText xml:space="preserve"> REF _Ref72492184 \r \h  \* MERGEFORMAT </w:instrText>
      </w:r>
      <w:r w:rsidRPr="009E4AB1">
        <w:fldChar w:fldCharType="separate"/>
      </w:r>
      <w:r>
        <w:t>E.4</w:t>
      </w:r>
      <w:r w:rsidRPr="009E4AB1">
        <w:fldChar w:fldCharType="end"/>
      </w:r>
      <w:r>
        <w:t xml:space="preserve"> for more details):</w:t>
      </w:r>
    </w:p>
    <w:p w14:paraId="55A986D7" w14:textId="77777777" w:rsidR="00676882" w:rsidRDefault="00676882" w:rsidP="00676882">
      <w:pPr>
        <w:pStyle w:val="ListBullet2"/>
      </w:pPr>
      <w:r>
        <w:t>most stakeholders recognised that upgrades have the potential to increase rents. It was pointed out that some older tenants in the community are already paying rents up to the maximum available under the aged pension scheme and might not have the capacity to deal with additional rental increases. One stakeholder pointed out that, even with increased rental costs, regular small additional amounts paid through increased rent would still be preferable to lumpy quarterly energy bills in many cases.</w:t>
      </w:r>
    </w:p>
    <w:p w14:paraId="63A6D825" w14:textId="77777777" w:rsidR="00676882" w:rsidRDefault="00676882" w:rsidP="00676882">
      <w:pPr>
        <w:pStyle w:val="ListBullet2"/>
      </w:pPr>
      <w:r>
        <w:t>rental providers groups pointed out that where rental properties are withdrawn from the market, tenants as a group will suffer the consequences in terms of lower housing availability.</w:t>
      </w:r>
    </w:p>
    <w:p w14:paraId="12BEEED1" w14:textId="77777777" w:rsidR="00676882" w:rsidRPr="009F3BA1" w:rsidRDefault="00676882" w:rsidP="00676882">
      <w:pPr>
        <w:pStyle w:val="ListBullet"/>
      </w:pPr>
      <w:r>
        <w:lastRenderedPageBreak/>
        <w:t xml:space="preserve">Energy costs — stakeholders identified that in some cases where a heater is installed in a property or insulation makes heating more attractive, there is a potential for increased energy use and therefore energy bills. </w:t>
      </w:r>
    </w:p>
    <w:p w14:paraId="41DC8691" w14:textId="77777777" w:rsidR="00676882" w:rsidRPr="00714499" w:rsidRDefault="00676882" w:rsidP="00676882">
      <w:pPr>
        <w:pStyle w:val="Heading2AP"/>
      </w:pPr>
      <w:bookmarkStart w:id="532" w:name="_Ref73613208"/>
      <w:bookmarkStart w:id="533" w:name="_Toc74515457"/>
      <w:bookmarkStart w:id="534" w:name="_Toc80712632"/>
      <w:r w:rsidRPr="00436CDF">
        <w:t>Views</w:t>
      </w:r>
      <w:r>
        <w:t xml:space="preserve"> </w:t>
      </w:r>
      <w:r w:rsidRPr="00436CDF">
        <w:t>on</w:t>
      </w:r>
      <w:r>
        <w:t xml:space="preserve"> </w:t>
      </w:r>
      <w:r w:rsidRPr="00436CDF">
        <w:t>impacts</w:t>
      </w:r>
      <w:r>
        <w:t xml:space="preserve"> </w:t>
      </w:r>
      <w:r w:rsidRPr="00436CDF">
        <w:t>to</w:t>
      </w:r>
      <w:r>
        <w:t xml:space="preserve"> </w:t>
      </w:r>
      <w:r w:rsidRPr="00436CDF">
        <w:t>private</w:t>
      </w:r>
      <w:r>
        <w:t xml:space="preserve"> </w:t>
      </w:r>
      <w:r w:rsidRPr="00714499">
        <w:t>rental</w:t>
      </w:r>
      <w:r>
        <w:t xml:space="preserve"> </w:t>
      </w:r>
      <w:r w:rsidRPr="00714499">
        <w:t>providers</w:t>
      </w:r>
      <w:bookmarkEnd w:id="532"/>
      <w:bookmarkEnd w:id="533"/>
      <w:bookmarkEnd w:id="534"/>
    </w:p>
    <w:p w14:paraId="44233CD2" w14:textId="77777777" w:rsidR="00676882" w:rsidRDefault="00676882" w:rsidP="00676882">
      <w:pPr>
        <w:pStyle w:val="BodyText"/>
      </w:pPr>
      <w:r>
        <w:t xml:space="preserve">Stakeholders noted that cost impacts on rental providers would stem primarily from up-front capital costs and compliance costs. Benefits for rental providers would be realised for some through improvements in rental income or capital gains. Individual rental providers and organisations that represent their interests reacted strongly against minimum standards, asserting that costs impacts could be significant and unbearable for some rental providers — with implications for the rental market (see section </w:t>
      </w:r>
      <w:r w:rsidRPr="009E4AB1">
        <w:fldChar w:fldCharType="begin"/>
      </w:r>
      <w:r w:rsidRPr="009E4AB1">
        <w:instrText xml:space="preserve"> REF _Ref72492184 \r \h  \* MERGEFORMAT </w:instrText>
      </w:r>
      <w:r w:rsidRPr="009E4AB1">
        <w:fldChar w:fldCharType="separate"/>
      </w:r>
      <w:r>
        <w:t>E.4</w:t>
      </w:r>
      <w:r w:rsidRPr="009E4AB1">
        <w:fldChar w:fldCharType="end"/>
      </w:r>
      <w:r>
        <w:t>). Several written submissions from individual rental providers were emphatic that any additional burden would make their investment untenable.</w:t>
      </w:r>
    </w:p>
    <w:p w14:paraId="16E11D75" w14:textId="77777777" w:rsidR="00676882" w:rsidRDefault="00676882" w:rsidP="00676882">
      <w:pPr>
        <w:pStyle w:val="BodyText"/>
      </w:pPr>
      <w:r>
        <w:t>Both property managers and rental providers groups identified that the burden can be two-fold, and for some rental providers may be significant:</w:t>
      </w:r>
    </w:p>
    <w:p w14:paraId="5533CAD3" w14:textId="77777777" w:rsidR="00676882" w:rsidRDefault="00676882" w:rsidP="00676882">
      <w:pPr>
        <w:pStyle w:val="ListBullet"/>
      </w:pPr>
      <w:r>
        <w:t>effects on rental returns for rental providers</w:t>
      </w:r>
    </w:p>
    <w:p w14:paraId="3EF8D8C5" w14:textId="77777777" w:rsidR="00676882" w:rsidRDefault="00676882" w:rsidP="00676882">
      <w:pPr>
        <w:pStyle w:val="ListBullet"/>
      </w:pPr>
      <w:r>
        <w:t>the regulatory burden of meeting additional requirements.</w:t>
      </w:r>
    </w:p>
    <w:p w14:paraId="6BA0C86B" w14:textId="77777777" w:rsidR="00676882" w:rsidRDefault="00676882" w:rsidP="00676882">
      <w:pPr>
        <w:pStyle w:val="ListBullet"/>
        <w:numPr>
          <w:ilvl w:val="0"/>
          <w:numId w:val="0"/>
        </w:numPr>
      </w:pPr>
      <w:r>
        <w:t>While there may be some burden on some rental providers, some stakeholders also noted that the regulation may also provide some benefit to some rental providers.</w:t>
      </w:r>
    </w:p>
    <w:p w14:paraId="12359C52" w14:textId="77777777" w:rsidR="00676882" w:rsidRDefault="00676882" w:rsidP="00676882">
      <w:pPr>
        <w:pStyle w:val="Heading3AP"/>
      </w:pPr>
      <w:r>
        <w:t>Costs to rental providers</w:t>
      </w:r>
    </w:p>
    <w:p w14:paraId="2DBABB8C" w14:textId="77777777" w:rsidR="00676882" w:rsidRDefault="00676882" w:rsidP="00676882">
      <w:pPr>
        <w:pStyle w:val="BodyText"/>
      </w:pPr>
      <w:r>
        <w:t>The financial impact on rental providers was a primary concern. For some properties, improving energy efficiency performance by the equivalent of several stars was viewed as having upfront costs in the tens-of-thousands of dollars. One rental provider noted that raising their property to the equivalent of four stars would require substantial demolition and rebuilding. For some rental providers their investment is either a primary source of income or represents their ‘nest-egg’.</w:t>
      </w:r>
    </w:p>
    <w:p w14:paraId="6FB9C7D1" w14:textId="77777777" w:rsidR="00676882" w:rsidRPr="00AF3C28" w:rsidRDefault="00676882" w:rsidP="00676882">
      <w:pPr>
        <w:pStyle w:val="Heading4AP"/>
      </w:pPr>
      <w:r>
        <w:t>Effects on rental returns</w:t>
      </w:r>
    </w:p>
    <w:p w14:paraId="45339496" w14:textId="77777777" w:rsidR="00676882" w:rsidRDefault="00676882" w:rsidP="00676882">
      <w:pPr>
        <w:pStyle w:val="BodyText"/>
      </w:pPr>
      <w:r>
        <w:t>Investments in upgrades necessarily add to the costs of the property and may not add equally to the returns. Where increased rents cover the cost of the upgrades, and provide a return to rental providers, it should improve rental returns. However, views across stakeholders were mixed as to whether rental providers would be able to pass through costs to tenants. For those rental providers not able to recuperate additional investments, it would decrease rental returns.</w:t>
      </w:r>
    </w:p>
    <w:p w14:paraId="66D81B7A" w14:textId="77777777" w:rsidR="00676882" w:rsidRDefault="00676882" w:rsidP="00676882">
      <w:pPr>
        <w:pStyle w:val="BodyText"/>
      </w:pPr>
      <w:r>
        <w:t xml:space="preserve">Rental providers own and provide rental properties for a diversity of reasons. However, few do so without regard for rental returns. Rental providers highlighted that, to invest in a rental property, a rough 3 per cent annual return is required to make this investment comparable to the returns generated by other investment assets. </w:t>
      </w:r>
    </w:p>
    <w:p w14:paraId="0BA3011F" w14:textId="77777777" w:rsidR="00676882" w:rsidRPr="00586133" w:rsidRDefault="00676882" w:rsidP="00676882">
      <w:pPr>
        <w:pStyle w:val="BodyText"/>
      </w:pPr>
      <w:r>
        <w:t xml:space="preserve">Rental provider groups highlighted the regulatory context in which minimum standards are being introduced. Recent regulatory changes to the residential rental sector, such as the </w:t>
      </w:r>
      <w:r>
        <w:rPr>
          <w:i/>
          <w:iCs/>
        </w:rPr>
        <w:t>Residential Tenancies Amendment Act 2019</w:t>
      </w:r>
      <w:r>
        <w:t>, as well as changes to land-taxes have all negatively impacted rental returns for some rental providers.</w:t>
      </w:r>
    </w:p>
    <w:p w14:paraId="076EC806" w14:textId="77777777" w:rsidR="00676882" w:rsidRDefault="00676882" w:rsidP="00676882">
      <w:pPr>
        <w:pStyle w:val="Heading5AP"/>
      </w:pPr>
      <w:r>
        <w:t>Liquidity constraints</w:t>
      </w:r>
    </w:p>
    <w:p w14:paraId="3FFC45C7" w14:textId="77777777" w:rsidR="00676882" w:rsidRPr="00EE5006" w:rsidRDefault="00676882" w:rsidP="00676882">
      <w:pPr>
        <w:pStyle w:val="BodyText"/>
      </w:pPr>
      <w:r w:rsidRPr="008B6D39">
        <w:t>Multiple</w:t>
      </w:r>
      <w:r>
        <w:t xml:space="preserve"> </w:t>
      </w:r>
      <w:r w:rsidRPr="008B6D39">
        <w:t>stakeholders</w:t>
      </w:r>
      <w:r>
        <w:t xml:space="preserve"> </w:t>
      </w:r>
      <w:r w:rsidRPr="008B6D39">
        <w:t>drew</w:t>
      </w:r>
      <w:r>
        <w:t xml:space="preserve"> </w:t>
      </w:r>
      <w:r w:rsidRPr="008B6D39">
        <w:t>a</w:t>
      </w:r>
      <w:r>
        <w:t xml:space="preserve"> </w:t>
      </w:r>
      <w:r w:rsidRPr="008B6D39">
        <w:t>distinction</w:t>
      </w:r>
      <w:r>
        <w:t xml:space="preserve"> </w:t>
      </w:r>
      <w:r w:rsidRPr="008B6D39">
        <w:t>between</w:t>
      </w:r>
      <w:r>
        <w:t xml:space="preserve"> </w:t>
      </w:r>
      <w:r w:rsidRPr="008B6D39">
        <w:t>active</w:t>
      </w:r>
      <w:r>
        <w:t xml:space="preserve"> </w:t>
      </w:r>
      <w:r w:rsidRPr="008B6D39">
        <w:t>investors</w:t>
      </w:r>
      <w:r>
        <w:t xml:space="preserve"> </w:t>
      </w:r>
      <w:r w:rsidRPr="008B6D39">
        <w:t>and</w:t>
      </w:r>
      <w:r>
        <w:t xml:space="preserve"> </w:t>
      </w:r>
      <w:r w:rsidRPr="008B6D39">
        <w:t>“mum</w:t>
      </w:r>
      <w:r>
        <w:t xml:space="preserve"> </w:t>
      </w:r>
      <w:r w:rsidRPr="008B6D39">
        <w:t>and</w:t>
      </w:r>
      <w:r>
        <w:t xml:space="preserve"> d</w:t>
      </w:r>
      <w:r w:rsidRPr="008B6D39">
        <w:t>a</w:t>
      </w:r>
      <w:r>
        <w:t>d</w:t>
      </w:r>
      <w:r w:rsidRPr="008B6D39">
        <w:t>” rental</w:t>
      </w:r>
      <w:r>
        <w:t xml:space="preserve"> </w:t>
      </w:r>
      <w:r w:rsidRPr="008B6D39">
        <w:t>providers.</w:t>
      </w:r>
      <w:r>
        <w:t xml:space="preserve"> </w:t>
      </w:r>
      <w:r w:rsidRPr="008B6D39">
        <w:t>The</w:t>
      </w:r>
      <w:r>
        <w:t xml:space="preserve"> </w:t>
      </w:r>
      <w:r w:rsidRPr="008B6D39">
        <w:t>distinction</w:t>
      </w:r>
      <w:r>
        <w:t xml:space="preserve"> </w:t>
      </w:r>
      <w:r w:rsidRPr="008B6D39">
        <w:t>was</w:t>
      </w:r>
      <w:r>
        <w:t xml:space="preserve"> </w:t>
      </w:r>
      <w:r w:rsidRPr="008B6D39">
        <w:t>used</w:t>
      </w:r>
      <w:r>
        <w:t xml:space="preserve">, especially </w:t>
      </w:r>
      <w:r w:rsidRPr="008B6D39">
        <w:t>to</w:t>
      </w:r>
      <w:r>
        <w:t xml:space="preserve"> </w:t>
      </w:r>
      <w:r w:rsidRPr="008B6D39">
        <w:t>refer</w:t>
      </w:r>
      <w:r>
        <w:t xml:space="preserve"> </w:t>
      </w:r>
      <w:r w:rsidRPr="008B6D39">
        <w:t>to</w:t>
      </w:r>
      <w:r>
        <w:t xml:space="preserve"> </w:t>
      </w:r>
      <w:r w:rsidRPr="008B6D39">
        <w:t>the</w:t>
      </w:r>
      <w:r>
        <w:t xml:space="preserve"> </w:t>
      </w:r>
      <w:r w:rsidRPr="008B6D39">
        <w:t>capacity</w:t>
      </w:r>
      <w:r>
        <w:t xml:space="preserve"> </w:t>
      </w:r>
      <w:r w:rsidRPr="008B6D39">
        <w:t>for</w:t>
      </w:r>
      <w:r>
        <w:t xml:space="preserve"> </w:t>
      </w:r>
      <w:r w:rsidRPr="008B6D39">
        <w:t>rental</w:t>
      </w:r>
      <w:r>
        <w:t xml:space="preserve"> </w:t>
      </w:r>
      <w:r w:rsidRPr="008B6D39">
        <w:t>providers</w:t>
      </w:r>
      <w:r>
        <w:t xml:space="preserve"> </w:t>
      </w:r>
      <w:r w:rsidRPr="008B6D39">
        <w:t>to</w:t>
      </w:r>
      <w:r>
        <w:t xml:space="preserve"> make up-front investments into their properties. Representatives of property managers, as well as financial counsellors pointed out that the cost of operating a rental property can be unmanageable for some rental providers without any additional costs from minimum standards. The additional </w:t>
      </w:r>
      <w:r>
        <w:lastRenderedPageBreak/>
        <w:t>costs imposed by a minimum standard can be beyond the liquidity constraints of some of these types of investors, and in some cases can cause mortgage stress related to their existing investments.</w:t>
      </w:r>
    </w:p>
    <w:p w14:paraId="4C0DB497" w14:textId="77777777" w:rsidR="00676882" w:rsidRDefault="00676882" w:rsidP="00676882">
      <w:pPr>
        <w:pStyle w:val="Heading3AP"/>
      </w:pPr>
      <w:r>
        <w:t>Regulatory burden</w:t>
      </w:r>
    </w:p>
    <w:p w14:paraId="44D5E1C4" w14:textId="77777777" w:rsidR="00676882" w:rsidRDefault="00676882" w:rsidP="00676882">
      <w:pPr>
        <w:pStyle w:val="BodyText"/>
      </w:pPr>
      <w:r>
        <w:t xml:space="preserve">Organisations that represent rental providers pointed out that the regulatory burden placed on rental providers has increased in recent years. They noted that the 2019 reforms to the rental market increased the regulatory burden and removed property rights for rental providers. Based on information provided by the property managers they represent, </w:t>
      </w:r>
      <w:proofErr w:type="gramStart"/>
      <w:r>
        <w:t>REIACT ,</w:t>
      </w:r>
      <w:proofErr w:type="gramEnd"/>
      <w:r>
        <w:t xml:space="preserve"> stated that about 85 per cent of sales from rental providers to owner-occupiers since the 2019 reforms can be attributed to the additional regulatory burden associated with the reforms — though there is no evidence that sales of rental properties have increased over the period. Rental provider groups highlighted that any regulatory standards would be in addition to the existing burden faced by rental providers.</w:t>
      </w:r>
    </w:p>
    <w:p w14:paraId="5C42FF08" w14:textId="77777777" w:rsidR="00676882" w:rsidRDefault="00676882" w:rsidP="00676882">
      <w:pPr>
        <w:pStyle w:val="BodyText"/>
      </w:pPr>
      <w:r>
        <w:t>Some rental providers and their representatives highlighted that any minimum energy efficiency standards would be a further erosion of property rights over their rental properties, and that they would have purchased properties with a particular set of property rights which would be very different to those after the proposed minimum standards are introduced.</w:t>
      </w:r>
    </w:p>
    <w:p w14:paraId="113EC627" w14:textId="77777777" w:rsidR="00676882" w:rsidRDefault="00676882" w:rsidP="00676882">
      <w:pPr>
        <w:pStyle w:val="Heading3AP"/>
      </w:pPr>
      <w:r>
        <w:t>Benefits to rental providers</w:t>
      </w:r>
    </w:p>
    <w:p w14:paraId="30447D64" w14:textId="77777777" w:rsidR="00676882" w:rsidRDefault="00676882" w:rsidP="00676882">
      <w:pPr>
        <w:pStyle w:val="BodyText"/>
      </w:pPr>
      <w:r>
        <w:t xml:space="preserve">It was noted in several workshops that there are </w:t>
      </w:r>
      <w:proofErr w:type="gramStart"/>
      <w:r>
        <w:t>a number of</w:t>
      </w:r>
      <w:proofErr w:type="gramEnd"/>
      <w:r>
        <w:t xml:space="preserve"> potentially beneficial impacts for rental providers, which can positively affect returns for rental providers:</w:t>
      </w:r>
    </w:p>
    <w:p w14:paraId="4E8B3A25" w14:textId="77777777" w:rsidR="00676882" w:rsidRDefault="00676882" w:rsidP="00676882">
      <w:pPr>
        <w:pStyle w:val="ListBullet"/>
      </w:pPr>
      <w:r>
        <w:t>Greater tenant retention in comfortable houses. For instance, tenants who come from other areas who are unfamiliar with Canberra’s climate often choose to move tenancies after the initial lease period to find a more comfortable home.</w:t>
      </w:r>
    </w:p>
    <w:p w14:paraId="4E428EF5" w14:textId="77777777" w:rsidR="00676882" w:rsidRDefault="00676882" w:rsidP="00676882">
      <w:pPr>
        <w:pStyle w:val="ListBullet"/>
      </w:pPr>
      <w:r>
        <w:t xml:space="preserve">Greater security of income. For some rental properties, improved energy efficiency will result in reduced bills which has the potential to alleviated </w:t>
      </w:r>
      <w:proofErr w:type="gramStart"/>
      <w:r>
        <w:t>financially-stressed</w:t>
      </w:r>
      <w:proofErr w:type="gramEnd"/>
      <w:r>
        <w:t xml:space="preserve"> household budgets. As a result, for some rental providers, they will secure more reliable rental incomes.</w:t>
      </w:r>
    </w:p>
    <w:p w14:paraId="6A732DF5" w14:textId="77777777" w:rsidR="00676882" w:rsidRDefault="00676882" w:rsidP="00676882">
      <w:pPr>
        <w:pStyle w:val="ListBullet"/>
      </w:pPr>
      <w:r>
        <w:t>Capital appreciation. Investments in thermal comfort and energy efficiency make properties more appealing to buyers. As a result, some rental providers will garner some capital appreciation from investments in the property.</w:t>
      </w:r>
    </w:p>
    <w:p w14:paraId="5FB711DA" w14:textId="77777777" w:rsidR="00676882" w:rsidRDefault="00676882" w:rsidP="00676882">
      <w:pPr>
        <w:pStyle w:val="Heading2AP"/>
      </w:pPr>
      <w:bookmarkStart w:id="535" w:name="_Ref72492184"/>
      <w:bookmarkStart w:id="536" w:name="_Toc74515458"/>
      <w:bookmarkStart w:id="537" w:name="_Toc80712633"/>
      <w:r>
        <w:t>Views on impacts to the rental market</w:t>
      </w:r>
      <w:bookmarkEnd w:id="535"/>
      <w:bookmarkEnd w:id="536"/>
      <w:bookmarkEnd w:id="537"/>
    </w:p>
    <w:p w14:paraId="0D34D016" w14:textId="77777777" w:rsidR="00676882" w:rsidRDefault="00676882" w:rsidP="00676882">
      <w:pPr>
        <w:pStyle w:val="BodyText"/>
      </w:pPr>
      <w:r>
        <w:t xml:space="preserve">A prominent theme throughout the consultation process was the potential impacts on the rental market. Canberra’s rental market is tight, with a very low vacancy rate, especially for houses. </w:t>
      </w:r>
    </w:p>
    <w:p w14:paraId="3E1F8115" w14:textId="77777777" w:rsidR="00676882" w:rsidRPr="006510A6" w:rsidRDefault="00676882" w:rsidP="00676882">
      <w:pPr>
        <w:pStyle w:val="BodyText"/>
      </w:pPr>
      <w:r>
        <w:t>In the context of this tight market, there was a view across stakeholders that a minimum standard had the potential to increase the burden on rental providers, which could result in fewer rental properties, higher rental prices or both. It was acknowledged across meetings that the impacts will be varied across different segments of the rental market.</w:t>
      </w:r>
    </w:p>
    <w:p w14:paraId="59A7D918" w14:textId="77777777" w:rsidR="00676882" w:rsidRDefault="00676882" w:rsidP="00676882">
      <w:pPr>
        <w:pStyle w:val="Heading3AP"/>
      </w:pPr>
      <w:bookmarkStart w:id="538" w:name="_Ref72492181"/>
      <w:r>
        <w:t>Views on housing availability in the private market</w:t>
      </w:r>
      <w:bookmarkEnd w:id="538"/>
    </w:p>
    <w:p w14:paraId="17405F17" w14:textId="77777777" w:rsidR="00676882" w:rsidRDefault="00676882" w:rsidP="00676882">
      <w:pPr>
        <w:pStyle w:val="BodyText"/>
      </w:pPr>
      <w:r>
        <w:t>REIACT provided an important insight on the challenging real estate market for tenants: for some properties, there is a turn-around of only two days between tenants — only enough time to clean and inspect a property before new tenants commence a lease. REIACT pointed out that the shortage is particularly acute for lower cost rental properties and in houses, both of which are the most likely to be affected by minimum standards. This was corroborated by tenants’ bodies which pointed out that there is already a severe shortage for both short-term and long-term rental properties; and there is a severe crisis in the availability of public and social housing.</w:t>
      </w:r>
    </w:p>
    <w:p w14:paraId="1B8CA204" w14:textId="77777777" w:rsidR="00676882" w:rsidRDefault="00676882" w:rsidP="00676882">
      <w:pPr>
        <w:pStyle w:val="BodyText"/>
      </w:pPr>
      <w:r>
        <w:lastRenderedPageBreak/>
        <w:t xml:space="preserve">Given demand is already in excess of supply in many segments of the rental market, the additional burden placed on rental providers will ultimately be the determining factor on whether minimum standards will further limit housing availability. As noted above, the burden can be financial — by way of the effect of returns — or the additional burden of meeting regulatory requirements. </w:t>
      </w:r>
    </w:p>
    <w:p w14:paraId="7D3030D1" w14:textId="77777777" w:rsidR="00676882" w:rsidRDefault="00676882" w:rsidP="00676882">
      <w:pPr>
        <w:pStyle w:val="BodyText"/>
      </w:pPr>
      <w:r>
        <w:t xml:space="preserve">Both organisations that represent rental providers and REIACT indicated that </w:t>
      </w:r>
      <w:proofErr w:type="gramStart"/>
      <w:r>
        <w:t>both of these</w:t>
      </w:r>
      <w:proofErr w:type="gramEnd"/>
      <w:r>
        <w:t xml:space="preserve"> factors will drive some rental providers to sell rental properties and withdraw supply from the market. As noted above, according to REIACT, approximately 85 per cent of sales of rental properties over 2020 stemmed from increased regulatory burden — especially as a result of the 2019 reforms to the rental market. If the case, this amounts to several thousand properties across Canberra, a substantial portion of the rental market. </w:t>
      </w:r>
    </w:p>
    <w:p w14:paraId="3CCDB910" w14:textId="77777777" w:rsidR="00676882" w:rsidRDefault="00676882" w:rsidP="00676882">
      <w:pPr>
        <w:pStyle w:val="BodyText"/>
      </w:pPr>
      <w:r>
        <w:t>Impacts on rental returns could likewise drive rental providers to sell properties and leave the market. Organisations representing rental providers pointed out that, for some investors, returns falling below three per cent will drive them to switch their investment to other asset classes where they could reach this return. REIACT and Care Financial Counselling suggested that some groups of investors would be forced to sell their properties regardless of returns. Some portion of rental providers that are already close to mortgage distress may not be able to handle a large upfront investment. REIACT pointed out that, in some cases, unexpected costs like a broken hot water system are enough to push some rental providers into financial distress.</w:t>
      </w:r>
    </w:p>
    <w:p w14:paraId="3B416D76" w14:textId="77777777" w:rsidR="00676882" w:rsidRPr="004E18A4" w:rsidRDefault="00676882" w:rsidP="00676882">
      <w:pPr>
        <w:pStyle w:val="BodyText"/>
      </w:pPr>
      <w:r>
        <w:t>REIACT also pointed out that there are some properties for which it will never make sense to make the upgrades. For some low-cost properties, a large upfront investment to reach a minimum performance standard could be cost-prohibitive. Unless exemptions are available for these types of properties, they will invariably be sold either to owner-occupiers or for demolition and redevelopment.</w:t>
      </w:r>
    </w:p>
    <w:p w14:paraId="581108C1" w14:textId="77777777" w:rsidR="00676882" w:rsidRPr="004E18A4" w:rsidRDefault="00676882" w:rsidP="00676882">
      <w:pPr>
        <w:pStyle w:val="BodyText"/>
      </w:pPr>
      <w:r>
        <w:t>It was also acknowledged by these organisations that implementation measures which lessen the burden on rental providers have the capacity to negate the effect. A longer phase-in period will give rental providers more time to adjust. Likewise, capacity to pass on costs to tenants or financial support from the government would lessen the sales of rental properties.</w:t>
      </w:r>
    </w:p>
    <w:p w14:paraId="2089B97E" w14:textId="77777777" w:rsidR="00676882" w:rsidRDefault="00676882" w:rsidP="00676882">
      <w:pPr>
        <w:pStyle w:val="Heading3AP"/>
      </w:pPr>
      <w:bookmarkStart w:id="539" w:name="_Ref75864552"/>
      <w:r>
        <w:t>Views on rental prices in the private market</w:t>
      </w:r>
      <w:bookmarkEnd w:id="539"/>
    </w:p>
    <w:p w14:paraId="5E9DE765" w14:textId="77777777" w:rsidR="00676882" w:rsidRDefault="00676882" w:rsidP="00676882">
      <w:pPr>
        <w:pStyle w:val="BodyText"/>
      </w:pPr>
      <w:proofErr w:type="gramStart"/>
      <w:r>
        <w:t>The majority of</w:t>
      </w:r>
      <w:proofErr w:type="gramEnd"/>
      <w:r>
        <w:t xml:space="preserve"> stakeholders recognised the effects on rental prices would be mixed, though generally acknowledged some amount of pass-through is likely. Direct pass through of costs of investment is one channel of potential impacts; however, there was some recognition that secondary effects were possible through the market. There was also acknowledgement that effects could be separated into the short-term and long-term.</w:t>
      </w:r>
    </w:p>
    <w:p w14:paraId="6AC2F89D" w14:textId="77777777" w:rsidR="00676882" w:rsidRDefault="00676882" w:rsidP="00676882">
      <w:pPr>
        <w:pStyle w:val="BodyText"/>
      </w:pPr>
      <w:r>
        <w:t xml:space="preserve">In the long-term, representatives of both tenants and rental providers, as well as REIACT, acknowledged that market conditions were such that rental providers would have the market power to pass through up-front costs as increased rents. Tenant’s representative bodies acknowledged that there is very little capacity for tenants to react or challenge rent increases, given the market tightness. The exception was Better Renting, which suggested that, for some properties, the market would not bear higher prices. </w:t>
      </w:r>
    </w:p>
    <w:p w14:paraId="54C88097" w14:textId="77777777" w:rsidR="00676882" w:rsidRDefault="00676882" w:rsidP="00676882">
      <w:pPr>
        <w:pStyle w:val="BodyText"/>
      </w:pPr>
      <w:r>
        <w:t xml:space="preserve">In the short-term, the effects on rental prices may be muted by changes in the </w:t>
      </w:r>
      <w:bookmarkStart w:id="540" w:name="_Hlk72428374"/>
      <w:r>
        <w:rPr>
          <w:i/>
          <w:iCs/>
        </w:rPr>
        <w:t>Residential Tenancies Amendment Ac</w:t>
      </w:r>
      <w:bookmarkEnd w:id="540"/>
      <w:r>
        <w:rPr>
          <w:i/>
          <w:iCs/>
        </w:rPr>
        <w:t xml:space="preserve">t 2019 </w:t>
      </w:r>
      <w:r>
        <w:t xml:space="preserve">which limit rental increases for existing tenancies. Rental provider bodies highlighted this as a crucial drag on rental providers’ capacity to pass on rent increases. Organisations which represented tenants likewise acknowledged that this could be an issue for many. </w:t>
      </w:r>
      <w:bookmarkStart w:id="541" w:name="_Hlk74908767"/>
      <w:r>
        <w:t xml:space="preserve">Views on the capability of rental providers to increase rents for existing tenants under the current laws varied from </w:t>
      </w:r>
      <w:r w:rsidRPr="00AF4E2C">
        <w:rPr>
          <w:i/>
          <w:iCs/>
        </w:rPr>
        <w:t>difficult</w:t>
      </w:r>
      <w:r>
        <w:rPr>
          <w:i/>
          <w:iCs/>
        </w:rPr>
        <w:t xml:space="preserve"> </w:t>
      </w:r>
      <w:r>
        <w:t xml:space="preserve">to </w:t>
      </w:r>
      <w:r w:rsidRPr="00AF4E2C">
        <w:rPr>
          <w:i/>
          <w:iCs/>
        </w:rPr>
        <w:t>impossible</w:t>
      </w:r>
      <w:bookmarkEnd w:id="541"/>
      <w:r>
        <w:t xml:space="preserve">. </w:t>
      </w:r>
      <w:bookmarkStart w:id="542" w:name="_Hlk74908689"/>
      <w:r>
        <w:t>One solicitor, familiar with the tenancy laws, said:</w:t>
      </w:r>
    </w:p>
    <w:p w14:paraId="2AFA0DBA" w14:textId="77777777" w:rsidR="00676882" w:rsidRDefault="00676882" w:rsidP="00676882">
      <w:pPr>
        <w:pStyle w:val="Quote"/>
      </w:pPr>
      <w:r>
        <w:t>I find the lack of clarity in the laws around rent increases make it inaccessible and often will be difficult to navigate for all parties involved.</w:t>
      </w:r>
    </w:p>
    <w:bookmarkEnd w:id="542"/>
    <w:p w14:paraId="55ED6F7C" w14:textId="77777777" w:rsidR="00676882" w:rsidRDefault="00676882" w:rsidP="00676882">
      <w:r>
        <w:lastRenderedPageBreak/>
        <w:t>As a result of the friction in raising prices on existing tenants, both rental provider groups and tenant groups acknowledged that rental prices are most likely to fall on new tenants. While rental providers could potentially take the case for excess — above the prescribed amount specified</w:t>
      </w:r>
      <w:r>
        <w:rPr>
          <w:rStyle w:val="FootnoteReference"/>
        </w:rPr>
        <w:footnoteReference w:id="31"/>
      </w:r>
      <w:r>
        <w:t xml:space="preserve"> — rental increases to the ACT Civil and Administrative Tribunal, many would wait for a new tenancy to start, or be incentivised to shift to a new tenancy to pass through costs. </w:t>
      </w:r>
    </w:p>
    <w:p w14:paraId="10DADCDD" w14:textId="77777777" w:rsidR="00676882" w:rsidRPr="00B43F21" w:rsidRDefault="00676882" w:rsidP="00676882">
      <w:r>
        <w:t>Market effects are likely to have secondary effects on rental prices. Any reduction in rental properties as a result of the regulation is likely to result in a greater imbalance between supply and demand, potentially exacerbating high rental prices. Better Renting also pointed out that there is currently a premium on energy efficient properties and on comfortable properties. As a result, it is possible that the rental price premium will be eroded, potentially alleviating the rental prices for those properties already compliant with the minimum standards.</w:t>
      </w:r>
    </w:p>
    <w:p w14:paraId="3757C495" w14:textId="77777777" w:rsidR="00676882" w:rsidRDefault="00676882" w:rsidP="00676882">
      <w:pPr>
        <w:pStyle w:val="Heading3AP"/>
      </w:pPr>
      <w:r>
        <w:t>Views on impacts to public and social housing</w:t>
      </w:r>
    </w:p>
    <w:p w14:paraId="3D1D47BE" w14:textId="77777777" w:rsidR="00676882" w:rsidRDefault="00676882" w:rsidP="00676882">
      <w:pPr>
        <w:pStyle w:val="BodyText"/>
      </w:pPr>
      <w:r>
        <w:t xml:space="preserve">ACIL Allen spoke to Housing ACT and CHC on the likely impact on the availability or pricing of public and social housing. Both acknowledged that it would be unlikely that the standard would reduce the availability of housing of public or social housing stock. CHC suggested that some smaller social housing providers may struggle to find the financial resources to upgrade their properties to meet the standards. </w:t>
      </w:r>
    </w:p>
    <w:p w14:paraId="27562608" w14:textId="77777777" w:rsidR="00676882" w:rsidRDefault="00676882" w:rsidP="00676882">
      <w:pPr>
        <w:pStyle w:val="BodyText"/>
      </w:pPr>
      <w:r>
        <w:t xml:space="preserve">Both CHC and Housing ACT have specified rental prices for their properties, which are not necessarily based on market conditions and are tied with tenant’s incomes. As a result, for </w:t>
      </w:r>
      <w:proofErr w:type="gramStart"/>
      <w:r>
        <w:t>the majority of</w:t>
      </w:r>
      <w:proofErr w:type="gramEnd"/>
      <w:r>
        <w:t xml:space="preserve"> public and social housing, there is unlikely to be rental price increases. For a limited number of properties, tenants pay a market rate, which may be affected.</w:t>
      </w:r>
    </w:p>
    <w:p w14:paraId="2EFDCADD" w14:textId="77777777" w:rsidR="00676882" w:rsidRDefault="00676882" w:rsidP="00676882">
      <w:pPr>
        <w:pStyle w:val="BodyText"/>
      </w:pPr>
      <w:r>
        <w:t>It was pointed out that tenants of social and public housing express preferences for properties with better energy efficiency and comfort levels. As a result of raising some properties up to a higher standard, it has the potential to increase equity for tenants across the public and social housing stock.</w:t>
      </w:r>
    </w:p>
    <w:p w14:paraId="595C3E79" w14:textId="77777777" w:rsidR="00676882" w:rsidRPr="009F3BA1" w:rsidRDefault="00676882" w:rsidP="00676882">
      <w:pPr>
        <w:pStyle w:val="Heading2AP"/>
      </w:pPr>
      <w:bookmarkStart w:id="543" w:name="_Toc74515459"/>
      <w:bookmarkStart w:id="544" w:name="_Toc80712634"/>
      <w:r>
        <w:t>Views on industry capacity and risk</w:t>
      </w:r>
      <w:bookmarkEnd w:id="543"/>
      <w:bookmarkEnd w:id="544"/>
    </w:p>
    <w:p w14:paraId="42D59F05" w14:textId="77777777" w:rsidR="00676882" w:rsidRDefault="00676882" w:rsidP="00676882">
      <w:pPr>
        <w:pStyle w:val="BodyText"/>
      </w:pPr>
      <w:r>
        <w:t>Industry groups were consulted with as part of the engagement process. The industries that would be primarily affected by the minimum standards are also those that were engaged through direct interviews and workshops. These include:</w:t>
      </w:r>
    </w:p>
    <w:p w14:paraId="18424E59" w14:textId="77777777" w:rsidR="00676882" w:rsidRDefault="00676882" w:rsidP="00676882">
      <w:pPr>
        <w:pStyle w:val="ListBullet"/>
      </w:pPr>
      <w:r>
        <w:t>insulation installers</w:t>
      </w:r>
    </w:p>
    <w:p w14:paraId="42C46368" w14:textId="77777777" w:rsidR="00676882" w:rsidRDefault="00676882" w:rsidP="00676882">
      <w:pPr>
        <w:pStyle w:val="ListBullet"/>
      </w:pPr>
      <w:r>
        <w:t>residential electricians</w:t>
      </w:r>
    </w:p>
    <w:p w14:paraId="032653AB" w14:textId="77777777" w:rsidR="00676882" w:rsidRDefault="00676882" w:rsidP="00676882">
      <w:pPr>
        <w:pStyle w:val="ListBullet"/>
      </w:pPr>
      <w:r>
        <w:t>real estate agents and property managers.</w:t>
      </w:r>
    </w:p>
    <w:p w14:paraId="70647426" w14:textId="77777777" w:rsidR="00676882" w:rsidRDefault="00676882" w:rsidP="00676882">
      <w:pPr>
        <w:pStyle w:val="Heading3AP"/>
      </w:pPr>
      <w:r>
        <w:t>Insulation and electrical industry</w:t>
      </w:r>
    </w:p>
    <w:p w14:paraId="58C8DC61" w14:textId="77777777" w:rsidR="00676882" w:rsidRDefault="00676882" w:rsidP="00676882">
      <w:pPr>
        <w:pStyle w:val="BodyText"/>
      </w:pPr>
      <w:r>
        <w:t xml:space="preserve">Under either of the features-based standards, or under the performance-based standard, much of the work required would be undertaken by the insulation and electrical industries. Representatives from both industries indicated that there was a high degree of capability within the ACT to assist rental providers to make the required changes to their properties. </w:t>
      </w:r>
    </w:p>
    <w:p w14:paraId="2CBB487C" w14:textId="77777777" w:rsidR="00676882" w:rsidRDefault="00676882" w:rsidP="00676882">
      <w:pPr>
        <w:pStyle w:val="BodyText"/>
      </w:pPr>
      <w:r>
        <w:t xml:space="preserve">Electricians are a licensed trade, meaning they are required to undertake training and must meet eligibility requirements. Representatives of the electrical industry commented that heater installations are common and would be routine for many electricians. Given that there is interaction </w:t>
      </w:r>
      <w:r>
        <w:lastRenderedPageBreak/>
        <w:t>between the electricals and insulation, they would also be capable of dealing with installations or upgrades of insulation.</w:t>
      </w:r>
    </w:p>
    <w:p w14:paraId="27D88F52" w14:textId="77777777" w:rsidR="00676882" w:rsidRDefault="00676882" w:rsidP="00676882">
      <w:pPr>
        <w:pStyle w:val="BodyText"/>
      </w:pPr>
      <w:r>
        <w:t>Insulation installation is not a licensed trade. As a result, training is typically on the job. However, one representative of the insulation industry commented that the ACT insulation industry has some of the highest levels of training and capability across Australia and would be able to gear up very quickly to assist rental providers. Where more training is required, the Canberra Institute of Technology (CIT) offers an insulation installation course. The course is also a requirement for the insulation installations as part of ACT Energy Efficiency Improvement Scheme, meaning installers who take the training will be well placed to respond to demand through either the scheme or the minimum standards.</w:t>
      </w:r>
    </w:p>
    <w:p w14:paraId="39FF0133" w14:textId="77777777" w:rsidR="00676882" w:rsidRDefault="00676882" w:rsidP="00676882">
      <w:pPr>
        <w:pStyle w:val="Heading4AP"/>
      </w:pPr>
      <w:r>
        <w:t>Risks identified</w:t>
      </w:r>
    </w:p>
    <w:p w14:paraId="06DDD527" w14:textId="77777777" w:rsidR="00676882" w:rsidRDefault="00676882" w:rsidP="00676882">
      <w:pPr>
        <w:pStyle w:val="BodyText"/>
      </w:pPr>
      <w:r>
        <w:t>All industry stakeholders commented that there will be few risks to installers. The major risks, especially related to roof insulation installation could all be well managed through experienced installers:</w:t>
      </w:r>
    </w:p>
    <w:p w14:paraId="0746E18F" w14:textId="77777777" w:rsidR="00676882" w:rsidRDefault="00676882" w:rsidP="00676882">
      <w:pPr>
        <w:pStyle w:val="ListBullet"/>
      </w:pPr>
      <w:r>
        <w:t xml:space="preserve">de-energisation of the roof area by turning off any connection to the mains. Some older properties may not have upgraded to a contemporary residual current device (RCD) or may have dangerous </w:t>
      </w:r>
      <w:proofErr w:type="gramStart"/>
      <w:r>
        <w:t>wiring,</w:t>
      </w:r>
      <w:proofErr w:type="gramEnd"/>
      <w:r>
        <w:t xml:space="preserve"> however, installers check this immediately and advise homeowners to make the upgrade before they enter the roof space</w:t>
      </w:r>
    </w:p>
    <w:p w14:paraId="4547DAC1" w14:textId="77777777" w:rsidR="00676882" w:rsidRDefault="00676882" w:rsidP="00676882">
      <w:pPr>
        <w:pStyle w:val="ListBullet"/>
      </w:pPr>
      <w:r>
        <w:t>heat safety</w:t>
      </w:r>
    </w:p>
    <w:p w14:paraId="709FF39B" w14:textId="77777777" w:rsidR="00676882" w:rsidRDefault="00676882" w:rsidP="00676882">
      <w:pPr>
        <w:pStyle w:val="ListBullet"/>
      </w:pPr>
      <w:r>
        <w:t>working at heights</w:t>
      </w:r>
    </w:p>
    <w:p w14:paraId="435164D0" w14:textId="77777777" w:rsidR="00676882" w:rsidRDefault="00676882" w:rsidP="00676882">
      <w:pPr>
        <w:pStyle w:val="ListBullet"/>
      </w:pPr>
      <w:r>
        <w:t>unsafe installations, such as ‘sandwiching’ electrical wires or installing insulation on top of downlights.</w:t>
      </w:r>
    </w:p>
    <w:p w14:paraId="249561CC" w14:textId="77777777" w:rsidR="00676882" w:rsidRPr="00A160B5" w:rsidRDefault="00676882" w:rsidP="00676882">
      <w:pPr>
        <w:pStyle w:val="BodyText"/>
      </w:pPr>
      <w:r>
        <w:t>It was noted that do-it-yourself or untrained installers may not be able to recognise and respond to these risks.</w:t>
      </w:r>
    </w:p>
    <w:p w14:paraId="11D5879C" w14:textId="77777777" w:rsidR="00676882" w:rsidRDefault="00676882" w:rsidP="00676882">
      <w:pPr>
        <w:pStyle w:val="Heading3AP"/>
      </w:pPr>
      <w:r>
        <w:t>Real estate industry</w:t>
      </w:r>
    </w:p>
    <w:p w14:paraId="47C01D80" w14:textId="77777777" w:rsidR="00676882" w:rsidRDefault="00676882" w:rsidP="00676882">
      <w:pPr>
        <w:pStyle w:val="BodyText"/>
      </w:pPr>
      <w:r>
        <w:t xml:space="preserve">REIACT commented that property managers may in many cases end up being asked to ensure rental properties meet minimum standards. For example, as a result of the 2019 reforms under the </w:t>
      </w:r>
      <w:r w:rsidRPr="00295058">
        <w:rPr>
          <w:i/>
          <w:iCs/>
        </w:rPr>
        <w:t>Residential</w:t>
      </w:r>
      <w:r>
        <w:rPr>
          <w:i/>
          <w:iCs/>
        </w:rPr>
        <w:t xml:space="preserve"> </w:t>
      </w:r>
      <w:r w:rsidRPr="00295058">
        <w:rPr>
          <w:i/>
          <w:iCs/>
        </w:rPr>
        <w:t>Tenancies</w:t>
      </w:r>
      <w:r>
        <w:rPr>
          <w:i/>
          <w:iCs/>
        </w:rPr>
        <w:t xml:space="preserve"> </w:t>
      </w:r>
      <w:r w:rsidRPr="00295058">
        <w:rPr>
          <w:i/>
          <w:iCs/>
        </w:rPr>
        <w:t>Amendment</w:t>
      </w:r>
      <w:r>
        <w:rPr>
          <w:i/>
          <w:iCs/>
        </w:rPr>
        <w:t xml:space="preserve"> </w:t>
      </w:r>
      <w:r w:rsidRPr="00295058">
        <w:rPr>
          <w:i/>
          <w:iCs/>
        </w:rPr>
        <w:t>Act</w:t>
      </w:r>
      <w:r>
        <w:t>, property managers have had to educate rental providers and manage the increased regulatory burden. Real estate agents are already facing regulatory fatigue as a result of the 2019 reforms.</w:t>
      </w:r>
    </w:p>
    <w:p w14:paraId="30388953" w14:textId="77777777" w:rsidR="00676882" w:rsidRDefault="00676882" w:rsidP="00676882">
      <w:pPr>
        <w:pStyle w:val="BodyText"/>
      </w:pPr>
      <w:r>
        <w:t xml:space="preserve">It was noted that the introduction of minimum standards would likely cause property managers to assume the role of project managers as properties need to be assessed and upgrades introduced — all of which is much more work than calling a tradesperson to perform basic maintenance on a property. </w:t>
      </w:r>
    </w:p>
    <w:p w14:paraId="03F8F61F" w14:textId="77777777" w:rsidR="00676882" w:rsidRPr="00295058" w:rsidRDefault="00676882" w:rsidP="00676882">
      <w:pPr>
        <w:pStyle w:val="BodyText"/>
      </w:pPr>
      <w:r>
        <w:t>In one workshop, this assumed responsibility was presented as a potential risk to both property managers as well as rental providers. The legal responsibility to meet the standards will ultimately reside with the rental provider. Where rental providers are acting in good faith on the advice of a property manager, they can still be in breach of the standards and held responsible. Conversely, where property managers provide unwanted advice on meeting standards to rental providers, they risk losing those rental providers who do not want to comply as clients.</w:t>
      </w:r>
    </w:p>
    <w:p w14:paraId="0106A2E3" w14:textId="77777777" w:rsidR="00676882" w:rsidRDefault="00676882" w:rsidP="00676882">
      <w:pPr>
        <w:pStyle w:val="Heading2AP"/>
      </w:pPr>
      <w:bookmarkStart w:id="545" w:name="_Toc74515460"/>
      <w:bookmarkStart w:id="546" w:name="_Toc80712635"/>
      <w:r>
        <w:t>Views on implementation</w:t>
      </w:r>
      <w:bookmarkEnd w:id="545"/>
      <w:bookmarkEnd w:id="546"/>
    </w:p>
    <w:p w14:paraId="76A3849A" w14:textId="77777777" w:rsidR="00676882" w:rsidRDefault="00676882" w:rsidP="00676882">
      <w:pPr>
        <w:pStyle w:val="BodyText"/>
      </w:pPr>
      <w:r>
        <w:t xml:space="preserve">All stakeholder groups highlighted that implementation considerations were crucial to the outcomes from each of the potential options. Implementation considerations relate to supporting the benefits </w:t>
      </w:r>
      <w:r>
        <w:lastRenderedPageBreak/>
        <w:t xml:space="preserve">or ameliorating the costs of the proposed regulations. Implementation considerations (as reflected in Chapter </w:t>
      </w:r>
      <w:r w:rsidRPr="009E4AB1">
        <w:fldChar w:fldCharType="begin"/>
      </w:r>
      <w:r w:rsidRPr="009E4AB1">
        <w:instrText xml:space="preserve"> REF _Ref75435556 \r \h  \* MERGEFORMAT </w:instrText>
      </w:r>
      <w:r w:rsidRPr="009E4AB1">
        <w:fldChar w:fldCharType="separate"/>
      </w:r>
      <w:r>
        <w:t>6</w:t>
      </w:r>
      <w:r w:rsidRPr="009E4AB1">
        <w:fldChar w:fldCharType="end"/>
      </w:r>
      <w:r>
        <w:t>) can be broadly grouped by theme, including:</w:t>
      </w:r>
    </w:p>
    <w:p w14:paraId="7A22F33E" w14:textId="77777777" w:rsidR="00676882" w:rsidRDefault="00676882" w:rsidP="00676882">
      <w:pPr>
        <w:pStyle w:val="ListBullet"/>
      </w:pPr>
      <w:r>
        <w:t>exemptions</w:t>
      </w:r>
    </w:p>
    <w:p w14:paraId="29DA7B19" w14:textId="77777777" w:rsidR="00676882" w:rsidRDefault="00676882" w:rsidP="00676882">
      <w:pPr>
        <w:pStyle w:val="ListBullet"/>
      </w:pPr>
      <w:r>
        <w:t>Class 2 limitations</w:t>
      </w:r>
    </w:p>
    <w:p w14:paraId="3DB14560" w14:textId="77777777" w:rsidR="00676882" w:rsidRDefault="00676882" w:rsidP="00676882">
      <w:pPr>
        <w:pStyle w:val="ListBullet"/>
      </w:pPr>
      <w:r>
        <w:t xml:space="preserve">performance standard rating validity </w:t>
      </w:r>
    </w:p>
    <w:p w14:paraId="54BF3ECD" w14:textId="77777777" w:rsidR="00676882" w:rsidRDefault="00676882" w:rsidP="00676882">
      <w:pPr>
        <w:pStyle w:val="ListBullet"/>
      </w:pPr>
      <w:r>
        <w:t>performance standard duplication</w:t>
      </w:r>
    </w:p>
    <w:p w14:paraId="47D930E3" w14:textId="77777777" w:rsidR="00676882" w:rsidRDefault="00676882" w:rsidP="00676882">
      <w:pPr>
        <w:pStyle w:val="ListBullet"/>
      </w:pPr>
      <w:r>
        <w:t>phase-in periods</w:t>
      </w:r>
    </w:p>
    <w:p w14:paraId="72355C50" w14:textId="77777777" w:rsidR="00676882" w:rsidRDefault="00676882" w:rsidP="00676882">
      <w:pPr>
        <w:pStyle w:val="ListBullet"/>
      </w:pPr>
      <w:r>
        <w:t>education</w:t>
      </w:r>
    </w:p>
    <w:p w14:paraId="04235FD4" w14:textId="77777777" w:rsidR="00676882" w:rsidRDefault="00676882" w:rsidP="00676882">
      <w:pPr>
        <w:pStyle w:val="ListBullet"/>
      </w:pPr>
      <w:r>
        <w:t>complementary measures.</w:t>
      </w:r>
    </w:p>
    <w:p w14:paraId="5C1FF7BE" w14:textId="77777777" w:rsidR="00676882" w:rsidRDefault="00676882" w:rsidP="00676882">
      <w:pPr>
        <w:pStyle w:val="Heading3AP"/>
      </w:pPr>
      <w:r>
        <w:t>Exemptions</w:t>
      </w:r>
    </w:p>
    <w:p w14:paraId="517028E9" w14:textId="77777777" w:rsidR="00676882" w:rsidRDefault="00676882" w:rsidP="00676882">
      <w:pPr>
        <w:pStyle w:val="BodyText"/>
      </w:pPr>
      <w:r>
        <w:t xml:space="preserve">All stakeholder groups recognised that not all properties could be readily upgraded to meet minimum standards. Construction of the underlying property may make upgrades prohibitively difficult or prohibitively expensive. This is especially the case for big increases in performance standards, where upgrades may be prohibitively expensive or difficult as they likely require substantial investment in the profile or shell of the building. </w:t>
      </w:r>
    </w:p>
    <w:p w14:paraId="56DE5A45" w14:textId="77777777" w:rsidR="00676882" w:rsidRDefault="00676882" w:rsidP="00676882">
      <w:pPr>
        <w:pStyle w:val="BodyText"/>
      </w:pPr>
      <w:r>
        <w:t>All stakeholder groups acknowledged that there were reasonable exemptions from minimum standards, though there was no consensus of how extensive exemptions should be. Some stakeholders suggested that, for those properties where work was not technically feasible, either an equivalent upgrade should be required, or the property should not be allowed onto the rental market.</w:t>
      </w:r>
    </w:p>
    <w:p w14:paraId="2B39EAED" w14:textId="77777777" w:rsidR="00676882" w:rsidRDefault="00676882" w:rsidP="00676882">
      <w:pPr>
        <w:pStyle w:val="Heading3AP"/>
      </w:pPr>
      <w:r>
        <w:t>Class 2 limitations</w:t>
      </w:r>
    </w:p>
    <w:p w14:paraId="67F6421D" w14:textId="77777777" w:rsidR="00676882" w:rsidRDefault="00676882" w:rsidP="00676882">
      <w:pPr>
        <w:pStyle w:val="BodyText"/>
      </w:pPr>
      <w:r>
        <w:t xml:space="preserve">Class 2 properties were acknowledged, particularly by industry groups, as being difficult to upgrade under some versions of the proposed minimum standards. </w:t>
      </w:r>
    </w:p>
    <w:p w14:paraId="6D533F54" w14:textId="77777777" w:rsidR="00676882" w:rsidRDefault="00676882" w:rsidP="00676882">
      <w:pPr>
        <w:pStyle w:val="BodyText"/>
      </w:pPr>
      <w:r>
        <w:t xml:space="preserve">Shared roof space may be difficult, or impossible, for rental providers to upgrade to meet minimum standards. Features, like roof-top gardens or pools, make upgrades of ceiling insulation particularly difficult. Similarly, adding heat-pump units to the outside of Class 2 properties may not be possible for all properties. </w:t>
      </w:r>
    </w:p>
    <w:p w14:paraId="2DB16FD4" w14:textId="77777777" w:rsidR="00676882" w:rsidRDefault="00676882" w:rsidP="00676882">
      <w:pPr>
        <w:pStyle w:val="BodyText"/>
      </w:pPr>
      <w:r>
        <w:t xml:space="preserve">Cooperative action is also a limiting factor for rental providers in Class 2 properties. An individual rental provider may find it difficult to organise upgrades through a body corporate, or for individuals to each </w:t>
      </w:r>
      <w:proofErr w:type="gramStart"/>
      <w:r>
        <w:t>have to</w:t>
      </w:r>
      <w:proofErr w:type="gramEnd"/>
      <w:r>
        <w:t xml:space="preserve"> pay for assessments of the same roof space. Improving ceiling insulation in Class 2 properties on a unit-by-unit basis may be more expensive and less effective than building improvements undertaken in a holistic manner. </w:t>
      </w:r>
    </w:p>
    <w:p w14:paraId="0B1BEAAA" w14:textId="77777777" w:rsidR="00676882" w:rsidRDefault="00676882" w:rsidP="00676882">
      <w:pPr>
        <w:pStyle w:val="Heading3AP"/>
      </w:pPr>
      <w:r>
        <w:t>Rating tool for performance standards</w:t>
      </w:r>
    </w:p>
    <w:p w14:paraId="49063CA5" w14:textId="77777777" w:rsidR="00676882" w:rsidRDefault="00676882" w:rsidP="00676882">
      <w:pPr>
        <w:pStyle w:val="BodyText"/>
      </w:pPr>
      <w:r>
        <w:t xml:space="preserve">Stakeholders within and external to the ACT Government acknowledged that the multitude of existing energy rating tools was problematic for the implementation of a performance-standard for rental properties. Within the ACT, </w:t>
      </w:r>
      <w:proofErr w:type="gramStart"/>
      <w:r>
        <w:t>the majority of</w:t>
      </w:r>
      <w:proofErr w:type="gramEnd"/>
      <w:r>
        <w:t xml:space="preserve"> new residential properties demonstrate compliance with the energy efficiency standards required by the National Construction Code via a </w:t>
      </w:r>
      <w:r w:rsidRPr="008041E6">
        <w:t>Nationwide</w:t>
      </w:r>
      <w:r>
        <w:t xml:space="preserve"> </w:t>
      </w:r>
      <w:r w:rsidRPr="008041E6">
        <w:t>House</w:t>
      </w:r>
      <w:r>
        <w:t xml:space="preserve"> </w:t>
      </w:r>
      <w:r w:rsidRPr="008041E6">
        <w:t>Energy</w:t>
      </w:r>
      <w:r>
        <w:t xml:space="preserve"> </w:t>
      </w:r>
      <w:r w:rsidRPr="008041E6">
        <w:t>Rating</w:t>
      </w:r>
      <w:r>
        <w:t xml:space="preserve"> </w:t>
      </w:r>
      <w:r w:rsidRPr="008041E6">
        <w:t>Scheme</w:t>
      </w:r>
      <w:r>
        <w:t xml:space="preserve"> </w:t>
      </w:r>
      <w:r w:rsidRPr="008041E6">
        <w:t>(NatHERS)</w:t>
      </w:r>
      <w:r>
        <w:t xml:space="preserve"> rating, while properties advertised for sale require an Energy Efficiency Rating (EER) done through the </w:t>
      </w:r>
      <w:r w:rsidRPr="008041E6">
        <w:t>ACT</w:t>
      </w:r>
      <w:r>
        <w:t xml:space="preserve"> </w:t>
      </w:r>
      <w:r w:rsidRPr="008041E6">
        <w:t>House</w:t>
      </w:r>
      <w:r>
        <w:t xml:space="preserve"> </w:t>
      </w:r>
      <w:r w:rsidRPr="008041E6">
        <w:t>Energy</w:t>
      </w:r>
      <w:r>
        <w:t xml:space="preserve"> </w:t>
      </w:r>
      <w:r w:rsidRPr="008041E6">
        <w:t>Rating</w:t>
      </w:r>
      <w:r>
        <w:t xml:space="preserve"> </w:t>
      </w:r>
      <w:r w:rsidRPr="008041E6">
        <w:t>Scheme</w:t>
      </w:r>
      <w:r>
        <w:t xml:space="preserve"> </w:t>
      </w:r>
      <w:r w:rsidRPr="008041E6">
        <w:t>(ACTHERS)</w:t>
      </w:r>
      <w:r>
        <w:t xml:space="preserve">. Neither of these existing tools are very suitable for the performance standards proposed as they only rate a </w:t>
      </w:r>
      <w:r w:rsidRPr="00436CDF">
        <w:t>home’s</w:t>
      </w:r>
      <w:r>
        <w:t xml:space="preserve"> </w:t>
      </w:r>
      <w:r w:rsidRPr="00436CDF">
        <w:t>thermal</w:t>
      </w:r>
      <w:r>
        <w:t xml:space="preserve"> </w:t>
      </w:r>
      <w:r w:rsidRPr="00436CDF">
        <w:t>performanc</w:t>
      </w:r>
      <w:r>
        <w:t xml:space="preserve">e (shell), not the energy performance of appliances. </w:t>
      </w:r>
    </w:p>
    <w:p w14:paraId="0F516B53" w14:textId="77777777" w:rsidR="00676882" w:rsidRDefault="00676882" w:rsidP="00676882">
      <w:pPr>
        <w:pStyle w:val="BodyText"/>
      </w:pPr>
      <w:r>
        <w:t xml:space="preserve">Existing energy ratings have relatively short validity periods. For example, stakeholder suggested that EERs are only valid for a year. If these ratings are the basis of a standard, they would require </w:t>
      </w:r>
      <w:r>
        <w:lastRenderedPageBreak/>
        <w:t>rental providers to have costly assessments at a regular interval, dramatically increasing the costs of compliance.</w:t>
      </w:r>
    </w:p>
    <w:p w14:paraId="418EF96A" w14:textId="77777777" w:rsidR="00676882" w:rsidRDefault="00676882" w:rsidP="00676882">
      <w:pPr>
        <w:pStyle w:val="BodyText"/>
      </w:pPr>
      <w:r>
        <w:t>Stakeholders representing both rental providers and tenants pointed out that ACTHERS ratings are no longer best practice and are inappropriate for the proposed minimum standards.</w:t>
      </w:r>
    </w:p>
    <w:p w14:paraId="25031C12" w14:textId="77777777" w:rsidR="00676882" w:rsidRDefault="00676882" w:rsidP="00676882">
      <w:pPr>
        <w:pStyle w:val="Heading3AP"/>
      </w:pPr>
      <w:r>
        <w:t>Phase-in periods</w:t>
      </w:r>
    </w:p>
    <w:p w14:paraId="035899BD" w14:textId="77777777" w:rsidR="00676882" w:rsidRDefault="00676882" w:rsidP="00676882">
      <w:pPr>
        <w:pStyle w:val="BodyText"/>
      </w:pPr>
      <w:r>
        <w:t>Rental provider groups highlighted that longer phase-in periods would allow rental providers more flexibility to respond to any minimum standards. Phase-in periods were acknowledged by all groups as a supporting and necessary aspect of the policy’s implementation. Multiple stakeholders acknowledged that whatever phase-in period is used, there will be a ‘rush to the door’ which risks industry capability and creates avenues for price gouging.</w:t>
      </w:r>
    </w:p>
    <w:p w14:paraId="790E87CD" w14:textId="77777777" w:rsidR="00676882" w:rsidRDefault="00676882" w:rsidP="00676882">
      <w:pPr>
        <w:pStyle w:val="Heading3AP"/>
      </w:pPr>
      <w:r>
        <w:t>Financial support</w:t>
      </w:r>
    </w:p>
    <w:p w14:paraId="3D7CC0C1" w14:textId="77777777" w:rsidR="00676882" w:rsidRDefault="00676882" w:rsidP="00676882">
      <w:pPr>
        <w:pStyle w:val="BodyText"/>
      </w:pPr>
      <w:r>
        <w:t xml:space="preserve">As noted in section </w:t>
      </w:r>
      <w:r w:rsidRPr="009E4AB1">
        <w:fldChar w:fldCharType="begin"/>
      </w:r>
      <w:r w:rsidRPr="009E4AB1">
        <w:instrText xml:space="preserve"> REF _Ref73613208 \r \h  \* MERGEFORMAT </w:instrText>
      </w:r>
      <w:r w:rsidRPr="009E4AB1">
        <w:fldChar w:fldCharType="separate"/>
      </w:r>
      <w:r>
        <w:t>E.3</w:t>
      </w:r>
      <w:r w:rsidRPr="009E4AB1">
        <w:fldChar w:fldCharType="end"/>
      </w:r>
      <w:r>
        <w:t>, cost impacts on rental providers can be a major burden. Both community and private rental providers suggested that financial support would be required in some cases. For some private providers, liquidity constraints will limit their ability to meet the regulations, even with a phase-in period. To some rental providers, the degree of financial support will ultimately determine the net impact of the regulation. Community and public housing providers, who have limited capacity to increase rents will similarly have trouble paying for upgrades.</w:t>
      </w:r>
    </w:p>
    <w:p w14:paraId="75FB7A8F" w14:textId="77777777" w:rsidR="00676882" w:rsidRDefault="00676882" w:rsidP="00676882">
      <w:pPr>
        <w:pStyle w:val="Heading3AP"/>
      </w:pPr>
      <w:r>
        <w:t>Education</w:t>
      </w:r>
    </w:p>
    <w:p w14:paraId="4B99C6F8" w14:textId="77777777" w:rsidR="00676882" w:rsidRDefault="00676882" w:rsidP="00676882">
      <w:pPr>
        <w:pStyle w:val="BodyText"/>
      </w:pPr>
      <w:r>
        <w:t xml:space="preserve">Members of each of the stakeholder groups identified that behavioural aspects can be as important as upgrades to the property. One stakeholder suggested that the energy efficiency of a rental property was ‘two-thirds mechanical, one-third behavioural’. One representative of tenant advocates illustrated the point with tenants who move to properties with </w:t>
      </w:r>
      <w:proofErr w:type="gramStart"/>
      <w:r>
        <w:t>a clothes</w:t>
      </w:r>
      <w:proofErr w:type="gramEnd"/>
      <w:r>
        <w:t xml:space="preserve"> drier, which often causes energy costs to balloon and become unmanageable. There was support across engagements for providing education about how to manage a home’s energy use for both tenants and rental providers. Where heaters are provided</w:t>
      </w:r>
      <w:proofErr w:type="gramStart"/>
      <w:r>
        <w:t>, in particular, there</w:t>
      </w:r>
      <w:proofErr w:type="gramEnd"/>
      <w:r>
        <w:t xml:space="preserve"> is a risk that some tenants may face bill shock with sudden additional energy use.</w:t>
      </w:r>
    </w:p>
    <w:p w14:paraId="6572FE38" w14:textId="77777777" w:rsidR="00676882" w:rsidRDefault="00676882" w:rsidP="00676882">
      <w:pPr>
        <w:pStyle w:val="Heading3AP"/>
      </w:pPr>
      <w:r>
        <w:t>Respect for tenants</w:t>
      </w:r>
    </w:p>
    <w:p w14:paraId="078F9A4A" w14:textId="77777777" w:rsidR="00676882" w:rsidRDefault="00676882" w:rsidP="00676882">
      <w:pPr>
        <w:pStyle w:val="BodyText"/>
      </w:pPr>
      <w:r>
        <w:t xml:space="preserve">One stakeholder identified that the tenants in Canberra’s poor performing rental stock are very often the most vulnerable tenant group. Several stakeholders made the point that </w:t>
      </w:r>
      <w:proofErr w:type="gramStart"/>
      <w:r>
        <w:t>upgrades</w:t>
      </w:r>
      <w:proofErr w:type="gramEnd"/>
      <w:r>
        <w:t xml:space="preserve"> and rental property maintenance can sometimes occur unilaterally or in a way that does not respect the needs of tenants, and that upgrades under these regulations must be done in a respectful manner.</w:t>
      </w:r>
    </w:p>
    <w:p w14:paraId="2B1ECA99" w14:textId="77777777" w:rsidR="00676882" w:rsidRDefault="00676882" w:rsidP="00676882">
      <w:pPr>
        <w:pStyle w:val="Heading3AP"/>
      </w:pPr>
      <w:r>
        <w:t>Public housing</w:t>
      </w:r>
    </w:p>
    <w:p w14:paraId="574F0E85" w14:textId="77777777" w:rsidR="00676882" w:rsidRDefault="00676882" w:rsidP="00676882">
      <w:pPr>
        <w:pStyle w:val="BodyText"/>
      </w:pPr>
      <w:r>
        <w:t>Groups representing rental providers, through the survey and in direct submissions, highlighted that the minimum standards must be implemented equally for both public and private rental properties. The view was that the ACT Government must lead by example. There was a consistent perception that the public housing stock is of lower quality and should be a higher priority, before asking private rental providers to bear additional regulatory burden.</w:t>
      </w:r>
    </w:p>
    <w:p w14:paraId="0EECF456" w14:textId="77777777" w:rsidR="00676882" w:rsidRDefault="00676882" w:rsidP="00676882">
      <w:pPr>
        <w:pStyle w:val="Heading3AP"/>
      </w:pPr>
      <w:r>
        <w:t>Draught sealing</w:t>
      </w:r>
    </w:p>
    <w:p w14:paraId="33664FEC" w14:textId="77777777" w:rsidR="00676882" w:rsidRDefault="00676882" w:rsidP="00676882">
      <w:pPr>
        <w:pStyle w:val="BodyText"/>
      </w:pPr>
      <w:r>
        <w:t xml:space="preserve">Several groups pointed out that draught sealing can in many cases be a cheaper, easier, and more effective upgrade than the proposed minimum standards. Industry groups and community advocate groups noted that often a heater or insulation can be made more effective with draught sealing — or conversely, that there may be limited value of making these types of upgrades without draught sealing. </w:t>
      </w:r>
    </w:p>
    <w:p w14:paraId="7714F1EA" w14:textId="77777777" w:rsidR="00676882" w:rsidRDefault="00676882" w:rsidP="00676882">
      <w:pPr>
        <w:pStyle w:val="Heading3AP"/>
      </w:pPr>
      <w:r>
        <w:lastRenderedPageBreak/>
        <w:t>Sub-tenancies</w:t>
      </w:r>
    </w:p>
    <w:p w14:paraId="79918E66" w14:textId="77777777" w:rsidR="00676882" w:rsidRDefault="00676882" w:rsidP="00676882">
      <w:pPr>
        <w:pStyle w:val="BodyText"/>
      </w:pPr>
      <w:r>
        <w:t xml:space="preserve">There is some ambiguity created around the legal responsibility for meeting the standards with sub-tenancies. In some cases, a head-tenant may have a legal responsibility to meet a standard, without the property right to make associated upgrades. </w:t>
      </w:r>
    </w:p>
    <w:p w14:paraId="6010CA93" w14:textId="77777777" w:rsidR="00676882" w:rsidRDefault="00676882" w:rsidP="00676882">
      <w:pPr>
        <w:pStyle w:val="BodyText"/>
      </w:pPr>
    </w:p>
    <w:p w14:paraId="7F385C6A" w14:textId="77777777" w:rsidR="00676882" w:rsidRDefault="00676882" w:rsidP="00676882">
      <w:pPr>
        <w:pStyle w:val="BodyText"/>
        <w:sectPr w:rsidR="00676882" w:rsidSect="00F32FCC">
          <w:headerReference w:type="even" r:id="rId144"/>
          <w:footerReference w:type="even" r:id="rId145"/>
          <w:headerReference w:type="first" r:id="rId146"/>
          <w:footerReference w:type="first" r:id="rId147"/>
          <w:pgSz w:w="11906" w:h="16838" w:code="9"/>
          <w:pgMar w:top="1134" w:right="851" w:bottom="1134" w:left="3119" w:header="454" w:footer="374" w:gutter="0"/>
          <w:pgNumType w:start="1" w:chapStyle="9"/>
          <w:cols w:space="708"/>
          <w:docGrid w:linePitch="360"/>
        </w:sectPr>
      </w:pPr>
    </w:p>
    <w:tbl>
      <w:tblPr>
        <w:tblW w:w="0" w:type="auto"/>
        <w:tblLayout w:type="fixed"/>
        <w:tblCellMar>
          <w:left w:w="0" w:type="dxa"/>
          <w:right w:w="0" w:type="dxa"/>
        </w:tblCellMar>
        <w:tblLook w:val="0000" w:firstRow="0" w:lastRow="0" w:firstColumn="0" w:lastColumn="0" w:noHBand="0" w:noVBand="0"/>
        <w:tblCaption w:val="Appendix F"/>
        <w:tblDescription w:val="Survey results"/>
      </w:tblPr>
      <w:tblGrid>
        <w:gridCol w:w="5570"/>
        <w:gridCol w:w="2366"/>
      </w:tblGrid>
      <w:tr w:rsidR="00676882" w14:paraId="6F17FFAE" w14:textId="77777777" w:rsidTr="00DF45FA">
        <w:trPr>
          <w:trHeight w:hRule="exact" w:val="382"/>
        </w:trPr>
        <w:tc>
          <w:tcPr>
            <w:tcW w:w="5570" w:type="dxa"/>
          </w:tcPr>
          <w:p w14:paraId="303E47BE" w14:textId="77777777" w:rsidR="00676882" w:rsidRDefault="00676882" w:rsidP="00DF45FA">
            <w:pPr>
              <w:pStyle w:val="tagappendixChapter"/>
            </w:pPr>
            <w:r>
              <w:rPr>
                <w:noProof/>
              </w:rPr>
              <w:lastRenderedPageBreak/>
              <w:drawing>
                <wp:anchor distT="0" distB="0" distL="114300" distR="114300" simplePos="0" relativeHeight="251669504" behindDoc="1" locked="1" layoutInCell="1" allowOverlap="1" wp14:anchorId="3F24EDCC" wp14:editId="06C37119">
                  <wp:simplePos x="0" y="0"/>
                  <wp:positionH relativeFrom="page">
                    <wp:posOffset>0</wp:posOffset>
                  </wp:positionH>
                  <wp:positionV relativeFrom="page">
                    <wp:posOffset>0</wp:posOffset>
                  </wp:positionV>
                  <wp:extent cx="5039360" cy="1995170"/>
                  <wp:effectExtent l="0" t="0" r="8890" b="5080"/>
                  <wp:wrapNone/>
                  <wp:docPr id="28" name="chpt_banner_std">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chpt_banner_std">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039360" cy="1995170"/>
                          </a:xfrm>
                          <a:prstGeom prst="rect">
                            <a:avLst/>
                          </a:prstGeom>
                        </pic:spPr>
                      </pic:pic>
                    </a:graphicData>
                  </a:graphic>
                  <wp14:sizeRelH relativeFrom="margin">
                    <wp14:pctWidth>0</wp14:pctWidth>
                  </wp14:sizeRelH>
                  <wp14:sizeRelV relativeFrom="margin">
                    <wp14:pctHeight>0</wp14:pctHeight>
                  </wp14:sizeRelV>
                </wp:anchor>
              </w:drawing>
            </w:r>
          </w:p>
        </w:tc>
        <w:tc>
          <w:tcPr>
            <w:tcW w:w="2366" w:type="dxa"/>
          </w:tcPr>
          <w:p w14:paraId="605319F7" w14:textId="77777777" w:rsidR="00676882" w:rsidRDefault="00676882" w:rsidP="00DF45FA">
            <w:pPr>
              <w:pStyle w:val="Heading9"/>
            </w:pPr>
          </w:p>
        </w:tc>
      </w:tr>
      <w:tr w:rsidR="00676882" w14:paraId="3EAABBCF" w14:textId="77777777" w:rsidTr="00DF45FA">
        <w:trPr>
          <w:trHeight w:hRule="exact" w:val="2760"/>
        </w:trPr>
        <w:tc>
          <w:tcPr>
            <w:tcW w:w="5570" w:type="dxa"/>
            <w:vAlign w:val="bottom"/>
          </w:tcPr>
          <w:p w14:paraId="06B8A615" w14:textId="77777777" w:rsidR="00676882" w:rsidRDefault="00676882" w:rsidP="00DF45FA">
            <w:pPr>
              <w:pStyle w:val="Heading1AP"/>
            </w:pPr>
            <w:bookmarkStart w:id="547" w:name="_Ref75434467"/>
            <w:bookmarkStart w:id="548" w:name="_Ref75434654"/>
            <w:bookmarkStart w:id="549" w:name="_Ref75434775"/>
            <w:bookmarkStart w:id="550" w:name="_Ref75434778"/>
            <w:bookmarkStart w:id="551" w:name="_Ref75435338"/>
            <w:bookmarkStart w:id="552" w:name="_Toc80712636"/>
            <w:r>
              <w:t>Survey results</w:t>
            </w:r>
            <w:bookmarkEnd w:id="547"/>
            <w:bookmarkEnd w:id="548"/>
            <w:bookmarkEnd w:id="549"/>
            <w:bookmarkEnd w:id="550"/>
            <w:bookmarkEnd w:id="551"/>
            <w:bookmarkEnd w:id="552"/>
          </w:p>
        </w:tc>
        <w:tc>
          <w:tcPr>
            <w:tcW w:w="2366" w:type="dxa"/>
            <w:tcMar>
              <w:right w:w="224" w:type="dxa"/>
            </w:tcMar>
            <w:vAlign w:val="bottom"/>
          </w:tcPr>
          <w:p w14:paraId="74C82E72" w14:textId="77777777" w:rsidR="00676882" w:rsidRDefault="00676882" w:rsidP="00DF45FA">
            <w:pPr>
              <w:pStyle w:val="HeadingAppendix"/>
            </w:pPr>
            <w:r>
              <w:fldChar w:fldCharType="begin"/>
            </w:r>
            <w:r>
              <w:instrText xml:space="preserve"> SEQ AppNum \* ALPHABETIC </w:instrText>
            </w:r>
            <w:r>
              <w:fldChar w:fldCharType="separate"/>
            </w:r>
            <w:r>
              <w:rPr>
                <w:noProof/>
              </w:rPr>
              <w:t>F</w:t>
            </w:r>
            <w:r>
              <w:rPr>
                <w:noProof/>
              </w:rPr>
              <w:fldChar w:fldCharType="end"/>
            </w:r>
          </w:p>
        </w:tc>
      </w:tr>
      <w:tr w:rsidR="00676882" w14:paraId="01EA8AE8" w14:textId="77777777" w:rsidTr="00DF45FA">
        <w:trPr>
          <w:trHeight w:hRule="exact" w:val="228"/>
        </w:trPr>
        <w:tc>
          <w:tcPr>
            <w:tcW w:w="5570" w:type="dxa"/>
          </w:tcPr>
          <w:p w14:paraId="36F3B95C" w14:textId="77777777" w:rsidR="00676882" w:rsidRDefault="00676882" w:rsidP="00DF45FA">
            <w:pPr>
              <w:pStyle w:val="spacer"/>
            </w:pPr>
          </w:p>
        </w:tc>
        <w:tc>
          <w:tcPr>
            <w:tcW w:w="2366" w:type="dxa"/>
          </w:tcPr>
          <w:p w14:paraId="3F1ACB00" w14:textId="77777777" w:rsidR="00676882" w:rsidRDefault="00676882" w:rsidP="00DF45FA">
            <w:pPr>
              <w:pStyle w:val="spacer"/>
            </w:pPr>
          </w:p>
        </w:tc>
      </w:tr>
    </w:tbl>
    <w:p w14:paraId="1DDF99D6" w14:textId="77777777" w:rsidR="00676882" w:rsidRDefault="00676882" w:rsidP="00676882">
      <w:pPr>
        <w:spacing w:before="113" w:after="60"/>
      </w:pPr>
      <w:r>
        <w:t>The ACT Government conducted a survey, on behalf of ACIL Allen, as part of the development of this RIS. The survey was conducted using the ACT Government’s YourSay platform</w:t>
      </w:r>
      <w:r>
        <w:rPr>
          <w:rStyle w:val="FootnoteReference"/>
        </w:rPr>
        <w:footnoteReference w:id="32"/>
      </w:r>
      <w:r>
        <w:t xml:space="preserve"> from 5 May 2021 to 19 May 2021. The survey was published on the YourSay website, on the Directorate’s Actsmart social media, and a link to the YourSay survey was also sent to consulted stakeholders to pass through to their constituents and networks.</w:t>
      </w:r>
    </w:p>
    <w:p w14:paraId="261D5906" w14:textId="77777777" w:rsidR="00676882" w:rsidRDefault="00676882" w:rsidP="00676882">
      <w:pPr>
        <w:spacing w:before="113" w:after="60"/>
      </w:pPr>
      <w:r>
        <w:t>The purpose of the survey was threefold:</w:t>
      </w:r>
    </w:p>
    <w:p w14:paraId="4EED0116" w14:textId="77777777" w:rsidR="00676882" w:rsidRDefault="00676882" w:rsidP="00676882">
      <w:pPr>
        <w:pStyle w:val="ListBullet"/>
      </w:pPr>
      <w:r>
        <w:t xml:space="preserve">to understand the existing rental housing stock from the perspective of rental providers and tenants. These insights were incorporated in the problem statement (see Chapter </w:t>
      </w:r>
      <w:r w:rsidRPr="009E4AB1">
        <w:fldChar w:fldCharType="begin"/>
      </w:r>
      <w:r w:rsidRPr="009E4AB1">
        <w:instrText xml:space="preserve"> REF _Ref80698894 \r \h  \* MERGEFORMAT </w:instrText>
      </w:r>
      <w:r w:rsidRPr="009E4AB1">
        <w:fldChar w:fldCharType="separate"/>
      </w:r>
      <w:r>
        <w:t>2</w:t>
      </w:r>
      <w:r w:rsidRPr="009E4AB1">
        <w:fldChar w:fldCharType="end"/>
      </w:r>
      <w:r>
        <w:t>)</w:t>
      </w:r>
    </w:p>
    <w:p w14:paraId="754F94E3" w14:textId="77777777" w:rsidR="00676882" w:rsidRDefault="00676882" w:rsidP="00676882">
      <w:pPr>
        <w:pStyle w:val="ListBullet"/>
      </w:pPr>
      <w:r>
        <w:t xml:space="preserve">to understand rental providers’, tenants’ and others’ (including owner-occupiers) views and preferences between the proposed policy options </w:t>
      </w:r>
    </w:p>
    <w:p w14:paraId="090FB7E3" w14:textId="77777777" w:rsidR="00676882" w:rsidRDefault="00676882" w:rsidP="00676882">
      <w:pPr>
        <w:pStyle w:val="ListBullet"/>
      </w:pPr>
      <w:r>
        <w:t xml:space="preserve">to understand how rental providers and tenants would respond to the proposed minimum standards. These insights informed the impact analysis (see Chapter </w:t>
      </w:r>
      <w:r w:rsidRPr="009E4AB1">
        <w:fldChar w:fldCharType="begin"/>
      </w:r>
      <w:r w:rsidRPr="009E4AB1">
        <w:instrText xml:space="preserve"> REF _Ref75435461 \r \h  \* MERGEFORMAT </w:instrText>
      </w:r>
      <w:r w:rsidRPr="009E4AB1">
        <w:fldChar w:fldCharType="separate"/>
      </w:r>
      <w:r>
        <w:t>5</w:t>
      </w:r>
      <w:r w:rsidRPr="009E4AB1">
        <w:fldChar w:fldCharType="end"/>
      </w:r>
      <w:r>
        <w:t xml:space="preserve">) as well as the implementation considerations (see Chapter </w:t>
      </w:r>
      <w:r w:rsidRPr="009E4AB1">
        <w:fldChar w:fldCharType="begin"/>
      </w:r>
      <w:r w:rsidRPr="009E4AB1">
        <w:instrText xml:space="preserve"> REF _Ref75435468 \r \h  \* MERGEFORMAT </w:instrText>
      </w:r>
      <w:r w:rsidRPr="009E4AB1">
        <w:fldChar w:fldCharType="separate"/>
      </w:r>
      <w:r>
        <w:t>6</w:t>
      </w:r>
      <w:r w:rsidRPr="009E4AB1">
        <w:fldChar w:fldCharType="end"/>
      </w:r>
      <w:r>
        <w:t>).</w:t>
      </w:r>
    </w:p>
    <w:p w14:paraId="3B0E36D6" w14:textId="77777777" w:rsidR="00676882" w:rsidRDefault="00676882" w:rsidP="00676882">
      <w:pPr>
        <w:pStyle w:val="BodyText"/>
      </w:pPr>
      <w:r>
        <w:t>The survey was separated into a rental providers’ survey, a tenants’ survey and an owner-occupier (and others) survey. Questions regarding sentiment were consistent between surveys, whereas questions regarding the rental stock and tenants and rental provider responses to the reforms were unique to each respondent group. Specific wording varied slightly to aid interpretation.</w:t>
      </w:r>
    </w:p>
    <w:p w14:paraId="2B5A9280" w14:textId="77777777" w:rsidR="00676882" w:rsidRDefault="00676882" w:rsidP="00676882">
      <w:pPr>
        <w:spacing w:before="113" w:after="60"/>
      </w:pPr>
      <w:r w:rsidRPr="00FA1EBA">
        <w:t>Surveys</w:t>
      </w:r>
      <w:r>
        <w:t xml:space="preserve"> </w:t>
      </w:r>
      <w:r w:rsidRPr="00FA1EBA">
        <w:t>provide</w:t>
      </w:r>
      <w:r>
        <w:t xml:space="preserve"> </w:t>
      </w:r>
      <w:r w:rsidRPr="00FA1EBA">
        <w:t>an</w:t>
      </w:r>
      <w:r>
        <w:t xml:space="preserve"> </w:t>
      </w:r>
      <w:r w:rsidRPr="00FA1EBA">
        <w:t>opportunity</w:t>
      </w:r>
      <w:r>
        <w:t xml:space="preserve"> </w:t>
      </w:r>
      <w:r w:rsidRPr="00FA1EBA">
        <w:t>to</w:t>
      </w:r>
      <w:r>
        <w:t xml:space="preserve"> </w:t>
      </w:r>
      <w:r w:rsidRPr="00FA1EBA">
        <w:t>collect</w:t>
      </w:r>
      <w:r>
        <w:t xml:space="preserve"> </w:t>
      </w:r>
      <w:r w:rsidRPr="00FA1EBA">
        <w:t>information</w:t>
      </w:r>
      <w:r>
        <w:t xml:space="preserve"> </w:t>
      </w:r>
      <w:r w:rsidRPr="00FA1EBA">
        <w:t>from</w:t>
      </w:r>
      <w:r>
        <w:t xml:space="preserve"> </w:t>
      </w:r>
      <w:r w:rsidRPr="00FA1EBA">
        <w:t>a</w:t>
      </w:r>
      <w:r>
        <w:t xml:space="preserve"> </w:t>
      </w:r>
      <w:r w:rsidRPr="00FA1EBA">
        <w:t>larger</w:t>
      </w:r>
      <w:r>
        <w:t xml:space="preserve"> </w:t>
      </w:r>
      <w:r w:rsidRPr="00FA1EBA">
        <w:t>group</w:t>
      </w:r>
      <w:r>
        <w:t xml:space="preserve"> </w:t>
      </w:r>
      <w:r w:rsidRPr="00FA1EBA">
        <w:t>of</w:t>
      </w:r>
      <w:r>
        <w:t xml:space="preserve"> </w:t>
      </w:r>
      <w:r w:rsidRPr="00FA1EBA">
        <w:t>stakeholders.</w:t>
      </w:r>
      <w:r>
        <w:t xml:space="preserve"> </w:t>
      </w:r>
      <w:r w:rsidRPr="00FA1EBA">
        <w:t>However,</w:t>
      </w:r>
      <w:r>
        <w:t xml:space="preserve"> </w:t>
      </w:r>
      <w:r w:rsidRPr="00FA1EBA">
        <w:t>there</w:t>
      </w:r>
      <w:r>
        <w:t xml:space="preserve"> </w:t>
      </w:r>
      <w:r w:rsidRPr="00FA1EBA">
        <w:t>is</w:t>
      </w:r>
      <w:r>
        <w:t xml:space="preserve"> </w:t>
      </w:r>
      <w:r w:rsidRPr="00FA1EBA">
        <w:t>a</w:t>
      </w:r>
      <w:r>
        <w:t xml:space="preserve"> </w:t>
      </w:r>
      <w:r w:rsidRPr="00FA1EBA">
        <w:t>limit</w:t>
      </w:r>
      <w:r>
        <w:t xml:space="preserve"> </w:t>
      </w:r>
      <w:r w:rsidRPr="00FA1EBA">
        <w:t>to</w:t>
      </w:r>
      <w:r>
        <w:t xml:space="preserve"> </w:t>
      </w:r>
      <w:r w:rsidRPr="00FA1EBA">
        <w:t>the</w:t>
      </w:r>
      <w:r>
        <w:t xml:space="preserve"> </w:t>
      </w:r>
      <w:r w:rsidRPr="00FA1EBA">
        <w:t>type</w:t>
      </w:r>
      <w:r>
        <w:t xml:space="preserve"> </w:t>
      </w:r>
      <w:r w:rsidRPr="00FA1EBA">
        <w:t>of</w:t>
      </w:r>
      <w:r>
        <w:t xml:space="preserve"> </w:t>
      </w:r>
      <w:r w:rsidRPr="00FA1EBA">
        <w:t>information</w:t>
      </w:r>
      <w:r>
        <w:t xml:space="preserve"> </w:t>
      </w:r>
      <w:r w:rsidRPr="00FA1EBA">
        <w:t>that</w:t>
      </w:r>
      <w:r>
        <w:t xml:space="preserve"> </w:t>
      </w:r>
      <w:r w:rsidRPr="00FA1EBA">
        <w:t>can</w:t>
      </w:r>
      <w:r>
        <w:t xml:space="preserve"> </w:t>
      </w:r>
      <w:r w:rsidRPr="00FA1EBA">
        <w:t>be</w:t>
      </w:r>
      <w:r>
        <w:t xml:space="preserve"> </w:t>
      </w:r>
      <w:r w:rsidRPr="00FA1EBA">
        <w:t>collected</w:t>
      </w:r>
      <w:r>
        <w:t xml:space="preserve"> </w:t>
      </w:r>
      <w:r w:rsidRPr="00FA1EBA">
        <w:t>through</w:t>
      </w:r>
      <w:r>
        <w:t xml:space="preserve"> </w:t>
      </w:r>
      <w:r w:rsidRPr="00FA1EBA">
        <w:t>surveys,</w:t>
      </w:r>
      <w:r>
        <w:t xml:space="preserve"> </w:t>
      </w:r>
      <w:r w:rsidRPr="00FA1EBA">
        <w:t>and</w:t>
      </w:r>
      <w:r>
        <w:t xml:space="preserve"> </w:t>
      </w:r>
      <w:r w:rsidRPr="00FA1EBA">
        <w:t>an</w:t>
      </w:r>
      <w:r>
        <w:t xml:space="preserve"> </w:t>
      </w:r>
      <w:r w:rsidRPr="00FA1EBA">
        <w:t>inability</w:t>
      </w:r>
      <w:r>
        <w:t xml:space="preserve"> </w:t>
      </w:r>
      <w:r w:rsidRPr="00FA1EBA">
        <w:t>to</w:t>
      </w:r>
      <w:r>
        <w:t xml:space="preserve"> </w:t>
      </w:r>
      <w:r w:rsidRPr="00FA1EBA">
        <w:t>explore</w:t>
      </w:r>
      <w:r>
        <w:t xml:space="preserve"> </w:t>
      </w:r>
      <w:r w:rsidRPr="00FA1EBA">
        <w:t>issues</w:t>
      </w:r>
      <w:r>
        <w:t xml:space="preserve"> </w:t>
      </w:r>
      <w:r w:rsidRPr="00FA1EBA">
        <w:t>of</w:t>
      </w:r>
      <w:r>
        <w:t xml:space="preserve"> </w:t>
      </w:r>
      <w:r w:rsidRPr="00FA1EBA">
        <w:t>interest</w:t>
      </w:r>
      <w:r>
        <w:t xml:space="preserve"> </w:t>
      </w:r>
      <w:r w:rsidRPr="00FA1EBA">
        <w:t>in</w:t>
      </w:r>
      <w:r>
        <w:t xml:space="preserve"> </w:t>
      </w:r>
      <w:r w:rsidRPr="00FA1EBA">
        <w:t>more</w:t>
      </w:r>
      <w:r>
        <w:t xml:space="preserve"> </w:t>
      </w:r>
      <w:r w:rsidRPr="00FA1EBA">
        <w:t>detail</w:t>
      </w:r>
      <w:r>
        <w:t xml:space="preserve">. There is a natural trade-off for all surveys between the level of detail asked and survey participation — as survey length dissuades participation. The survey is considered in the context of the stakeholder consultation process and the impact analysis in Chapter </w:t>
      </w:r>
      <w:r w:rsidRPr="009E4AB1">
        <w:fldChar w:fldCharType="begin"/>
      </w:r>
      <w:r w:rsidRPr="009E4AB1">
        <w:instrText xml:space="preserve"> REF _Ref75435481 \r \h  \* MERGEFORMAT </w:instrText>
      </w:r>
      <w:r w:rsidRPr="009E4AB1">
        <w:fldChar w:fldCharType="separate"/>
      </w:r>
      <w:r>
        <w:t>5</w:t>
      </w:r>
      <w:r w:rsidRPr="009E4AB1">
        <w:fldChar w:fldCharType="end"/>
      </w:r>
      <w:r>
        <w:t>.</w:t>
      </w:r>
    </w:p>
    <w:p w14:paraId="4CB2FB69" w14:textId="77777777" w:rsidR="00676882" w:rsidRDefault="00676882" w:rsidP="00676882">
      <w:pPr>
        <w:pStyle w:val="Heading2AP"/>
      </w:pPr>
      <w:bookmarkStart w:id="553" w:name="_Toc74515462"/>
      <w:bookmarkStart w:id="554" w:name="_Toc80712637"/>
      <w:r>
        <w:t>Survey respondents</w:t>
      </w:r>
      <w:bookmarkEnd w:id="553"/>
      <w:bookmarkEnd w:id="554"/>
    </w:p>
    <w:p w14:paraId="0963CCDB" w14:textId="77777777" w:rsidR="00676882" w:rsidRDefault="00676882" w:rsidP="00676882">
      <w:pPr>
        <w:pStyle w:val="BodyText"/>
      </w:pPr>
      <w:r>
        <w:t xml:space="preserve">The survey had 636 respondents over the two-week period, and the website had over 3,000 views from close to 2,500 visitors. Approximately 85 per cent of responses were from rental providers, with smaller response rates from tenants and owner-occupiers (see </w:t>
      </w:r>
      <w:r w:rsidRPr="009E4AB1">
        <w:fldChar w:fldCharType="begin"/>
      </w:r>
      <w:r w:rsidRPr="009E4AB1">
        <w:instrText xml:space="preserve"> REF _Ref80366832 \h  \* MERGEFORMAT </w:instrText>
      </w:r>
      <w:r w:rsidRPr="009E4AB1">
        <w:fldChar w:fldCharType="separate"/>
      </w:r>
      <w:r w:rsidRPr="00F32FCC">
        <w:t>Figure F.1</w:t>
      </w:r>
      <w:r w:rsidRPr="009E4AB1">
        <w:fldChar w:fldCharType="end"/>
      </w:r>
      <w:r>
        <w:t xml:space="preserve">). </w:t>
      </w:r>
      <w:r w:rsidRPr="00CC1B10">
        <w:t xml:space="preserve">Note that due to the smaller number of respondents, the percentage responses from renters and owner occupiers are a less reliable indicator of overall renter and owner occupier views than those from rental providers.  </w:t>
      </w:r>
    </w:p>
    <w:p w14:paraId="54B69BA3" w14:textId="77777777" w:rsidR="00676882" w:rsidRDefault="00676882" w:rsidP="00676882">
      <w:pPr>
        <w:pStyle w:val="BodyText"/>
        <w:keepNext/>
        <w:keepLines/>
      </w:pPr>
      <w:bookmarkStart w:id="555" w:name="_Ref80366832"/>
      <w:bookmarkStart w:id="556" w:name="_Toc80719302"/>
      <w:r w:rsidRPr="00945BA5">
        <w:rPr>
          <w:rStyle w:val="CaptionLabel"/>
        </w:rPr>
        <w:lastRenderedPageBreak/>
        <w:t>Figure </w:t>
      </w:r>
      <w:r w:rsidRPr="00945BA5">
        <w:rPr>
          <w:rStyle w:val="CaptionLabel"/>
        </w:rPr>
        <w:fldChar w:fldCharType="begin"/>
      </w:r>
      <w:r w:rsidRPr="00945BA5">
        <w:rPr>
          <w:rStyle w:val="CaptionLabel"/>
        </w:rPr>
        <w:instrText xml:space="preserve"> STYLEREF 9 \S \* MERGEFORMAT </w:instrText>
      </w:r>
      <w:r w:rsidRPr="00945BA5">
        <w:rPr>
          <w:rStyle w:val="CaptionLabel"/>
        </w:rPr>
        <w:fldChar w:fldCharType="separate"/>
      </w:r>
      <w:r>
        <w:rPr>
          <w:rStyle w:val="CaptionLabel"/>
          <w:noProof/>
        </w:rPr>
        <w:t>F</w:t>
      </w:r>
      <w:r w:rsidRPr="00945BA5">
        <w:rPr>
          <w:rStyle w:val="CaptionLabel"/>
        </w:rPr>
        <w:fldChar w:fldCharType="end"/>
      </w:r>
      <w:r w:rsidRPr="00945BA5">
        <w:rPr>
          <w:rStyle w:val="CaptionLabel"/>
        </w:rPr>
        <w:t>.</w:t>
      </w:r>
      <w:r w:rsidRPr="00945BA5">
        <w:rPr>
          <w:rStyle w:val="CaptionLabel"/>
        </w:rPr>
        <w:fldChar w:fldCharType="begin"/>
      </w:r>
      <w:r w:rsidRPr="00945BA5">
        <w:rPr>
          <w:rStyle w:val="CaptionLabel"/>
        </w:rPr>
        <w:instrText xml:space="preserve"> SEQ Figure_AP \* ARABIC \S 9 \* MERGEFORMAT </w:instrText>
      </w:r>
      <w:r w:rsidRPr="00945BA5">
        <w:rPr>
          <w:rStyle w:val="CaptionLabel"/>
        </w:rPr>
        <w:fldChar w:fldCharType="separate"/>
      </w:r>
      <w:r>
        <w:rPr>
          <w:rStyle w:val="CaptionLabel"/>
          <w:noProof/>
        </w:rPr>
        <w:t>1</w:t>
      </w:r>
      <w:r w:rsidRPr="00945BA5">
        <w:rPr>
          <w:rStyle w:val="CaptionLabel"/>
        </w:rPr>
        <w:fldChar w:fldCharType="end"/>
      </w:r>
      <w:bookmarkEnd w:id="555"/>
      <w:r>
        <w:tab/>
        <w:t>Responses by participant group</w:t>
      </w:r>
      <w:bookmarkEnd w:id="556"/>
    </w:p>
    <w:p w14:paraId="7C7DB140" w14:textId="77777777" w:rsidR="00676882" w:rsidRDefault="00676882" w:rsidP="00676882">
      <w:pPr>
        <w:pStyle w:val="BodyText"/>
        <w:keepNext/>
        <w:keepLines/>
        <w:spacing w:after="0" w:line="0" w:lineRule="atLeast"/>
      </w:pPr>
      <w:r>
        <w:rPr>
          <w:noProof/>
        </w:rPr>
        <w:drawing>
          <wp:inline distT="0" distB="0" distL="0" distR="0" wp14:anchorId="12D67239" wp14:editId="47E8B9A4">
            <wp:extent cx="5039360" cy="2144584"/>
            <wp:effectExtent l="0" t="0" r="8890" b="8255"/>
            <wp:docPr id="591" name="Picture 591" descr="Rental providers make up 87 per cent of respondents, tenants make up 8 per cent of respondents, and owner-occupiers make up 5 per cent of respond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 name="Picture 591" descr="Rental providers make up 87 per cent of respondents, tenants make up 8 per cent of respondents, and owner-occupiers make up 5 per cent of respondents."/>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5039360" cy="2144584"/>
                    </a:xfrm>
                    <a:prstGeom prst="rect">
                      <a:avLst/>
                    </a:prstGeom>
                    <a:noFill/>
                  </pic:spPr>
                </pic:pic>
              </a:graphicData>
            </a:graphic>
          </wp:inline>
        </w:drawing>
      </w:r>
    </w:p>
    <w:p w14:paraId="7D05D9CF" w14:textId="77777777" w:rsidR="00676882" w:rsidRPr="006B0263" w:rsidRDefault="00676882" w:rsidP="00676882">
      <w:pPr>
        <w:pStyle w:val="BodyText"/>
        <w:keepNext/>
        <w:keepLines/>
        <w:spacing w:after="0" w:line="0" w:lineRule="atLeast"/>
        <w:rPr>
          <w:i/>
          <w:iCs/>
          <w:sz w:val="16"/>
          <w:szCs w:val="16"/>
        </w:rPr>
      </w:pPr>
      <w:r w:rsidRPr="006B0263">
        <w:rPr>
          <w:i/>
          <w:iCs/>
          <w:sz w:val="16"/>
          <w:szCs w:val="16"/>
        </w:rPr>
        <w:t>Source: ACIL Allen</w:t>
      </w:r>
    </w:p>
    <w:p w14:paraId="6481DA40" w14:textId="77777777" w:rsidR="00676882" w:rsidRDefault="00676882" w:rsidP="00676882">
      <w:pPr>
        <w:pStyle w:val="BodyText"/>
      </w:pPr>
      <w:r>
        <w:t xml:space="preserve">Respondents described properties spread well across Canberra’s regions, with tenant and rental providers representing all areas — </w:t>
      </w:r>
      <w:proofErr w:type="gramStart"/>
      <w:r>
        <w:t>with the exception of</w:t>
      </w:r>
      <w:proofErr w:type="gramEnd"/>
      <w:r>
        <w:t xml:space="preserve"> tenants in the Molonglo Valley area. Approximately 43 per cent of rental providers referred to properties in Belconnen and </w:t>
      </w:r>
      <w:proofErr w:type="gramStart"/>
      <w:r>
        <w:t>Tuggeranong;</w:t>
      </w:r>
      <w:proofErr w:type="gramEnd"/>
      <w:r>
        <w:t xml:space="preserve"> while approximately 42 per cent of tenant responses were from the Inner North area. Remaining responses represented properties in Gungahlin, the Inner South, Weston Creek and Woden.</w:t>
      </w:r>
    </w:p>
    <w:p w14:paraId="649EB36C" w14:textId="77777777" w:rsidR="00676882" w:rsidRDefault="00676882" w:rsidP="00676882">
      <w:pPr>
        <w:pStyle w:val="BodyText"/>
      </w:pPr>
      <w:r>
        <w:t>Across respondents, there was approximately equal proportions of those identifying as men and women; as well as significant proportions identifying as non-binary or preferring not to disclose. All age groups are represented in the respondents. Among respondents, tenants were more likely to be younger, while owner-occupiers and rental providers were relatively well evenly spread over age groups.</w:t>
      </w:r>
    </w:p>
    <w:p w14:paraId="37561ED6" w14:textId="77777777" w:rsidR="00676882" w:rsidRDefault="00676882" w:rsidP="00676882">
      <w:pPr>
        <w:pStyle w:val="Heading2AP"/>
      </w:pPr>
      <w:bookmarkStart w:id="557" w:name="_Toc74515463"/>
      <w:bookmarkStart w:id="558" w:name="_Ref75170242"/>
      <w:bookmarkStart w:id="559" w:name="_Ref75344658"/>
      <w:bookmarkStart w:id="560" w:name="_Ref75948592"/>
      <w:bookmarkStart w:id="561" w:name="_Ref76033647"/>
      <w:bookmarkStart w:id="562" w:name="_Toc80712638"/>
      <w:r>
        <w:t>Community sentiment</w:t>
      </w:r>
      <w:bookmarkEnd w:id="557"/>
      <w:bookmarkEnd w:id="558"/>
      <w:bookmarkEnd w:id="559"/>
      <w:bookmarkEnd w:id="560"/>
      <w:bookmarkEnd w:id="561"/>
      <w:bookmarkEnd w:id="562"/>
    </w:p>
    <w:p w14:paraId="7DE9C118" w14:textId="77777777" w:rsidR="00676882" w:rsidRDefault="00676882" w:rsidP="00676882">
      <w:pPr>
        <w:pStyle w:val="BodyText"/>
      </w:pPr>
      <w:r>
        <w:t xml:space="preserve">The survey gathered views, sentiments and preferences around energy efficiency for rental properties and the potential options considered. While there were differences between respondent groups, </w:t>
      </w:r>
      <w:proofErr w:type="gramStart"/>
      <w:r>
        <w:t>overall</w:t>
      </w:r>
      <w:proofErr w:type="gramEnd"/>
      <w:r>
        <w:t xml:space="preserve"> there was support for investment in energy efficiency in rental properties and for minimum energy efficiency standards, and agreement that the responsibility for the energy efficiency of rented properties as being on the rental provider (or shared between the rental provider and the tenant). Rental providers were more divided, with just under half supporting compulsory minimum standards for rental properties.</w:t>
      </w:r>
    </w:p>
    <w:p w14:paraId="0BA1AF42" w14:textId="77777777" w:rsidR="00676882" w:rsidRDefault="00676882" w:rsidP="00676882">
      <w:pPr>
        <w:pStyle w:val="BodyText"/>
      </w:pPr>
      <w:r>
        <w:t>The following sections discuss the results of the survey. These are presented as an equally weighted-response — that is, weighting the responses of each group so they are equal in size — as well as broken down by group.</w:t>
      </w:r>
    </w:p>
    <w:p w14:paraId="54CD1C11" w14:textId="77777777" w:rsidR="00676882" w:rsidRDefault="00676882" w:rsidP="00676882">
      <w:pPr>
        <w:pStyle w:val="Heading3AP"/>
      </w:pPr>
      <w:r>
        <w:t>Energy efficiency in rental properties</w:t>
      </w:r>
    </w:p>
    <w:p w14:paraId="5BBA8EA4" w14:textId="77777777" w:rsidR="00676882" w:rsidRDefault="00676882" w:rsidP="00676882">
      <w:pPr>
        <w:pStyle w:val="BodyText"/>
      </w:pPr>
      <w:r>
        <w:t>The survey asked questions regarding sentiments toward energy efficiency investments in rental properties. The survey suggests that the community views the responsibility for energy efficiency of a rental property as being primarily on the rental providers (weighted-response of 62 per cent) or being a shared responsibility of both rental providers and tenants (weighted-response of 31 per cent).</w:t>
      </w:r>
      <w:r>
        <w:rPr>
          <w:rStyle w:val="FootnoteReference"/>
        </w:rPr>
        <w:footnoteReference w:id="33"/>
      </w:r>
      <w:r>
        <w:t xml:space="preserve"> Only 6 per cent of weighted-responses were of the view that it was the responsibility of the tenants alone (with this view held almost entirely by rental providers). Among rental providers, </w:t>
      </w:r>
      <w:r>
        <w:lastRenderedPageBreak/>
        <w:t xml:space="preserve">39 per cent viewed it as the sole responsibility of the rental provider, and a further 50 per cent viewed it as a shared responsibility (see </w:t>
      </w:r>
      <w:r w:rsidRPr="009E4AB1">
        <w:fldChar w:fldCharType="begin"/>
      </w:r>
      <w:r w:rsidRPr="009E4AB1">
        <w:instrText xml:space="preserve"> REF _Ref80366820 \h  \* MERGEFORMAT </w:instrText>
      </w:r>
      <w:r w:rsidRPr="009E4AB1">
        <w:fldChar w:fldCharType="separate"/>
      </w:r>
      <w:r w:rsidRPr="00F32FCC">
        <w:t>Figure F.2</w:t>
      </w:r>
      <w:r w:rsidRPr="009E4AB1">
        <w:fldChar w:fldCharType="end"/>
      </w:r>
      <w:r>
        <w:t xml:space="preserve">). </w:t>
      </w:r>
    </w:p>
    <w:p w14:paraId="1EFF1AF2" w14:textId="77777777" w:rsidR="00676882" w:rsidRDefault="00676882" w:rsidP="00676882">
      <w:pPr>
        <w:pStyle w:val="BodyText"/>
      </w:pPr>
      <w:bookmarkStart w:id="563" w:name="_Ref80366820"/>
      <w:bookmarkStart w:id="564" w:name="_Toc80719303"/>
      <w:r w:rsidRPr="002D1615">
        <w:rPr>
          <w:rStyle w:val="CaptionLabel"/>
        </w:rPr>
        <w:t>Figure </w:t>
      </w:r>
      <w:r w:rsidRPr="002D1615">
        <w:rPr>
          <w:rStyle w:val="CaptionLabel"/>
        </w:rPr>
        <w:fldChar w:fldCharType="begin"/>
      </w:r>
      <w:r w:rsidRPr="002D1615">
        <w:rPr>
          <w:rStyle w:val="CaptionLabel"/>
        </w:rPr>
        <w:instrText xml:space="preserve"> STYLEREF 9 \S \* MERGEFORMAT </w:instrText>
      </w:r>
      <w:r w:rsidRPr="002D1615">
        <w:rPr>
          <w:rStyle w:val="CaptionLabel"/>
        </w:rPr>
        <w:fldChar w:fldCharType="separate"/>
      </w:r>
      <w:r>
        <w:rPr>
          <w:rStyle w:val="CaptionLabel"/>
          <w:noProof/>
        </w:rPr>
        <w:t>F</w:t>
      </w:r>
      <w:r w:rsidRPr="002D1615">
        <w:rPr>
          <w:rStyle w:val="CaptionLabel"/>
        </w:rPr>
        <w:fldChar w:fldCharType="end"/>
      </w:r>
      <w:r w:rsidRPr="002D1615">
        <w:rPr>
          <w:rStyle w:val="CaptionLabel"/>
        </w:rPr>
        <w:t>.</w:t>
      </w:r>
      <w:r w:rsidRPr="002D1615">
        <w:rPr>
          <w:rStyle w:val="CaptionLabel"/>
        </w:rPr>
        <w:fldChar w:fldCharType="begin"/>
      </w:r>
      <w:r w:rsidRPr="002D1615">
        <w:rPr>
          <w:rStyle w:val="CaptionLabel"/>
        </w:rPr>
        <w:instrText xml:space="preserve"> SEQ Figure_AP \* ARABIC \S 9 \* MERGEFORMAT </w:instrText>
      </w:r>
      <w:r w:rsidRPr="002D1615">
        <w:rPr>
          <w:rStyle w:val="CaptionLabel"/>
        </w:rPr>
        <w:fldChar w:fldCharType="separate"/>
      </w:r>
      <w:r>
        <w:rPr>
          <w:rStyle w:val="CaptionLabel"/>
          <w:noProof/>
        </w:rPr>
        <w:t>2</w:t>
      </w:r>
      <w:r w:rsidRPr="002D1615">
        <w:rPr>
          <w:rStyle w:val="CaptionLabel"/>
        </w:rPr>
        <w:fldChar w:fldCharType="end"/>
      </w:r>
      <w:bookmarkEnd w:id="563"/>
      <w:r>
        <w:tab/>
        <w:t>Perceived responsibility for energy efficiency of rental properties, by respondent groups</w:t>
      </w:r>
      <w:bookmarkEnd w:id="564"/>
    </w:p>
    <w:p w14:paraId="3BB988EF" w14:textId="77777777" w:rsidR="00676882" w:rsidRDefault="00676882" w:rsidP="00676882">
      <w:pPr>
        <w:pStyle w:val="BodyText"/>
        <w:spacing w:after="0" w:line="260" w:lineRule="atLeast"/>
      </w:pPr>
      <w:r>
        <w:rPr>
          <w:noProof/>
        </w:rPr>
        <w:drawing>
          <wp:inline distT="0" distB="0" distL="0" distR="0" wp14:anchorId="4626A69D" wp14:editId="53D2AD4D">
            <wp:extent cx="5039360" cy="2144584"/>
            <wp:effectExtent l="0" t="0" r="8890" b="8255"/>
            <wp:docPr id="599" name="Picture 599" descr="Shows responses for each of the respondent groups, mostly supporting that rental providers are responsible for energy-efficiency of rental proper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 name="Picture 599" descr="Shows responses for each of the respondent groups, mostly supporting that rental providers are responsible for energy-efficiency of rental properties."/>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039360" cy="2144584"/>
                    </a:xfrm>
                    <a:prstGeom prst="rect">
                      <a:avLst/>
                    </a:prstGeom>
                    <a:noFill/>
                  </pic:spPr>
                </pic:pic>
              </a:graphicData>
            </a:graphic>
          </wp:inline>
        </w:drawing>
      </w:r>
    </w:p>
    <w:p w14:paraId="57C71C8D" w14:textId="77777777" w:rsidR="00676882" w:rsidRPr="006B0263" w:rsidRDefault="00676882" w:rsidP="00676882">
      <w:pPr>
        <w:pStyle w:val="BodyText"/>
        <w:spacing w:after="0" w:line="260" w:lineRule="atLeast"/>
        <w:rPr>
          <w:i/>
          <w:iCs/>
          <w:sz w:val="16"/>
          <w:szCs w:val="16"/>
        </w:rPr>
      </w:pPr>
      <w:r w:rsidRPr="006B0263">
        <w:rPr>
          <w:i/>
          <w:iCs/>
          <w:sz w:val="16"/>
          <w:szCs w:val="16"/>
        </w:rPr>
        <w:t>Source: ACIL Allen</w:t>
      </w:r>
    </w:p>
    <w:p w14:paraId="0C9F445D" w14:textId="77777777" w:rsidR="00676882" w:rsidRDefault="00676882" w:rsidP="00676882">
      <w:pPr>
        <w:pStyle w:val="BodyText"/>
      </w:pPr>
      <w:r>
        <w:t xml:space="preserve">Approximately 40 per cent of the </w:t>
      </w:r>
      <w:proofErr w:type="gramStart"/>
      <w:r>
        <w:t>equally-weighted</w:t>
      </w:r>
      <w:proofErr w:type="gramEnd"/>
      <w:r>
        <w:rPr>
          <w:rStyle w:val="FootnoteReference"/>
        </w:rPr>
        <w:footnoteReference w:id="34"/>
      </w:r>
      <w:r>
        <w:t xml:space="preserve"> response strongly agreed that energy efficiency upgrades are a good investment for rental providers, and a further 19 per cent of the weighted-response agreed with the statement.</w:t>
      </w:r>
      <w:r>
        <w:rPr>
          <w:rStyle w:val="FootnoteReference"/>
        </w:rPr>
        <w:footnoteReference w:id="35"/>
      </w:r>
      <w:r>
        <w:t xml:space="preserve"> Only 16 per cent of the weighted-response strongly disagreed with the statement. </w:t>
      </w:r>
    </w:p>
    <w:p w14:paraId="550E4FEB" w14:textId="77777777" w:rsidR="00676882" w:rsidRDefault="00676882" w:rsidP="00676882">
      <w:pPr>
        <w:pStyle w:val="BodyText"/>
      </w:pPr>
      <w:r>
        <w:t xml:space="preserve">However, views diverged significantly between tenants and rental providers. While 82 per cent of tenants strongly agreed that energy efficiency represents a good investment, only 8 per cent of rental providers strongly agreed. Almost one half of rental providers strongly disagreed or disagreed with the statement (see </w:t>
      </w:r>
      <w:r w:rsidRPr="009E4AB1">
        <w:fldChar w:fldCharType="begin"/>
      </w:r>
      <w:r w:rsidRPr="009E4AB1">
        <w:instrText xml:space="preserve"> REF _Ref80366811 \h  \* MERGEFORMAT </w:instrText>
      </w:r>
      <w:r w:rsidRPr="009E4AB1">
        <w:fldChar w:fldCharType="separate"/>
      </w:r>
      <w:r w:rsidRPr="00F32FCC">
        <w:t>Figure F.3</w:t>
      </w:r>
      <w:r w:rsidRPr="009E4AB1">
        <w:fldChar w:fldCharType="end"/>
      </w:r>
      <w:r>
        <w:t>).</w:t>
      </w:r>
    </w:p>
    <w:p w14:paraId="211CC3B0" w14:textId="77777777" w:rsidR="00676882" w:rsidRDefault="00676882" w:rsidP="00676882">
      <w:pPr>
        <w:pStyle w:val="BodyText"/>
      </w:pPr>
      <w:bookmarkStart w:id="565" w:name="_Ref80366811"/>
      <w:bookmarkStart w:id="566" w:name="_Toc80719304"/>
      <w:r w:rsidRPr="001A7714">
        <w:rPr>
          <w:rStyle w:val="CaptionLabel"/>
        </w:rPr>
        <w:t>Figure </w:t>
      </w:r>
      <w:r w:rsidRPr="001A7714">
        <w:rPr>
          <w:rStyle w:val="CaptionLabel"/>
        </w:rPr>
        <w:fldChar w:fldCharType="begin"/>
      </w:r>
      <w:r w:rsidRPr="001A7714">
        <w:rPr>
          <w:rStyle w:val="CaptionLabel"/>
        </w:rPr>
        <w:instrText xml:space="preserve"> STYLEREF 9 \S \* MERGEFORMAT </w:instrText>
      </w:r>
      <w:r w:rsidRPr="001A7714">
        <w:rPr>
          <w:rStyle w:val="CaptionLabel"/>
        </w:rPr>
        <w:fldChar w:fldCharType="separate"/>
      </w:r>
      <w:r>
        <w:rPr>
          <w:rStyle w:val="CaptionLabel"/>
          <w:noProof/>
        </w:rPr>
        <w:t>F</w:t>
      </w:r>
      <w:r w:rsidRPr="001A7714">
        <w:rPr>
          <w:rStyle w:val="CaptionLabel"/>
        </w:rPr>
        <w:fldChar w:fldCharType="end"/>
      </w:r>
      <w:r w:rsidRPr="001A7714">
        <w:rPr>
          <w:rStyle w:val="CaptionLabel"/>
        </w:rPr>
        <w:t>.</w:t>
      </w:r>
      <w:r w:rsidRPr="001A7714">
        <w:rPr>
          <w:rStyle w:val="CaptionLabel"/>
        </w:rPr>
        <w:fldChar w:fldCharType="begin"/>
      </w:r>
      <w:r w:rsidRPr="001A7714">
        <w:rPr>
          <w:rStyle w:val="CaptionLabel"/>
        </w:rPr>
        <w:instrText xml:space="preserve"> SEQ Figure_AP \* ARABIC \S 9 \* MERGEFORMAT </w:instrText>
      </w:r>
      <w:r w:rsidRPr="001A7714">
        <w:rPr>
          <w:rStyle w:val="CaptionLabel"/>
        </w:rPr>
        <w:fldChar w:fldCharType="separate"/>
      </w:r>
      <w:r>
        <w:rPr>
          <w:rStyle w:val="CaptionLabel"/>
          <w:noProof/>
        </w:rPr>
        <w:t>3</w:t>
      </w:r>
      <w:r w:rsidRPr="001A7714">
        <w:rPr>
          <w:rStyle w:val="CaptionLabel"/>
        </w:rPr>
        <w:fldChar w:fldCharType="end"/>
      </w:r>
      <w:bookmarkEnd w:id="565"/>
      <w:r>
        <w:tab/>
        <w:t>Perceived value of energy efficiency investments in rental properties</w:t>
      </w:r>
      <w:bookmarkEnd w:id="566"/>
    </w:p>
    <w:p w14:paraId="678BFE31" w14:textId="77777777" w:rsidR="00676882" w:rsidRDefault="00676882" w:rsidP="00676882">
      <w:pPr>
        <w:pStyle w:val="BodyText"/>
      </w:pPr>
      <w:r>
        <w:rPr>
          <w:noProof/>
        </w:rPr>
        <w:drawing>
          <wp:inline distT="0" distB="0" distL="0" distR="0" wp14:anchorId="544F3BC3" wp14:editId="7EB48B0B">
            <wp:extent cx="4901565" cy="2207260"/>
            <wp:effectExtent l="0" t="0" r="0" b="2540"/>
            <wp:docPr id="601" name="Picture 601" descr="Generally shows agreement in the value of investing in energy efficiency improvement, strongly agreed by ten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 name="Picture 601" descr="Generally shows agreement in the value of investing in energy efficiency improvement, strongly agreed by tenants."/>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4901565" cy="2207260"/>
                    </a:xfrm>
                    <a:prstGeom prst="rect">
                      <a:avLst/>
                    </a:prstGeom>
                    <a:noFill/>
                  </pic:spPr>
                </pic:pic>
              </a:graphicData>
            </a:graphic>
          </wp:inline>
        </w:drawing>
      </w:r>
    </w:p>
    <w:p w14:paraId="00A3940B" w14:textId="77777777" w:rsidR="00676882" w:rsidRPr="00123358" w:rsidRDefault="00676882" w:rsidP="00676882">
      <w:pPr>
        <w:pStyle w:val="BodyText"/>
        <w:spacing w:after="0" w:line="260" w:lineRule="atLeast"/>
        <w:rPr>
          <w:i/>
          <w:iCs/>
          <w:sz w:val="16"/>
          <w:szCs w:val="16"/>
        </w:rPr>
      </w:pPr>
      <w:r w:rsidRPr="00123358">
        <w:rPr>
          <w:i/>
          <w:iCs/>
          <w:sz w:val="16"/>
          <w:szCs w:val="16"/>
        </w:rPr>
        <w:t>Source: ACIL Allen</w:t>
      </w:r>
    </w:p>
    <w:p w14:paraId="1E730F3D" w14:textId="77777777" w:rsidR="00676882" w:rsidRDefault="00676882" w:rsidP="00676882">
      <w:pPr>
        <w:pStyle w:val="BodyText"/>
      </w:pPr>
    </w:p>
    <w:p w14:paraId="3F1C5534" w14:textId="77777777" w:rsidR="00676882" w:rsidRDefault="00676882" w:rsidP="00676882">
      <w:pPr>
        <w:pStyle w:val="Heading3AP"/>
      </w:pPr>
      <w:r>
        <w:lastRenderedPageBreak/>
        <w:t>Preferences over potential options</w:t>
      </w:r>
    </w:p>
    <w:p w14:paraId="3CFD7A27" w14:textId="77777777" w:rsidR="00676882" w:rsidRDefault="00676882" w:rsidP="00676882">
      <w:pPr>
        <w:pStyle w:val="BodyText"/>
      </w:pPr>
      <w:r>
        <w:t>Across the survey, there is no consensus on the preferred option for minimum standards in rental properties.</w:t>
      </w:r>
      <w:r>
        <w:rPr>
          <w:rStyle w:val="FootnoteReference"/>
        </w:rPr>
        <w:footnoteReference w:id="36"/>
      </w:r>
      <w:r>
        <w:t xml:space="preserve"> Views diverged between tenants, who most preferred a heater-based standard and least preferred a performance-based standard, and rental providers and others who most preferred a performance-based standard and least preferred a heater-based standard. All groups agreed that ceiling insulation was the second most preferred option (see </w:t>
      </w:r>
      <w:r w:rsidRPr="009E4AB1">
        <w:fldChar w:fldCharType="begin"/>
      </w:r>
      <w:r w:rsidRPr="009E4AB1">
        <w:instrText xml:space="preserve"> REF _Ref80353581 \h  \* MERGEFORMAT </w:instrText>
      </w:r>
      <w:r w:rsidRPr="009E4AB1">
        <w:fldChar w:fldCharType="separate"/>
      </w:r>
      <w:r w:rsidRPr="00F32FCC">
        <w:t>Figure F.4</w:t>
      </w:r>
      <w:r w:rsidRPr="009E4AB1">
        <w:fldChar w:fldCharType="end"/>
      </w:r>
      <w:r>
        <w:t>). It is important to note that ranking these options does not necessarily indicate support for any of these options.</w:t>
      </w:r>
    </w:p>
    <w:p w14:paraId="63440C9F" w14:textId="77777777" w:rsidR="00676882" w:rsidRDefault="00676882" w:rsidP="00676882">
      <w:pPr>
        <w:pStyle w:val="BodyText"/>
      </w:pPr>
      <w:bookmarkStart w:id="567" w:name="_Ref80353581"/>
      <w:bookmarkStart w:id="568" w:name="_Toc80719305"/>
      <w:r w:rsidRPr="002400BE">
        <w:rPr>
          <w:rStyle w:val="CaptionLabel"/>
        </w:rPr>
        <w:t>Figure </w:t>
      </w:r>
      <w:r w:rsidRPr="002400BE">
        <w:rPr>
          <w:rStyle w:val="CaptionLabel"/>
        </w:rPr>
        <w:fldChar w:fldCharType="begin"/>
      </w:r>
      <w:r w:rsidRPr="002400BE">
        <w:rPr>
          <w:rStyle w:val="CaptionLabel"/>
        </w:rPr>
        <w:instrText xml:space="preserve"> STYLEREF 9 \S \* MERGEFORMAT </w:instrText>
      </w:r>
      <w:r w:rsidRPr="002400BE">
        <w:rPr>
          <w:rStyle w:val="CaptionLabel"/>
        </w:rPr>
        <w:fldChar w:fldCharType="separate"/>
      </w:r>
      <w:r>
        <w:rPr>
          <w:rStyle w:val="CaptionLabel"/>
          <w:noProof/>
        </w:rPr>
        <w:t>F</w:t>
      </w:r>
      <w:r w:rsidRPr="002400BE">
        <w:rPr>
          <w:rStyle w:val="CaptionLabel"/>
        </w:rPr>
        <w:fldChar w:fldCharType="end"/>
      </w:r>
      <w:r w:rsidRPr="002400BE">
        <w:rPr>
          <w:rStyle w:val="CaptionLabel"/>
        </w:rPr>
        <w:t>.</w:t>
      </w:r>
      <w:r w:rsidRPr="002400BE">
        <w:rPr>
          <w:rStyle w:val="CaptionLabel"/>
        </w:rPr>
        <w:fldChar w:fldCharType="begin"/>
      </w:r>
      <w:r w:rsidRPr="002400BE">
        <w:rPr>
          <w:rStyle w:val="CaptionLabel"/>
        </w:rPr>
        <w:instrText xml:space="preserve"> SEQ Figure_AP \* ARABIC \S 9 \* MERGEFORMAT </w:instrText>
      </w:r>
      <w:r w:rsidRPr="002400BE">
        <w:rPr>
          <w:rStyle w:val="CaptionLabel"/>
        </w:rPr>
        <w:fldChar w:fldCharType="separate"/>
      </w:r>
      <w:r>
        <w:rPr>
          <w:rStyle w:val="CaptionLabel"/>
          <w:noProof/>
        </w:rPr>
        <w:t>4</w:t>
      </w:r>
      <w:r w:rsidRPr="002400BE">
        <w:rPr>
          <w:rStyle w:val="CaptionLabel"/>
        </w:rPr>
        <w:fldChar w:fldCharType="end"/>
      </w:r>
      <w:bookmarkEnd w:id="567"/>
      <w:r>
        <w:tab/>
        <w:t>Preferred standard by respondent group</w:t>
      </w:r>
      <w:bookmarkEnd w:id="568"/>
    </w:p>
    <w:p w14:paraId="44A52387" w14:textId="77777777" w:rsidR="00676882" w:rsidRDefault="00676882" w:rsidP="00676882">
      <w:pPr>
        <w:pStyle w:val="BodyText"/>
      </w:pPr>
      <w:r>
        <w:rPr>
          <w:noProof/>
        </w:rPr>
        <w:drawing>
          <wp:inline distT="0" distB="0" distL="0" distR="0" wp14:anchorId="6F4711B7" wp14:editId="147F88E7">
            <wp:extent cx="5039360" cy="2883895"/>
            <wp:effectExtent l="0" t="0" r="8890" b="0"/>
            <wp:docPr id="603" name="Picture 603" descr="Shows rental providers and owner-occupiers prefer performance and dislike heaters, tenants prefer heaters and dislike performance. All groups rate ceiling insulation as the second best o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 name="Picture 603" descr="Shows rental providers and owner-occupiers prefer performance and dislike heaters, tenants prefer heaters and dislike performance. All groups rate ceiling insulation as the second best option."/>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5039360" cy="2883895"/>
                    </a:xfrm>
                    <a:prstGeom prst="rect">
                      <a:avLst/>
                    </a:prstGeom>
                    <a:noFill/>
                  </pic:spPr>
                </pic:pic>
              </a:graphicData>
            </a:graphic>
          </wp:inline>
        </w:drawing>
      </w:r>
    </w:p>
    <w:p w14:paraId="0E50BDE0" w14:textId="77777777" w:rsidR="00676882" w:rsidRPr="00123358" w:rsidRDefault="00676882" w:rsidP="00676882">
      <w:pPr>
        <w:pStyle w:val="BodyText"/>
        <w:spacing w:after="0" w:line="260" w:lineRule="atLeast"/>
        <w:rPr>
          <w:i/>
          <w:iCs/>
          <w:sz w:val="16"/>
          <w:szCs w:val="16"/>
        </w:rPr>
      </w:pPr>
      <w:r w:rsidRPr="00123358">
        <w:rPr>
          <w:i/>
          <w:iCs/>
          <w:sz w:val="16"/>
          <w:szCs w:val="16"/>
        </w:rPr>
        <w:t>Source: ACIL Allen</w:t>
      </w:r>
    </w:p>
    <w:p w14:paraId="4A90E6F5" w14:textId="77777777" w:rsidR="00676882" w:rsidRDefault="00676882" w:rsidP="00676882">
      <w:pPr>
        <w:pStyle w:val="Heading5AP"/>
      </w:pPr>
      <w:r>
        <w:t>Support for a minimum standard for ceiling insulation for rental properties</w:t>
      </w:r>
    </w:p>
    <w:p w14:paraId="33F921C4" w14:textId="77777777" w:rsidR="00676882" w:rsidRDefault="00676882" w:rsidP="00676882">
      <w:pPr>
        <w:pStyle w:val="BodyText"/>
      </w:pPr>
      <w:r>
        <w:t>Across the survey, 64 per cent of the weighted-response support — either strongly agree or agree — the introduction of a mandatory minimum standards for ceiling insulation, while 29 per cent of the weighted-response did not support a minimum standard for ceiling insulation.</w:t>
      </w:r>
      <w:r>
        <w:rPr>
          <w:rStyle w:val="FootnoteReference"/>
        </w:rPr>
        <w:footnoteReference w:id="37"/>
      </w:r>
      <w:r>
        <w:t xml:space="preserve"> Despite not being the </w:t>
      </w:r>
      <w:proofErr w:type="gramStart"/>
      <w:r>
        <w:t>first-preference</w:t>
      </w:r>
      <w:proofErr w:type="gramEnd"/>
      <w:r>
        <w:t xml:space="preserve"> for any respondent group, it had the most positive weighted-response, and the most positive support across the respondent groups. The majority of tenants group (91 per cent) and the owner-occupier group (62 per cent) support the introduction of the standard. The rental provider group was more ambivalent, with slightly more disagreeing with the statement (49 per cent) than agreeing with the statement (39 per cent) (see </w:t>
      </w:r>
      <w:r w:rsidRPr="009E4AB1">
        <w:fldChar w:fldCharType="begin"/>
      </w:r>
      <w:r w:rsidRPr="009E4AB1">
        <w:instrText xml:space="preserve"> REF _Ref80353567 \h  \* MERGEFORMAT </w:instrText>
      </w:r>
      <w:r w:rsidRPr="009E4AB1">
        <w:fldChar w:fldCharType="separate"/>
      </w:r>
      <w:r w:rsidRPr="00F32FCC">
        <w:t>Figure F.5</w:t>
      </w:r>
      <w:r w:rsidRPr="009E4AB1">
        <w:fldChar w:fldCharType="end"/>
      </w:r>
      <w:r>
        <w:t>).</w:t>
      </w:r>
    </w:p>
    <w:p w14:paraId="77913118" w14:textId="77777777" w:rsidR="00676882" w:rsidRDefault="00676882" w:rsidP="00676882">
      <w:pPr>
        <w:pStyle w:val="BodyText"/>
        <w:keepNext/>
        <w:keepLines/>
      </w:pPr>
      <w:bookmarkStart w:id="569" w:name="_Ref80353567"/>
      <w:bookmarkStart w:id="570" w:name="_Toc80719306"/>
      <w:r w:rsidRPr="00D44CBB">
        <w:rPr>
          <w:rStyle w:val="CaptionLabel"/>
        </w:rPr>
        <w:lastRenderedPageBreak/>
        <w:t>Figure </w:t>
      </w:r>
      <w:r w:rsidRPr="00D44CBB">
        <w:rPr>
          <w:rStyle w:val="CaptionLabel"/>
        </w:rPr>
        <w:fldChar w:fldCharType="begin"/>
      </w:r>
      <w:r w:rsidRPr="00D44CBB">
        <w:rPr>
          <w:rStyle w:val="CaptionLabel"/>
        </w:rPr>
        <w:instrText xml:space="preserve"> STYLEREF 9 \S \* MERGEFORMAT </w:instrText>
      </w:r>
      <w:r w:rsidRPr="00D44CBB">
        <w:rPr>
          <w:rStyle w:val="CaptionLabel"/>
        </w:rPr>
        <w:fldChar w:fldCharType="separate"/>
      </w:r>
      <w:r>
        <w:rPr>
          <w:rStyle w:val="CaptionLabel"/>
          <w:noProof/>
        </w:rPr>
        <w:t>F</w:t>
      </w:r>
      <w:r w:rsidRPr="00D44CBB">
        <w:rPr>
          <w:rStyle w:val="CaptionLabel"/>
        </w:rPr>
        <w:fldChar w:fldCharType="end"/>
      </w:r>
      <w:r w:rsidRPr="00D44CBB">
        <w:rPr>
          <w:rStyle w:val="CaptionLabel"/>
        </w:rPr>
        <w:t>.</w:t>
      </w:r>
      <w:r w:rsidRPr="00D44CBB">
        <w:rPr>
          <w:rStyle w:val="CaptionLabel"/>
        </w:rPr>
        <w:fldChar w:fldCharType="begin"/>
      </w:r>
      <w:r w:rsidRPr="00D44CBB">
        <w:rPr>
          <w:rStyle w:val="CaptionLabel"/>
        </w:rPr>
        <w:instrText xml:space="preserve"> SEQ Figure_AP \* ARABIC \S 9 \* MERGEFORMAT </w:instrText>
      </w:r>
      <w:r w:rsidRPr="00D44CBB">
        <w:rPr>
          <w:rStyle w:val="CaptionLabel"/>
        </w:rPr>
        <w:fldChar w:fldCharType="separate"/>
      </w:r>
      <w:r>
        <w:rPr>
          <w:rStyle w:val="CaptionLabel"/>
          <w:noProof/>
        </w:rPr>
        <w:t>5</w:t>
      </w:r>
      <w:r w:rsidRPr="00D44CBB">
        <w:rPr>
          <w:rStyle w:val="CaptionLabel"/>
        </w:rPr>
        <w:fldChar w:fldCharType="end"/>
      </w:r>
      <w:bookmarkEnd w:id="569"/>
      <w:r>
        <w:tab/>
        <w:t>Support for the introduction of a roof insulation minimum standard in rental properties</w:t>
      </w:r>
      <w:bookmarkEnd w:id="570"/>
    </w:p>
    <w:p w14:paraId="18155E35" w14:textId="77777777" w:rsidR="00676882" w:rsidRDefault="00676882" w:rsidP="00676882">
      <w:pPr>
        <w:pStyle w:val="BodyText"/>
        <w:keepNext/>
        <w:keepLines/>
      </w:pPr>
      <w:r>
        <w:rPr>
          <w:noProof/>
        </w:rPr>
        <w:drawing>
          <wp:inline distT="0" distB="0" distL="0" distR="0" wp14:anchorId="7BB3BD49" wp14:editId="3971A2A4">
            <wp:extent cx="4962525" cy="2207260"/>
            <wp:effectExtent l="0" t="0" r="9525" b="2540"/>
            <wp:docPr id="605" name="Picture 605" descr="Shows a strong degree of support from tenants, a reasonable degree of support from owner-occupiers, and equal agreement and disagreement from rental provi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 name="Picture 605" descr="Shows a strong degree of support from tenants, a reasonable degree of support from owner-occupiers, and equal agreement and disagreement from rental providers."/>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4962525" cy="2207260"/>
                    </a:xfrm>
                    <a:prstGeom prst="rect">
                      <a:avLst/>
                    </a:prstGeom>
                    <a:noFill/>
                  </pic:spPr>
                </pic:pic>
              </a:graphicData>
            </a:graphic>
          </wp:inline>
        </w:drawing>
      </w:r>
    </w:p>
    <w:p w14:paraId="06CBCDBB" w14:textId="77777777" w:rsidR="00676882" w:rsidRPr="00123358" w:rsidRDefault="00676882" w:rsidP="00676882">
      <w:pPr>
        <w:pStyle w:val="BodyText"/>
        <w:keepNext/>
        <w:keepLines/>
        <w:spacing w:after="0" w:line="260" w:lineRule="atLeast"/>
        <w:rPr>
          <w:i/>
          <w:iCs/>
          <w:sz w:val="16"/>
          <w:szCs w:val="16"/>
        </w:rPr>
      </w:pPr>
      <w:r w:rsidRPr="00123358">
        <w:rPr>
          <w:i/>
          <w:iCs/>
          <w:sz w:val="16"/>
          <w:szCs w:val="16"/>
        </w:rPr>
        <w:t>Source: ACIL Allen</w:t>
      </w:r>
    </w:p>
    <w:p w14:paraId="53A0346E" w14:textId="77777777" w:rsidR="00676882" w:rsidRDefault="00676882" w:rsidP="00676882">
      <w:pPr>
        <w:pStyle w:val="Heading5AP"/>
      </w:pPr>
      <w:r>
        <w:t>Support for a minimum standard for an energy efficient heater for rental properties</w:t>
      </w:r>
    </w:p>
    <w:p w14:paraId="44085453" w14:textId="77777777" w:rsidR="00676882" w:rsidRDefault="00676882" w:rsidP="00676882">
      <w:pPr>
        <w:pStyle w:val="BodyText"/>
        <w:tabs>
          <w:tab w:val="left" w:pos="1545"/>
        </w:tabs>
      </w:pPr>
      <w:r>
        <w:t>Across the survey, 59 per cent of the weighted-response support — either strongly agree or agree — the introduction of a mandatory minimum standard for the installation of an energy efficient heater, while 32 per cent of the weighted-response did not support a minimum standard for the installation of an energy efficient heater.</w:t>
      </w:r>
      <w:r>
        <w:rPr>
          <w:rStyle w:val="FootnoteReference"/>
        </w:rPr>
        <w:footnoteReference w:id="38"/>
      </w:r>
      <w:r>
        <w:t xml:space="preserve"> The majority of the </w:t>
      </w:r>
      <w:proofErr w:type="gramStart"/>
      <w:r>
        <w:t>tenants</w:t>
      </w:r>
      <w:proofErr w:type="gramEnd"/>
      <w:r>
        <w:t xml:space="preserve"> group (87 per cent) and the owner-occupier group (52 per cent) support the introduction of the standard. About half of the rental provider group did not support the standard (49.9 per cent) with only 38 per cent supporting the standard (see </w:t>
      </w:r>
      <w:r w:rsidRPr="009E4AB1">
        <w:fldChar w:fldCharType="begin"/>
      </w:r>
      <w:r w:rsidRPr="009E4AB1">
        <w:instrText xml:space="preserve"> REF _Ref80354298 \h  \* MERGEFORMAT </w:instrText>
      </w:r>
      <w:r w:rsidRPr="009E4AB1">
        <w:fldChar w:fldCharType="separate"/>
      </w:r>
      <w:r w:rsidRPr="00F32FCC">
        <w:t>Figure F.6</w:t>
      </w:r>
      <w:r w:rsidRPr="009E4AB1">
        <w:fldChar w:fldCharType="end"/>
      </w:r>
      <w:r>
        <w:t>).</w:t>
      </w:r>
    </w:p>
    <w:p w14:paraId="0E97D15E" w14:textId="77777777" w:rsidR="00676882" w:rsidRDefault="00676882" w:rsidP="00676882">
      <w:pPr>
        <w:pStyle w:val="BodyText"/>
        <w:tabs>
          <w:tab w:val="left" w:pos="1545"/>
        </w:tabs>
      </w:pPr>
      <w:bookmarkStart w:id="571" w:name="_Ref80354298"/>
      <w:bookmarkStart w:id="572" w:name="_Toc80719307"/>
      <w:r w:rsidRPr="00864F21">
        <w:rPr>
          <w:rStyle w:val="CaptionLabel"/>
        </w:rPr>
        <w:t>Figure </w:t>
      </w:r>
      <w:r w:rsidRPr="00864F21">
        <w:rPr>
          <w:rStyle w:val="CaptionLabel"/>
        </w:rPr>
        <w:fldChar w:fldCharType="begin"/>
      </w:r>
      <w:r w:rsidRPr="00864F21">
        <w:rPr>
          <w:rStyle w:val="CaptionLabel"/>
        </w:rPr>
        <w:instrText xml:space="preserve"> STYLEREF 9 \S \* MERGEFORMAT </w:instrText>
      </w:r>
      <w:r w:rsidRPr="00864F21">
        <w:rPr>
          <w:rStyle w:val="CaptionLabel"/>
        </w:rPr>
        <w:fldChar w:fldCharType="separate"/>
      </w:r>
      <w:r>
        <w:rPr>
          <w:rStyle w:val="CaptionLabel"/>
          <w:noProof/>
        </w:rPr>
        <w:t>F</w:t>
      </w:r>
      <w:r w:rsidRPr="00864F21">
        <w:rPr>
          <w:rStyle w:val="CaptionLabel"/>
        </w:rPr>
        <w:fldChar w:fldCharType="end"/>
      </w:r>
      <w:r w:rsidRPr="00864F21">
        <w:rPr>
          <w:rStyle w:val="CaptionLabel"/>
        </w:rPr>
        <w:t>.</w:t>
      </w:r>
      <w:r w:rsidRPr="00864F21">
        <w:rPr>
          <w:rStyle w:val="CaptionLabel"/>
        </w:rPr>
        <w:fldChar w:fldCharType="begin"/>
      </w:r>
      <w:r w:rsidRPr="00864F21">
        <w:rPr>
          <w:rStyle w:val="CaptionLabel"/>
        </w:rPr>
        <w:instrText xml:space="preserve"> SEQ Figure_AP \* ARABIC \S 9 \* MERGEFORMAT </w:instrText>
      </w:r>
      <w:r w:rsidRPr="00864F21">
        <w:rPr>
          <w:rStyle w:val="CaptionLabel"/>
        </w:rPr>
        <w:fldChar w:fldCharType="separate"/>
      </w:r>
      <w:r>
        <w:rPr>
          <w:rStyle w:val="CaptionLabel"/>
          <w:noProof/>
        </w:rPr>
        <w:t>6</w:t>
      </w:r>
      <w:r w:rsidRPr="00864F21">
        <w:rPr>
          <w:rStyle w:val="CaptionLabel"/>
        </w:rPr>
        <w:fldChar w:fldCharType="end"/>
      </w:r>
      <w:bookmarkEnd w:id="571"/>
      <w:r>
        <w:tab/>
        <w:t>Support for the introduction of an energy efficient heater minimum standard in rental properties</w:t>
      </w:r>
      <w:bookmarkEnd w:id="572"/>
    </w:p>
    <w:p w14:paraId="7147B51F" w14:textId="77777777" w:rsidR="00676882" w:rsidRDefault="00676882" w:rsidP="00676882">
      <w:pPr>
        <w:pStyle w:val="BodyText"/>
        <w:tabs>
          <w:tab w:val="left" w:pos="1545"/>
        </w:tabs>
      </w:pPr>
      <w:r>
        <w:rPr>
          <w:noProof/>
        </w:rPr>
        <w:drawing>
          <wp:inline distT="0" distB="0" distL="0" distR="0" wp14:anchorId="577930A3" wp14:editId="5F4BCCDB">
            <wp:extent cx="5039360" cy="2267077"/>
            <wp:effectExtent l="0" t="0" r="8890" b="0"/>
            <wp:docPr id="608" name="Picture 608" descr="Shows a strong degree of support from tenants, a reasonable degree of support from owner-occupiers, and equal agreement and disagreement from rental provi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Picture 608" descr="Shows a strong degree of support from tenants, a reasonable degree of support from owner-occupiers, and equal agreement and disagreement from rental providers."/>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5039360" cy="2267077"/>
                    </a:xfrm>
                    <a:prstGeom prst="rect">
                      <a:avLst/>
                    </a:prstGeom>
                    <a:noFill/>
                  </pic:spPr>
                </pic:pic>
              </a:graphicData>
            </a:graphic>
          </wp:inline>
        </w:drawing>
      </w:r>
    </w:p>
    <w:p w14:paraId="66FC6C62" w14:textId="77777777" w:rsidR="00676882" w:rsidRPr="00123358" w:rsidRDefault="00676882" w:rsidP="00676882">
      <w:pPr>
        <w:pStyle w:val="BodyText"/>
        <w:keepNext/>
        <w:keepLines/>
        <w:spacing w:after="0" w:line="260" w:lineRule="atLeast"/>
        <w:rPr>
          <w:i/>
          <w:iCs/>
          <w:sz w:val="16"/>
          <w:szCs w:val="16"/>
        </w:rPr>
      </w:pPr>
      <w:r w:rsidRPr="00123358">
        <w:rPr>
          <w:i/>
          <w:iCs/>
          <w:sz w:val="16"/>
          <w:szCs w:val="16"/>
        </w:rPr>
        <w:t>Source: ACIL Allen</w:t>
      </w:r>
    </w:p>
    <w:p w14:paraId="7CD6CAD5" w14:textId="77777777" w:rsidR="00676882" w:rsidRDefault="00676882" w:rsidP="00676882">
      <w:pPr>
        <w:pStyle w:val="Heading5AP"/>
      </w:pPr>
      <w:r>
        <w:t>Support for a performance-based minimum standard for rental properties</w:t>
      </w:r>
    </w:p>
    <w:p w14:paraId="57304869" w14:textId="77777777" w:rsidR="00676882" w:rsidRDefault="00676882" w:rsidP="00676882">
      <w:pPr>
        <w:pStyle w:val="BodyText"/>
        <w:tabs>
          <w:tab w:val="left" w:pos="1545"/>
        </w:tabs>
      </w:pPr>
      <w:r>
        <w:t>Across the survey, 57 per cent of the weighted-response support — either strongly agree or agree — the introduction of a performance-based minimum standard, while 31 per cent of the weighted-</w:t>
      </w:r>
      <w:r>
        <w:lastRenderedPageBreak/>
        <w:t xml:space="preserve">response did not support a minimum </w:t>
      </w:r>
      <w:proofErr w:type="gramStart"/>
      <w:r>
        <w:t>performance based</w:t>
      </w:r>
      <w:proofErr w:type="gramEnd"/>
      <w:r>
        <w:t xml:space="preserve"> standard for rental properties.</w:t>
      </w:r>
      <w:r>
        <w:rPr>
          <w:rStyle w:val="FootnoteReference"/>
        </w:rPr>
        <w:footnoteReference w:id="39"/>
      </w:r>
      <w:r>
        <w:t xml:space="preserve"> The majority of the tenant group (87 per cent) and the owner-occupier group (55 per cent) support the introduction of the standard. </w:t>
      </w:r>
      <w:proofErr w:type="gramStart"/>
      <w:r>
        <w:t>The majority of</w:t>
      </w:r>
      <w:proofErr w:type="gramEnd"/>
      <w:r>
        <w:t xml:space="preserve"> the rental provider group did not support a performance-based standard (57 per cent) (see </w:t>
      </w:r>
      <w:r w:rsidRPr="009E4AB1">
        <w:fldChar w:fldCharType="begin"/>
      </w:r>
      <w:r w:rsidRPr="009E4AB1">
        <w:instrText xml:space="preserve"> REF _Ref80354534 \h  \* MERGEFORMAT </w:instrText>
      </w:r>
      <w:r w:rsidRPr="009E4AB1">
        <w:fldChar w:fldCharType="separate"/>
      </w:r>
      <w:r w:rsidRPr="00F32FCC">
        <w:t>Figure F.7</w:t>
      </w:r>
      <w:r w:rsidRPr="009E4AB1">
        <w:fldChar w:fldCharType="end"/>
      </w:r>
      <w:r>
        <w:t>).</w:t>
      </w:r>
    </w:p>
    <w:p w14:paraId="7256C7DF" w14:textId="77777777" w:rsidR="00676882" w:rsidRDefault="00676882" w:rsidP="00676882">
      <w:pPr>
        <w:pStyle w:val="BodyText"/>
        <w:tabs>
          <w:tab w:val="left" w:pos="1545"/>
        </w:tabs>
        <w:rPr>
          <w:noProof/>
        </w:rPr>
      </w:pPr>
      <w:bookmarkStart w:id="573" w:name="_Ref80354534"/>
      <w:bookmarkStart w:id="574" w:name="_Toc80719308"/>
      <w:r w:rsidRPr="00864F21">
        <w:rPr>
          <w:rStyle w:val="CaptionLabel"/>
        </w:rPr>
        <w:t>Figure </w:t>
      </w:r>
      <w:r w:rsidRPr="00864F21">
        <w:rPr>
          <w:rStyle w:val="CaptionLabel"/>
        </w:rPr>
        <w:fldChar w:fldCharType="begin"/>
      </w:r>
      <w:r w:rsidRPr="00864F21">
        <w:rPr>
          <w:rStyle w:val="CaptionLabel"/>
        </w:rPr>
        <w:instrText xml:space="preserve"> STYLEREF 9 \S \* MERGEFORMAT </w:instrText>
      </w:r>
      <w:r w:rsidRPr="00864F21">
        <w:rPr>
          <w:rStyle w:val="CaptionLabel"/>
        </w:rPr>
        <w:fldChar w:fldCharType="separate"/>
      </w:r>
      <w:r>
        <w:rPr>
          <w:rStyle w:val="CaptionLabel"/>
          <w:noProof/>
        </w:rPr>
        <w:t>F</w:t>
      </w:r>
      <w:r w:rsidRPr="00864F21">
        <w:rPr>
          <w:rStyle w:val="CaptionLabel"/>
        </w:rPr>
        <w:fldChar w:fldCharType="end"/>
      </w:r>
      <w:r w:rsidRPr="00864F21">
        <w:rPr>
          <w:rStyle w:val="CaptionLabel"/>
        </w:rPr>
        <w:t>.</w:t>
      </w:r>
      <w:r w:rsidRPr="00864F21">
        <w:rPr>
          <w:rStyle w:val="CaptionLabel"/>
        </w:rPr>
        <w:fldChar w:fldCharType="begin"/>
      </w:r>
      <w:r w:rsidRPr="00864F21">
        <w:rPr>
          <w:rStyle w:val="CaptionLabel"/>
        </w:rPr>
        <w:instrText xml:space="preserve"> SEQ Figure_AP \* ARABIC \S 9 \* MERGEFORMAT </w:instrText>
      </w:r>
      <w:r w:rsidRPr="00864F21">
        <w:rPr>
          <w:rStyle w:val="CaptionLabel"/>
        </w:rPr>
        <w:fldChar w:fldCharType="separate"/>
      </w:r>
      <w:r>
        <w:rPr>
          <w:rStyle w:val="CaptionLabel"/>
          <w:noProof/>
        </w:rPr>
        <w:t>7</w:t>
      </w:r>
      <w:r w:rsidRPr="00864F21">
        <w:rPr>
          <w:rStyle w:val="CaptionLabel"/>
        </w:rPr>
        <w:fldChar w:fldCharType="end"/>
      </w:r>
      <w:bookmarkEnd w:id="573"/>
      <w:r>
        <w:tab/>
        <w:t>Support for the introduction of a performance-based minimum standard for rental properties</w:t>
      </w:r>
      <w:bookmarkEnd w:id="574"/>
      <w:r w:rsidRPr="00F25F2A">
        <w:rPr>
          <w:noProof/>
        </w:rPr>
        <w:t xml:space="preserve"> </w:t>
      </w:r>
    </w:p>
    <w:p w14:paraId="063EAD27" w14:textId="77777777" w:rsidR="00676882" w:rsidRDefault="00676882" w:rsidP="00676882">
      <w:pPr>
        <w:pStyle w:val="BodyText"/>
        <w:tabs>
          <w:tab w:val="left" w:pos="1545"/>
        </w:tabs>
        <w:rPr>
          <w:noProof/>
        </w:rPr>
      </w:pPr>
      <w:r>
        <w:rPr>
          <w:noProof/>
        </w:rPr>
        <w:drawing>
          <wp:inline distT="0" distB="0" distL="0" distR="0" wp14:anchorId="79FEE01F" wp14:editId="41E8FB0D">
            <wp:extent cx="5039360" cy="2267077"/>
            <wp:effectExtent l="0" t="0" r="8890" b="0"/>
            <wp:docPr id="610" name="Picture 610" descr="Shows a strong degree of support from tenants, a reasonable degree of support from owner-occupiers, and equal agreement and disagreement from rental provi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Picture 610" descr="Shows a strong degree of support from tenants, a reasonable degree of support from owner-occupiers, and equal agreement and disagreement from rental providers."/>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5039360" cy="2267077"/>
                    </a:xfrm>
                    <a:prstGeom prst="rect">
                      <a:avLst/>
                    </a:prstGeom>
                    <a:noFill/>
                  </pic:spPr>
                </pic:pic>
              </a:graphicData>
            </a:graphic>
          </wp:inline>
        </w:drawing>
      </w:r>
    </w:p>
    <w:p w14:paraId="2D855D74" w14:textId="77777777" w:rsidR="00676882" w:rsidRPr="00123358" w:rsidRDefault="00676882" w:rsidP="00676882">
      <w:pPr>
        <w:pStyle w:val="BodyText"/>
        <w:keepNext/>
        <w:keepLines/>
        <w:spacing w:after="0" w:line="260" w:lineRule="atLeast"/>
        <w:rPr>
          <w:i/>
          <w:iCs/>
          <w:sz w:val="16"/>
          <w:szCs w:val="16"/>
        </w:rPr>
      </w:pPr>
      <w:r w:rsidRPr="00123358">
        <w:rPr>
          <w:i/>
          <w:iCs/>
          <w:sz w:val="16"/>
          <w:szCs w:val="16"/>
        </w:rPr>
        <w:t>Source: ACIL Allen</w:t>
      </w:r>
    </w:p>
    <w:p w14:paraId="705EEC07" w14:textId="77777777" w:rsidR="00676882" w:rsidRDefault="00676882" w:rsidP="00676882">
      <w:pPr>
        <w:pStyle w:val="BodyText"/>
      </w:pPr>
      <w:r>
        <w:t>Rental providers and tenants both nominated ceiling insulation and energy efficient space heaters as relatively preferred energy-efficiency upgrades to rental properties.</w:t>
      </w:r>
      <w:r>
        <w:rPr>
          <w:rStyle w:val="FootnoteReference"/>
        </w:rPr>
        <w:footnoteReference w:id="40"/>
      </w:r>
      <w:r>
        <w:t xml:space="preserve"> Tenants rated them most preferred, and second most preferred, respectively.</w:t>
      </w:r>
      <w:r>
        <w:rPr>
          <w:rStyle w:val="FootnoteReference"/>
        </w:rPr>
        <w:footnoteReference w:id="41"/>
      </w:r>
      <w:r>
        <w:t xml:space="preserve"> Rental providers rated them third and fourth preferred, respectively. Other relatively highly preferred options for tenants include double-glazed windows and wall insulation. Other relatively highly preferred options for rental providers include energy efficient lighting and thick curtains or block out blinds (see </w:t>
      </w:r>
      <w:r w:rsidRPr="009E4AB1">
        <w:fldChar w:fldCharType="begin"/>
      </w:r>
      <w:r w:rsidRPr="009E4AB1">
        <w:instrText xml:space="preserve"> REF _Ref80354725 \h  \* MERGEFORMAT </w:instrText>
      </w:r>
      <w:r w:rsidRPr="009E4AB1">
        <w:fldChar w:fldCharType="separate"/>
      </w:r>
      <w:r w:rsidRPr="00F32FCC">
        <w:t>Figure F.8</w:t>
      </w:r>
      <w:r w:rsidRPr="009E4AB1">
        <w:fldChar w:fldCharType="end"/>
      </w:r>
      <w:r>
        <w:t>)</w:t>
      </w:r>
    </w:p>
    <w:p w14:paraId="0491ADED" w14:textId="77777777" w:rsidR="00676882" w:rsidRDefault="00676882" w:rsidP="00676882">
      <w:pPr>
        <w:pStyle w:val="BodyText"/>
        <w:ind w:left="-2127"/>
      </w:pPr>
      <w:bookmarkStart w:id="575" w:name="_Ref80354725"/>
      <w:bookmarkStart w:id="576" w:name="_Toc80719309"/>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8</w:t>
      </w:r>
      <w:r w:rsidRPr="00317FC0">
        <w:rPr>
          <w:rStyle w:val="CaptionLabel"/>
        </w:rPr>
        <w:fldChar w:fldCharType="end"/>
      </w:r>
      <w:bookmarkEnd w:id="575"/>
      <w:r>
        <w:tab/>
        <w:t>Preferred energy efficient improvements in rental properties</w:t>
      </w:r>
      <w:bookmarkEnd w:id="576"/>
    </w:p>
    <w:p w14:paraId="63CA076E" w14:textId="77777777" w:rsidR="00676882" w:rsidRDefault="00676882" w:rsidP="00676882">
      <w:pPr>
        <w:pStyle w:val="BodyText"/>
        <w:keepNext/>
        <w:keepLines/>
        <w:spacing w:after="0" w:line="0" w:lineRule="atLeast"/>
        <w:ind w:left="-1985"/>
      </w:pPr>
      <w:r>
        <w:rPr>
          <w:noProof/>
        </w:rPr>
        <w:drawing>
          <wp:inline distT="0" distB="0" distL="0" distR="0" wp14:anchorId="21F3E9E1" wp14:editId="25603382">
            <wp:extent cx="6120838" cy="2619375"/>
            <wp:effectExtent l="0" t="0" r="0" b="0"/>
            <wp:docPr id="613" name="Picture 613" descr="Shows tenants and rental providers support ceiling insulation and insulation and energy efficient lighting the most.&#10;&#10;External window shading is amongst the least suppo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Picture 613" descr="Shows tenants and rental providers support ceiling insulation and insulation and energy efficient lighting the most.&#10;&#10;External window shading is amongst the least supported."/>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6175127" cy="2642607"/>
                    </a:xfrm>
                    <a:prstGeom prst="rect">
                      <a:avLst/>
                    </a:prstGeom>
                    <a:noFill/>
                  </pic:spPr>
                </pic:pic>
              </a:graphicData>
            </a:graphic>
          </wp:inline>
        </w:drawing>
      </w:r>
    </w:p>
    <w:p w14:paraId="588BF8DA" w14:textId="77777777" w:rsidR="00676882" w:rsidRDefault="00676882" w:rsidP="00676882">
      <w:pPr>
        <w:pStyle w:val="BodyText"/>
        <w:keepNext/>
        <w:keepLines/>
        <w:spacing w:after="0" w:line="0" w:lineRule="atLeast"/>
        <w:ind w:left="-1985"/>
        <w:rPr>
          <w:i/>
          <w:iCs/>
          <w:sz w:val="16"/>
          <w:szCs w:val="16"/>
        </w:rPr>
      </w:pPr>
      <w:r w:rsidRPr="00123358">
        <w:rPr>
          <w:i/>
          <w:iCs/>
          <w:sz w:val="16"/>
          <w:szCs w:val="16"/>
        </w:rPr>
        <w:t>Source: ACIL Allen</w:t>
      </w:r>
    </w:p>
    <w:p w14:paraId="0CD6A0A2" w14:textId="77777777" w:rsidR="00676882" w:rsidRDefault="00676882" w:rsidP="00676882">
      <w:pPr>
        <w:pStyle w:val="BodyText"/>
      </w:pPr>
    </w:p>
    <w:p w14:paraId="20DD2DBC" w14:textId="77777777" w:rsidR="00676882" w:rsidRDefault="00676882" w:rsidP="00676882">
      <w:pPr>
        <w:pStyle w:val="Heading2AP"/>
      </w:pPr>
      <w:bookmarkStart w:id="577" w:name="_Toc80712639"/>
      <w:r>
        <w:lastRenderedPageBreak/>
        <w:t>Energy efficiency of rental properties in the ACT</w:t>
      </w:r>
      <w:bookmarkEnd w:id="577"/>
    </w:p>
    <w:p w14:paraId="603058B1" w14:textId="77777777" w:rsidR="00676882" w:rsidRDefault="00676882" w:rsidP="00676882">
      <w:pPr>
        <w:pStyle w:val="BodyText"/>
      </w:pPr>
      <w:r>
        <w:t>The age of the property is significant for energy efficiency. Gradual changes in building regulations mean that newer properties were built to be more energy efficient. Likewise, energy efficient fittings, such as draught proofing, is more likely to be in good condition in newer properties.</w:t>
      </w:r>
      <w:r>
        <w:rPr>
          <w:rStyle w:val="FootnoteReference"/>
        </w:rPr>
        <w:footnoteReference w:id="42"/>
      </w:r>
      <w:r>
        <w:t xml:space="preserve"> </w:t>
      </w:r>
    </w:p>
    <w:p w14:paraId="39C75E82" w14:textId="77777777" w:rsidR="00676882" w:rsidRDefault="00676882" w:rsidP="00676882">
      <w:pPr>
        <w:pStyle w:val="BodyText"/>
      </w:pPr>
      <w:r>
        <w:t xml:space="preserve">Rental providers and tenants identified that the largest portion of rental properties in the ACT were built before 1990 (see </w:t>
      </w:r>
      <w:r w:rsidRPr="009E4AB1">
        <w:fldChar w:fldCharType="begin"/>
      </w:r>
      <w:r w:rsidRPr="009E4AB1">
        <w:instrText xml:space="preserve"> REF _Ref80366793 \h  \* MERGEFORMAT </w:instrText>
      </w:r>
      <w:r w:rsidRPr="009E4AB1">
        <w:fldChar w:fldCharType="separate"/>
      </w:r>
      <w:r w:rsidRPr="00F32FCC">
        <w:t>Figure F.9</w:t>
      </w:r>
      <w:r w:rsidRPr="009E4AB1">
        <w:fldChar w:fldCharType="end"/>
      </w:r>
      <w:r>
        <w:t>).</w:t>
      </w:r>
      <w:r>
        <w:rPr>
          <w:rStyle w:val="FootnoteReference"/>
        </w:rPr>
        <w:footnoteReference w:id="43"/>
      </w:r>
      <w:r>
        <w:t xml:space="preserve"> </w:t>
      </w:r>
    </w:p>
    <w:p w14:paraId="308183C2" w14:textId="77777777" w:rsidR="00676882" w:rsidRDefault="00676882" w:rsidP="00676882">
      <w:pPr>
        <w:pStyle w:val="BodyText"/>
      </w:pPr>
      <w:bookmarkStart w:id="578" w:name="_Ref80366793"/>
      <w:bookmarkStart w:id="579" w:name="_Toc80719310"/>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9</w:t>
      </w:r>
      <w:r w:rsidRPr="00317FC0">
        <w:rPr>
          <w:rStyle w:val="CaptionLabel"/>
        </w:rPr>
        <w:fldChar w:fldCharType="end"/>
      </w:r>
      <w:bookmarkEnd w:id="578"/>
      <w:r>
        <w:tab/>
        <w:t>Age of rental properties</w:t>
      </w:r>
      <w:bookmarkEnd w:id="579"/>
    </w:p>
    <w:p w14:paraId="73A87DD8" w14:textId="77777777" w:rsidR="00676882" w:rsidRDefault="00676882" w:rsidP="00676882">
      <w:pPr>
        <w:pStyle w:val="BodyText"/>
      </w:pPr>
      <w:r>
        <w:rPr>
          <w:noProof/>
        </w:rPr>
        <w:drawing>
          <wp:inline distT="0" distB="0" distL="0" distR="0" wp14:anchorId="76A4C2BD" wp14:editId="29CFB590">
            <wp:extent cx="5039360" cy="2144584"/>
            <wp:effectExtent l="0" t="0" r="8890" b="8255"/>
            <wp:docPr id="40" name="Picture 40" descr="About 60 per cent of tenants rental properties are from before 1990, compared with about half of those from rental provi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About 60 per cent of tenants rental properties are from before 1990, compared with about half of those from rental providers."/>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5039360" cy="2144584"/>
                    </a:xfrm>
                    <a:prstGeom prst="rect">
                      <a:avLst/>
                    </a:prstGeom>
                    <a:noFill/>
                  </pic:spPr>
                </pic:pic>
              </a:graphicData>
            </a:graphic>
          </wp:inline>
        </w:drawing>
      </w:r>
    </w:p>
    <w:p w14:paraId="21F0B58A" w14:textId="77777777" w:rsidR="00676882" w:rsidRPr="00123358" w:rsidRDefault="00676882" w:rsidP="00676882">
      <w:pPr>
        <w:pStyle w:val="BodyText"/>
        <w:keepNext/>
        <w:keepLines/>
        <w:spacing w:after="0" w:line="260" w:lineRule="atLeast"/>
        <w:rPr>
          <w:i/>
          <w:iCs/>
          <w:sz w:val="16"/>
          <w:szCs w:val="16"/>
        </w:rPr>
      </w:pPr>
      <w:r w:rsidRPr="00123358">
        <w:rPr>
          <w:i/>
          <w:iCs/>
          <w:sz w:val="16"/>
          <w:szCs w:val="16"/>
        </w:rPr>
        <w:t>Source: ACIL Allen</w:t>
      </w:r>
    </w:p>
    <w:p w14:paraId="2A714288" w14:textId="77777777" w:rsidR="00676882" w:rsidRDefault="00676882" w:rsidP="00676882">
      <w:pPr>
        <w:pStyle w:val="BodyText"/>
      </w:pPr>
      <w:r>
        <w:t xml:space="preserve">Significantly, there was more widely diverging views of the energy-efficiency of rental properties between the respondent groups. Though most rental providers rated their property as 5 — the middle of the ten point scale — their average response was higher than the owner-occupier group, which is known to have relatively more energy-efficient properties (see Chapter </w:t>
      </w:r>
      <w:r w:rsidRPr="009E4AB1">
        <w:fldChar w:fldCharType="begin"/>
      </w:r>
      <w:r w:rsidRPr="009E4AB1">
        <w:instrText xml:space="preserve"> REF _Ref80698894 \r \h  \* MERGEFORMAT </w:instrText>
      </w:r>
      <w:r w:rsidRPr="009E4AB1">
        <w:fldChar w:fldCharType="separate"/>
      </w:r>
      <w:r>
        <w:t>2</w:t>
      </w:r>
      <w:r w:rsidRPr="009E4AB1">
        <w:fldChar w:fldCharType="end"/>
      </w:r>
      <w:r>
        <w:t>).</w:t>
      </w:r>
      <w:r>
        <w:rPr>
          <w:rStyle w:val="FootnoteReference"/>
        </w:rPr>
        <w:footnoteReference w:id="44"/>
      </w:r>
      <w:r>
        <w:t xml:space="preserve"> This suggests that some rental providers may not appreciate how their properties compare to properties as a whole. It is certainly divergent from tenant perceived energy efficiency, for which relatively few answered above 5 (see </w:t>
      </w:r>
      <w:r w:rsidRPr="009E4AB1">
        <w:fldChar w:fldCharType="begin"/>
      </w:r>
      <w:r w:rsidRPr="009E4AB1">
        <w:instrText xml:space="preserve"> REF _Ref80366784 \h  \* MERGEFORMAT </w:instrText>
      </w:r>
      <w:r w:rsidRPr="009E4AB1">
        <w:fldChar w:fldCharType="separate"/>
      </w:r>
      <w:r w:rsidRPr="00F32FCC">
        <w:t>Figure F.10</w:t>
      </w:r>
      <w:r w:rsidRPr="009E4AB1">
        <w:fldChar w:fldCharType="end"/>
      </w:r>
      <w:r>
        <w:t>).</w:t>
      </w:r>
      <w:r>
        <w:rPr>
          <w:rStyle w:val="FootnoteReference"/>
        </w:rPr>
        <w:footnoteReference w:id="45"/>
      </w:r>
    </w:p>
    <w:p w14:paraId="56121540" w14:textId="77777777" w:rsidR="00676882" w:rsidRDefault="00676882" w:rsidP="00676882">
      <w:pPr>
        <w:pStyle w:val="BodyText"/>
        <w:keepNext/>
        <w:keepLines/>
      </w:pPr>
      <w:bookmarkStart w:id="580" w:name="_Ref80366784"/>
      <w:bookmarkStart w:id="581" w:name="_Toc80719311"/>
      <w:r w:rsidRPr="00317FC0">
        <w:rPr>
          <w:rStyle w:val="CaptionLabel"/>
        </w:rPr>
        <w:lastRenderedPageBreak/>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10</w:t>
      </w:r>
      <w:r w:rsidRPr="00317FC0">
        <w:rPr>
          <w:rStyle w:val="CaptionLabel"/>
        </w:rPr>
        <w:fldChar w:fldCharType="end"/>
      </w:r>
      <w:bookmarkEnd w:id="580"/>
      <w:r>
        <w:tab/>
        <w:t>Perceived quality of housing</w:t>
      </w:r>
      <w:bookmarkEnd w:id="581"/>
    </w:p>
    <w:p w14:paraId="0EC61AC9" w14:textId="77777777" w:rsidR="00676882" w:rsidRDefault="00676882" w:rsidP="00676882">
      <w:pPr>
        <w:pStyle w:val="BodyText"/>
        <w:keepNext/>
        <w:keepLines/>
      </w:pPr>
      <w:r>
        <w:rPr>
          <w:noProof/>
        </w:rPr>
        <w:drawing>
          <wp:inline distT="0" distB="0" distL="0" distR="0" wp14:anchorId="2075142E" wp14:editId="4693EB66">
            <wp:extent cx="5008245" cy="2954681"/>
            <wp:effectExtent l="0" t="0" r="0" b="0"/>
            <wp:docPr id="42" name="Picture 42" descr="Shows a distribution of results. Tenants average about 3.5 out of ten, owner occupiers have 5.1 out of ten, while rental properties rate their own properties as 5.4 out of 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Shows a distribution of results. Tenants average about 3.5 out of ten, owner occupiers have 5.1 out of ten, while rental properties rate their own properties as 5.4 out of ten."/>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5010284" cy="2955884"/>
                    </a:xfrm>
                    <a:prstGeom prst="rect">
                      <a:avLst/>
                    </a:prstGeom>
                    <a:noFill/>
                  </pic:spPr>
                </pic:pic>
              </a:graphicData>
            </a:graphic>
          </wp:inline>
        </w:drawing>
      </w:r>
    </w:p>
    <w:p w14:paraId="60FE3F06" w14:textId="77777777" w:rsidR="00676882" w:rsidRPr="00123358" w:rsidRDefault="00676882" w:rsidP="00676882">
      <w:pPr>
        <w:pStyle w:val="BodyText"/>
        <w:keepNext/>
        <w:keepLines/>
        <w:spacing w:after="0" w:line="260" w:lineRule="atLeast"/>
        <w:rPr>
          <w:i/>
          <w:iCs/>
          <w:sz w:val="16"/>
          <w:szCs w:val="16"/>
        </w:rPr>
      </w:pPr>
      <w:r w:rsidRPr="00123358">
        <w:rPr>
          <w:i/>
          <w:iCs/>
          <w:sz w:val="16"/>
          <w:szCs w:val="16"/>
        </w:rPr>
        <w:t>Source: ACIL Allen</w:t>
      </w:r>
    </w:p>
    <w:p w14:paraId="14C4B741" w14:textId="77777777" w:rsidR="00676882" w:rsidRDefault="00676882" w:rsidP="00676882">
      <w:pPr>
        <w:pStyle w:val="BodyText"/>
        <w:keepNext/>
        <w:keepLines/>
      </w:pPr>
      <w:r>
        <w:t>Reported energy efficiency features of rental properties was relatively similar for both the rental provider and tenant groups.</w:t>
      </w:r>
      <w:r>
        <w:rPr>
          <w:rStyle w:val="FootnoteReference"/>
        </w:rPr>
        <w:footnoteReference w:id="46"/>
      </w:r>
      <w:r>
        <w:t xml:space="preserve"> Energy efficient lighting, a heat pump space heater and thick curtains were all commonly reported. Fewer tenants reported ceiling insulation (see </w:t>
      </w:r>
      <w:r w:rsidRPr="009E4AB1">
        <w:fldChar w:fldCharType="begin"/>
      </w:r>
      <w:r w:rsidRPr="009E4AB1">
        <w:instrText xml:space="preserve"> REF _Ref80366106 \h  \* MERGEFORMAT </w:instrText>
      </w:r>
      <w:r w:rsidRPr="009E4AB1">
        <w:fldChar w:fldCharType="separate"/>
      </w:r>
      <w:r w:rsidRPr="00F32FCC">
        <w:t>Figure F.11</w:t>
      </w:r>
      <w:r w:rsidRPr="009E4AB1">
        <w:fldChar w:fldCharType="end"/>
      </w:r>
      <w:r>
        <w:t>).</w:t>
      </w:r>
    </w:p>
    <w:p w14:paraId="59B6E592" w14:textId="77777777" w:rsidR="00676882" w:rsidRDefault="00676882" w:rsidP="00676882">
      <w:pPr>
        <w:pStyle w:val="BodyText"/>
        <w:keepNext/>
        <w:keepLines/>
        <w:ind w:left="-1985"/>
      </w:pPr>
      <w:bookmarkStart w:id="582" w:name="_Ref80366106"/>
      <w:bookmarkStart w:id="583" w:name="_Toc80719312"/>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11</w:t>
      </w:r>
      <w:r w:rsidRPr="00317FC0">
        <w:rPr>
          <w:rStyle w:val="CaptionLabel"/>
        </w:rPr>
        <w:fldChar w:fldCharType="end"/>
      </w:r>
      <w:bookmarkEnd w:id="582"/>
      <w:r>
        <w:tab/>
        <w:t>Presence of energy efficiency features in rental properties</w:t>
      </w:r>
      <w:bookmarkEnd w:id="583"/>
    </w:p>
    <w:p w14:paraId="5891EB47" w14:textId="77777777" w:rsidR="00676882" w:rsidRDefault="00676882" w:rsidP="00676882">
      <w:pPr>
        <w:pStyle w:val="BodyText"/>
        <w:keepNext/>
        <w:keepLines/>
        <w:ind w:left="-1985"/>
      </w:pPr>
      <w:r>
        <w:rPr>
          <w:noProof/>
        </w:rPr>
        <w:drawing>
          <wp:inline distT="0" distB="0" distL="0" distR="0" wp14:anchorId="33BA74DB" wp14:editId="1321D65E">
            <wp:extent cx="3132000" cy="2162884"/>
            <wp:effectExtent l="0" t="0" r="0" b="0"/>
            <wp:docPr id="44" name="Picture 44" descr="Shows a mix of energy efficiency features, with about 60 per cent having ceiling insulation, and all other features being less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Shows a mix of energy efficiency features, with about 60 per cent having ceiling insulation, and all other features being less present."/>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3132000" cy="2162884"/>
                    </a:xfrm>
                    <a:prstGeom prst="rect">
                      <a:avLst/>
                    </a:prstGeom>
                    <a:noFill/>
                  </pic:spPr>
                </pic:pic>
              </a:graphicData>
            </a:graphic>
          </wp:inline>
        </w:drawing>
      </w:r>
      <w:r>
        <w:rPr>
          <w:noProof/>
        </w:rPr>
        <w:drawing>
          <wp:inline distT="0" distB="0" distL="0" distR="0" wp14:anchorId="1429A1B4" wp14:editId="1C2D29CB">
            <wp:extent cx="3132000" cy="2162884"/>
            <wp:effectExtent l="0" t="0" r="0" b="0"/>
            <wp:docPr id="45" name="Picture 45" descr="Shows a mix of energy efficiency features, with about 50 per cent having energy efficient lighting, and all other features being less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Shows a mix of energy efficiency features, with about 50 per cent having energy efficient lighting, and all other features being less present."/>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3132000" cy="2162884"/>
                    </a:xfrm>
                    <a:prstGeom prst="rect">
                      <a:avLst/>
                    </a:prstGeom>
                    <a:noFill/>
                  </pic:spPr>
                </pic:pic>
              </a:graphicData>
            </a:graphic>
          </wp:inline>
        </w:drawing>
      </w:r>
    </w:p>
    <w:p w14:paraId="70FBE971" w14:textId="77777777" w:rsidR="00676882" w:rsidRPr="006B0263" w:rsidRDefault="00676882" w:rsidP="00676882">
      <w:pPr>
        <w:pStyle w:val="BodyText"/>
        <w:keepNext/>
        <w:keepLines/>
        <w:rPr>
          <w:sz w:val="18"/>
          <w:szCs w:val="18"/>
        </w:rPr>
      </w:pPr>
      <w:r w:rsidRPr="006B0263">
        <w:rPr>
          <w:b/>
          <w:bCs/>
          <w:sz w:val="18"/>
          <w:szCs w:val="18"/>
        </w:rPr>
        <w:t>Properties controlled by rental providers</w:t>
      </w:r>
      <w:r w:rsidRPr="006B0263">
        <w:rPr>
          <w:b/>
          <w:bCs/>
          <w:sz w:val="18"/>
          <w:szCs w:val="18"/>
        </w:rPr>
        <w:tab/>
      </w:r>
      <w:r w:rsidRPr="006B0263">
        <w:rPr>
          <w:sz w:val="18"/>
          <w:szCs w:val="18"/>
        </w:rPr>
        <w:tab/>
      </w:r>
      <w:r>
        <w:rPr>
          <w:sz w:val="18"/>
          <w:szCs w:val="18"/>
        </w:rPr>
        <w:tab/>
      </w:r>
      <w:r>
        <w:rPr>
          <w:sz w:val="18"/>
          <w:szCs w:val="18"/>
        </w:rPr>
        <w:tab/>
      </w:r>
      <w:r w:rsidRPr="006B0263">
        <w:rPr>
          <w:b/>
          <w:bCs/>
          <w:sz w:val="18"/>
          <w:szCs w:val="18"/>
        </w:rPr>
        <w:t>Tenants rented properties</w:t>
      </w:r>
    </w:p>
    <w:p w14:paraId="0B378E6A" w14:textId="77777777" w:rsidR="00676882" w:rsidRPr="006B0263" w:rsidRDefault="00676882" w:rsidP="00676882">
      <w:pPr>
        <w:pStyle w:val="BodyText"/>
        <w:keepNext/>
        <w:keepLines/>
        <w:ind w:left="-1985"/>
        <w:rPr>
          <w:i/>
          <w:iCs/>
          <w:sz w:val="16"/>
          <w:szCs w:val="16"/>
        </w:rPr>
      </w:pPr>
      <w:r w:rsidRPr="006B0263">
        <w:rPr>
          <w:i/>
          <w:iCs/>
          <w:sz w:val="16"/>
          <w:szCs w:val="16"/>
        </w:rPr>
        <w:t>Source: ACIL Allen</w:t>
      </w:r>
    </w:p>
    <w:p w14:paraId="6D5F1D72" w14:textId="77777777" w:rsidR="00676882" w:rsidRDefault="00676882" w:rsidP="00676882">
      <w:pPr>
        <w:pStyle w:val="Heading3AP"/>
      </w:pPr>
      <w:r>
        <w:t>Thermal control in rental properties</w:t>
      </w:r>
    </w:p>
    <w:p w14:paraId="74F98D4E" w14:textId="77777777" w:rsidR="00676882" w:rsidRDefault="00676882" w:rsidP="00676882">
      <w:pPr>
        <w:pStyle w:val="BodyText"/>
      </w:pPr>
      <w:r>
        <w:t xml:space="preserve">A relatively large portion (73 per cent) of tenants heat their homes using less energy efficient resistance heating — either fixed or portable electric heaters. The second most common form of heating is reverse-cycle split system air conditioners. Only 27 per cent of tenants used gas heating appliances (see </w:t>
      </w:r>
      <w:r w:rsidRPr="009E4AB1">
        <w:fldChar w:fldCharType="begin"/>
      </w:r>
      <w:r w:rsidRPr="009E4AB1">
        <w:instrText xml:space="preserve"> REF _Ref80366089 \h  \* MERGEFORMAT </w:instrText>
      </w:r>
      <w:r w:rsidRPr="009E4AB1">
        <w:fldChar w:fldCharType="separate"/>
      </w:r>
      <w:r w:rsidRPr="00F32FCC">
        <w:t>Figure F.12</w:t>
      </w:r>
      <w:r w:rsidRPr="009E4AB1">
        <w:fldChar w:fldCharType="end"/>
      </w:r>
      <w:r>
        <w:t>).</w:t>
      </w:r>
      <w:r>
        <w:rPr>
          <w:rStyle w:val="FootnoteReference"/>
        </w:rPr>
        <w:footnoteReference w:id="47"/>
      </w:r>
    </w:p>
    <w:p w14:paraId="24AEE2F2" w14:textId="77777777" w:rsidR="00676882" w:rsidRDefault="00676882" w:rsidP="00676882">
      <w:pPr>
        <w:pStyle w:val="BodyText"/>
        <w:keepNext/>
        <w:keepLines/>
      </w:pPr>
      <w:bookmarkStart w:id="584" w:name="_Ref80366089"/>
      <w:bookmarkStart w:id="585" w:name="_Toc80719313"/>
      <w:r w:rsidRPr="00317FC0">
        <w:rPr>
          <w:rStyle w:val="CaptionLabel"/>
        </w:rPr>
        <w:lastRenderedPageBreak/>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12</w:t>
      </w:r>
      <w:r w:rsidRPr="00317FC0">
        <w:rPr>
          <w:rStyle w:val="CaptionLabel"/>
        </w:rPr>
        <w:fldChar w:fldCharType="end"/>
      </w:r>
      <w:bookmarkEnd w:id="584"/>
      <w:r>
        <w:tab/>
        <w:t>Method for heating rental properties</w:t>
      </w:r>
      <w:bookmarkEnd w:id="585"/>
    </w:p>
    <w:p w14:paraId="64453042" w14:textId="77777777" w:rsidR="00676882" w:rsidRDefault="00676882" w:rsidP="00676882">
      <w:pPr>
        <w:pStyle w:val="BodyText"/>
        <w:keepNext/>
        <w:keepLines/>
      </w:pPr>
      <w:r>
        <w:rPr>
          <w:noProof/>
        </w:rPr>
        <w:drawing>
          <wp:inline distT="0" distB="0" distL="0" distR="0" wp14:anchorId="0BA91B74" wp14:editId="718EE849">
            <wp:extent cx="5039360" cy="2144041"/>
            <wp:effectExtent l="0" t="0" r="0" b="8890"/>
            <wp:docPr id="46" name="Picture 46" descr="The figure shows portable resistance electric heaters are used in more than half of all rental properties. The second most common is heat pumps, which are used in about 40 per cent of properties. About 20 per cent use gas ducted heating. All other types of heaters are used between 5 and ten per cent of rental proper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The figure shows portable resistance electric heaters are used in more than half of all rental properties. The second most common is heat pumps, which are used in about 40 per cent of properties. About 20 per cent use gas ducted heating. All other types of heaters are used between 5 and ten per cent of rental propertie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039360" cy="2144041"/>
                    </a:xfrm>
                    <a:prstGeom prst="rect">
                      <a:avLst/>
                    </a:prstGeom>
                    <a:noFill/>
                  </pic:spPr>
                </pic:pic>
              </a:graphicData>
            </a:graphic>
          </wp:inline>
        </w:drawing>
      </w:r>
    </w:p>
    <w:p w14:paraId="4D5945B8" w14:textId="77777777" w:rsidR="00676882" w:rsidRPr="00123358" w:rsidRDefault="00676882" w:rsidP="00676882">
      <w:pPr>
        <w:pStyle w:val="BodyText"/>
        <w:keepNext/>
        <w:keepLines/>
        <w:spacing w:after="0" w:line="260" w:lineRule="atLeast"/>
        <w:rPr>
          <w:i/>
          <w:iCs/>
          <w:sz w:val="16"/>
          <w:szCs w:val="16"/>
        </w:rPr>
      </w:pPr>
      <w:r w:rsidRPr="00123358">
        <w:rPr>
          <w:i/>
          <w:iCs/>
          <w:sz w:val="16"/>
          <w:szCs w:val="16"/>
        </w:rPr>
        <w:t>Source: ACIL Allen</w:t>
      </w:r>
    </w:p>
    <w:p w14:paraId="74D47357" w14:textId="77777777" w:rsidR="00676882" w:rsidRDefault="00676882" w:rsidP="00676882">
      <w:pPr>
        <w:pStyle w:val="BodyText"/>
      </w:pPr>
      <w:r>
        <w:t>Approximately 60 per cent of tenants use portable electric fans to cool their homes. Approximately the same proportion of tenants use air conditioner units to cool their homes as do heat them (44 per cent).</w:t>
      </w:r>
      <w:r>
        <w:rPr>
          <w:rStyle w:val="FootnoteReference"/>
        </w:rPr>
        <w:footnoteReference w:id="48"/>
      </w:r>
    </w:p>
    <w:p w14:paraId="1559C619" w14:textId="77777777" w:rsidR="00676882" w:rsidRPr="00DD07F7" w:rsidRDefault="00676882" w:rsidP="00676882">
      <w:pPr>
        <w:pStyle w:val="Heading2AP"/>
      </w:pPr>
      <w:bookmarkStart w:id="586" w:name="_Toc80481749"/>
      <w:bookmarkStart w:id="587" w:name="_Toc80700386"/>
      <w:bookmarkStart w:id="588" w:name="_Toc80700634"/>
      <w:bookmarkStart w:id="589" w:name="_Toc80712640"/>
      <w:bookmarkEnd w:id="586"/>
      <w:bookmarkEnd w:id="587"/>
      <w:bookmarkEnd w:id="588"/>
      <w:r>
        <w:t>Rental provider investments in energy efficiency</w:t>
      </w:r>
      <w:bookmarkEnd w:id="589"/>
    </w:p>
    <w:p w14:paraId="3011595E" w14:textId="77777777" w:rsidR="00676882" w:rsidRDefault="00676882" w:rsidP="00676882">
      <w:pPr>
        <w:pStyle w:val="BodyText"/>
      </w:pPr>
      <w:r>
        <w:t xml:space="preserve">Around 36 per cent of rental providers have invested in the energy efficiency of their rental properties. A further 18 per cent do not perceive a need to invest in the energy efficiency of their rental properties (see </w:t>
      </w:r>
      <w:r w:rsidRPr="009E4AB1">
        <w:fldChar w:fldCharType="begin"/>
      </w:r>
      <w:r w:rsidRPr="009E4AB1">
        <w:instrText xml:space="preserve"> REF _Ref80366771 \h  \* MERGEFORMAT </w:instrText>
      </w:r>
      <w:r w:rsidRPr="009E4AB1">
        <w:fldChar w:fldCharType="separate"/>
      </w:r>
      <w:r w:rsidRPr="00F32FCC">
        <w:t>Figure F.13</w:t>
      </w:r>
      <w:r w:rsidRPr="009E4AB1">
        <w:fldChar w:fldCharType="end"/>
      </w:r>
      <w:r>
        <w:t>).</w:t>
      </w:r>
    </w:p>
    <w:p w14:paraId="249E2C0A" w14:textId="77777777" w:rsidR="00676882" w:rsidRDefault="00676882" w:rsidP="00676882">
      <w:pPr>
        <w:pStyle w:val="BodyText"/>
      </w:pPr>
      <w:r>
        <w:t>Of the remainder, 38 per cent have not invested in the energy efficiency of their property for a range of reasons. The most common reason was that it was cost prohibitive (28 per cent), followed by a lack of adequate information (6 per cent), the existing tenants have not asked (3 per cent), and because they have plans to demolish or redevelop the rental property (2 per cent).</w:t>
      </w:r>
    </w:p>
    <w:p w14:paraId="630C3AA5" w14:textId="77777777" w:rsidR="00676882" w:rsidRDefault="00676882" w:rsidP="00676882">
      <w:pPr>
        <w:pStyle w:val="BodyText"/>
      </w:pPr>
      <w:bookmarkStart w:id="590" w:name="_Ref80366771"/>
      <w:bookmarkStart w:id="591" w:name="_Toc80719314"/>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13</w:t>
      </w:r>
      <w:r w:rsidRPr="00317FC0">
        <w:rPr>
          <w:rStyle w:val="CaptionLabel"/>
        </w:rPr>
        <w:fldChar w:fldCharType="end"/>
      </w:r>
      <w:bookmarkEnd w:id="590"/>
      <w:r>
        <w:tab/>
        <w:t>Rental provider investments in energy efficiency</w:t>
      </w:r>
      <w:bookmarkEnd w:id="591"/>
    </w:p>
    <w:p w14:paraId="6732C2ED" w14:textId="77777777" w:rsidR="00676882" w:rsidRDefault="00676882" w:rsidP="00676882">
      <w:pPr>
        <w:pStyle w:val="BodyText"/>
      </w:pPr>
      <w:r>
        <w:rPr>
          <w:noProof/>
        </w:rPr>
        <w:drawing>
          <wp:inline distT="0" distB="0" distL="0" distR="0" wp14:anchorId="12722CBD" wp14:editId="412AF7A5">
            <wp:extent cx="5019675" cy="2066206"/>
            <wp:effectExtent l="0" t="0" r="0" b="0"/>
            <wp:docPr id="53" name="Picture 53" descr="As per tex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descr="As per text.">
                      <a:extLst>
                        <a:ext uri="{C183D7F6-B498-43B3-948B-1728B52AA6E4}">
                          <adec:decorative xmlns:adec="http://schemas.microsoft.com/office/drawing/2017/decorative" val="0"/>
                        </a:ext>
                      </a:extLst>
                    </pic:cNvPr>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5029281" cy="2070160"/>
                    </a:xfrm>
                    <a:prstGeom prst="rect">
                      <a:avLst/>
                    </a:prstGeom>
                    <a:noFill/>
                  </pic:spPr>
                </pic:pic>
              </a:graphicData>
            </a:graphic>
          </wp:inline>
        </w:drawing>
      </w:r>
    </w:p>
    <w:p w14:paraId="216CE906" w14:textId="77777777" w:rsidR="00676882" w:rsidRPr="006B0263" w:rsidRDefault="00676882" w:rsidP="00676882">
      <w:pPr>
        <w:pStyle w:val="BodyText"/>
        <w:keepNext/>
        <w:keepLines/>
        <w:spacing w:after="0" w:line="260" w:lineRule="atLeast"/>
        <w:rPr>
          <w:i/>
          <w:iCs/>
          <w:sz w:val="16"/>
          <w:szCs w:val="16"/>
        </w:rPr>
      </w:pPr>
      <w:r w:rsidRPr="006B0263">
        <w:rPr>
          <w:i/>
          <w:iCs/>
          <w:sz w:val="16"/>
          <w:szCs w:val="16"/>
        </w:rPr>
        <w:t>Source: ACIL Allen</w:t>
      </w:r>
    </w:p>
    <w:p w14:paraId="6A34465F" w14:textId="77777777" w:rsidR="00676882" w:rsidRDefault="00676882" w:rsidP="00676882">
      <w:pPr>
        <w:pStyle w:val="Heading3AP"/>
      </w:pPr>
      <w:r>
        <w:t>Information available to rental providers</w:t>
      </w:r>
    </w:p>
    <w:p w14:paraId="727C9761" w14:textId="77777777" w:rsidR="00676882" w:rsidRDefault="00676882" w:rsidP="00676882">
      <w:pPr>
        <w:pStyle w:val="BodyText"/>
      </w:pPr>
      <w:r>
        <w:t xml:space="preserve">Around 22 per cent of rental providers rated their understanding of ways to improve the energy efficiency of rental properties as half-way (5) on a scale from 0 (not informed at all) to 10 </w:t>
      </w:r>
      <w:r>
        <w:lastRenderedPageBreak/>
        <w:t xml:space="preserve">(completely informed). Around 46 per cent rated above mid-way, and 32 per cent below mid-way (see </w:t>
      </w:r>
      <w:r w:rsidRPr="009E4AB1">
        <w:fldChar w:fldCharType="begin"/>
      </w:r>
      <w:r w:rsidRPr="009E4AB1">
        <w:instrText xml:space="preserve"> REF _Ref80366553 \h  \* MERGEFORMAT </w:instrText>
      </w:r>
      <w:r w:rsidRPr="009E4AB1">
        <w:fldChar w:fldCharType="separate"/>
      </w:r>
      <w:r w:rsidRPr="00F32FCC">
        <w:t>Figure F.14</w:t>
      </w:r>
      <w:r w:rsidRPr="009E4AB1">
        <w:fldChar w:fldCharType="end"/>
      </w:r>
      <w:r>
        <w:t>). The average rating from rental providers is 5.38.</w:t>
      </w:r>
      <w:r>
        <w:rPr>
          <w:rStyle w:val="FootnoteReference"/>
        </w:rPr>
        <w:footnoteReference w:id="49"/>
      </w:r>
    </w:p>
    <w:p w14:paraId="30C86185" w14:textId="77777777" w:rsidR="00676882" w:rsidRDefault="00676882" w:rsidP="00676882">
      <w:pPr>
        <w:pStyle w:val="BodyText"/>
      </w:pPr>
      <w:bookmarkStart w:id="592" w:name="_Ref80366553"/>
      <w:bookmarkStart w:id="593" w:name="_Toc80719315"/>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14</w:t>
      </w:r>
      <w:r w:rsidRPr="00317FC0">
        <w:rPr>
          <w:rStyle w:val="CaptionLabel"/>
        </w:rPr>
        <w:fldChar w:fldCharType="end"/>
      </w:r>
      <w:bookmarkEnd w:id="592"/>
      <w:r>
        <w:tab/>
        <w:t>Rental provider familiarity of energy efficiency improvements</w:t>
      </w:r>
      <w:bookmarkEnd w:id="593"/>
    </w:p>
    <w:p w14:paraId="1251F9C5" w14:textId="77777777" w:rsidR="00676882" w:rsidRDefault="00676882" w:rsidP="00676882">
      <w:pPr>
        <w:pStyle w:val="BodyText"/>
      </w:pPr>
      <w:r>
        <w:rPr>
          <w:noProof/>
        </w:rPr>
        <w:drawing>
          <wp:inline distT="0" distB="0" distL="0" distR="0" wp14:anchorId="286B5C7E" wp14:editId="39C828AA">
            <wp:extent cx="4972050" cy="2126966"/>
            <wp:effectExtent l="0" t="0" r="0" b="0"/>
            <wp:docPr id="54" name="Picture 54" descr="Shows an even distribution from 0 to 10, with a sharp peak at the 5 out of ten 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Shows an even distribution from 0 to 10, with a sharp peak at the 5 out of ten mark."/>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4980911" cy="2130757"/>
                    </a:xfrm>
                    <a:prstGeom prst="rect">
                      <a:avLst/>
                    </a:prstGeom>
                    <a:noFill/>
                  </pic:spPr>
                </pic:pic>
              </a:graphicData>
            </a:graphic>
          </wp:inline>
        </w:drawing>
      </w:r>
    </w:p>
    <w:p w14:paraId="6DE7B4DC" w14:textId="77777777" w:rsidR="00676882" w:rsidRPr="005A25BB" w:rsidRDefault="00676882" w:rsidP="00676882">
      <w:pPr>
        <w:pStyle w:val="BodyText"/>
        <w:keepNext/>
        <w:keepLines/>
        <w:spacing w:after="0" w:line="260" w:lineRule="atLeast"/>
        <w:rPr>
          <w:i/>
          <w:iCs/>
          <w:sz w:val="16"/>
          <w:szCs w:val="16"/>
        </w:rPr>
      </w:pPr>
      <w:r w:rsidRPr="005A25BB">
        <w:rPr>
          <w:i/>
          <w:iCs/>
          <w:sz w:val="16"/>
          <w:szCs w:val="16"/>
        </w:rPr>
        <w:t>Source: ACIL Allen</w:t>
      </w:r>
    </w:p>
    <w:p w14:paraId="6D1241E6" w14:textId="77777777" w:rsidR="00676882" w:rsidRDefault="00676882" w:rsidP="00676882">
      <w:r>
        <w:t xml:space="preserve">Only 15 per cent of rental providers were aware of ACT Government’s programs and incentives to improve the energy efficiency of their rental properties (see </w:t>
      </w:r>
      <w:r w:rsidRPr="009E4AB1">
        <w:fldChar w:fldCharType="begin"/>
      </w:r>
      <w:r w:rsidRPr="009E4AB1">
        <w:instrText xml:space="preserve"> REF _Ref80366721 \h  \* MERGEFORMAT </w:instrText>
      </w:r>
      <w:r w:rsidRPr="009E4AB1">
        <w:fldChar w:fldCharType="separate"/>
      </w:r>
      <w:r w:rsidRPr="00F32FCC">
        <w:t>Figure F.15</w:t>
      </w:r>
      <w:r w:rsidRPr="009E4AB1">
        <w:fldChar w:fldCharType="end"/>
      </w:r>
      <w:r>
        <w:t>).</w:t>
      </w:r>
      <w:r>
        <w:rPr>
          <w:rStyle w:val="FootnoteReference"/>
        </w:rPr>
        <w:footnoteReference w:id="50"/>
      </w:r>
      <w:r>
        <w:t xml:space="preserve"> </w:t>
      </w:r>
    </w:p>
    <w:p w14:paraId="7076F6A2" w14:textId="77777777" w:rsidR="00676882" w:rsidRDefault="00676882" w:rsidP="00676882">
      <w:bookmarkStart w:id="594" w:name="_Ref80366721"/>
      <w:bookmarkStart w:id="595" w:name="_Toc80719316"/>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15</w:t>
      </w:r>
      <w:r w:rsidRPr="00317FC0">
        <w:rPr>
          <w:rStyle w:val="CaptionLabel"/>
        </w:rPr>
        <w:fldChar w:fldCharType="end"/>
      </w:r>
      <w:bookmarkEnd w:id="594"/>
      <w:r>
        <w:tab/>
        <w:t>Rental provider familiarity with energy efficiency incentive programs</w:t>
      </w:r>
      <w:bookmarkEnd w:id="595"/>
    </w:p>
    <w:p w14:paraId="1EE09C37" w14:textId="77777777" w:rsidR="00676882" w:rsidRDefault="00676882" w:rsidP="00676882">
      <w:r>
        <w:rPr>
          <w:noProof/>
        </w:rPr>
        <w:drawing>
          <wp:inline distT="0" distB="0" distL="0" distR="0" wp14:anchorId="4ECCC1E5" wp14:editId="20375A9D">
            <wp:extent cx="5019675" cy="2141196"/>
            <wp:effectExtent l="0" t="0" r="0" b="0"/>
            <wp:docPr id="55" name="Picture 55"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descr="As per text."/>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5028063" cy="2144774"/>
                    </a:xfrm>
                    <a:prstGeom prst="rect">
                      <a:avLst/>
                    </a:prstGeom>
                    <a:noFill/>
                  </pic:spPr>
                </pic:pic>
              </a:graphicData>
            </a:graphic>
          </wp:inline>
        </w:drawing>
      </w:r>
    </w:p>
    <w:p w14:paraId="29D5AB18" w14:textId="77777777" w:rsidR="00676882" w:rsidRPr="005A25BB" w:rsidRDefault="00676882" w:rsidP="00676882">
      <w:pPr>
        <w:pStyle w:val="BodyText"/>
        <w:keepNext/>
        <w:keepLines/>
        <w:spacing w:after="0" w:line="260" w:lineRule="atLeast"/>
        <w:rPr>
          <w:i/>
          <w:iCs/>
          <w:sz w:val="16"/>
          <w:szCs w:val="16"/>
        </w:rPr>
      </w:pPr>
      <w:r w:rsidRPr="005A25BB">
        <w:rPr>
          <w:i/>
          <w:iCs/>
          <w:sz w:val="16"/>
          <w:szCs w:val="16"/>
        </w:rPr>
        <w:t>Source: ACIL Allen</w:t>
      </w:r>
    </w:p>
    <w:p w14:paraId="05118BA4" w14:textId="77777777" w:rsidR="00676882" w:rsidRDefault="00676882" w:rsidP="00676882">
      <w:pPr>
        <w:pStyle w:val="Heading2AP"/>
      </w:pPr>
      <w:bookmarkStart w:id="596" w:name="_Toc80481752"/>
      <w:bookmarkStart w:id="597" w:name="_Toc80700389"/>
      <w:bookmarkStart w:id="598" w:name="_Toc80700637"/>
      <w:bookmarkStart w:id="599" w:name="_Toc80481759"/>
      <w:bookmarkStart w:id="600" w:name="_Toc80700396"/>
      <w:bookmarkStart w:id="601" w:name="_Toc80700644"/>
      <w:bookmarkStart w:id="602" w:name="_Toc80712641"/>
      <w:bookmarkEnd w:id="596"/>
      <w:bookmarkEnd w:id="597"/>
      <w:bookmarkEnd w:id="598"/>
      <w:bookmarkEnd w:id="599"/>
      <w:bookmarkEnd w:id="600"/>
      <w:bookmarkEnd w:id="601"/>
      <w:r>
        <w:t>Tenant requests for investments in energy efficiency</w:t>
      </w:r>
      <w:bookmarkEnd w:id="602"/>
    </w:p>
    <w:p w14:paraId="0D26D6D7" w14:textId="77777777" w:rsidR="00676882" w:rsidRDefault="00676882" w:rsidP="00676882">
      <w:pPr>
        <w:pStyle w:val="BodyText"/>
      </w:pPr>
      <w:r>
        <w:t>About half of the tenant who responded have made requests to their rental providers or agents for improvements to the energy efficiency of their homes — 17 per cent have requested once, a further 29 per cent have made more than one request.</w:t>
      </w:r>
      <w:r>
        <w:rPr>
          <w:rStyle w:val="FootnoteReference"/>
        </w:rPr>
        <w:footnoteReference w:id="51"/>
      </w:r>
      <w:r>
        <w:t xml:space="preserve"> However, only five per cent of rental providers report having received such a request (see </w:t>
      </w:r>
      <w:r w:rsidRPr="009E4AB1">
        <w:fldChar w:fldCharType="begin"/>
      </w:r>
      <w:r w:rsidRPr="009E4AB1">
        <w:instrText xml:space="preserve"> REF _Ref80699922 \h  \* MERGEFORMAT </w:instrText>
      </w:r>
      <w:r w:rsidRPr="009E4AB1">
        <w:fldChar w:fldCharType="separate"/>
      </w:r>
      <w:r w:rsidRPr="00F32FCC">
        <w:t>Figure F.16</w:t>
      </w:r>
      <w:r w:rsidRPr="009E4AB1">
        <w:fldChar w:fldCharType="end"/>
      </w:r>
      <w:r>
        <w:t>).</w:t>
      </w:r>
      <w:r>
        <w:rPr>
          <w:rStyle w:val="FootnoteReference"/>
        </w:rPr>
        <w:footnoteReference w:id="52"/>
      </w:r>
    </w:p>
    <w:p w14:paraId="260CBBCA" w14:textId="77777777" w:rsidR="00676882" w:rsidRDefault="00676882" w:rsidP="00676882">
      <w:pPr>
        <w:pStyle w:val="BodyText"/>
      </w:pPr>
      <w:bookmarkStart w:id="603" w:name="_Ref80699922"/>
      <w:bookmarkStart w:id="604" w:name="_Toc80719317"/>
      <w:r w:rsidRPr="00317FC0">
        <w:rPr>
          <w:rStyle w:val="CaptionLabel"/>
        </w:rPr>
        <w:lastRenderedPageBreak/>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16</w:t>
      </w:r>
      <w:r w:rsidRPr="00317FC0">
        <w:rPr>
          <w:rStyle w:val="CaptionLabel"/>
        </w:rPr>
        <w:fldChar w:fldCharType="end"/>
      </w:r>
      <w:bookmarkEnd w:id="603"/>
      <w:r>
        <w:tab/>
        <w:t>Tenant requests for energy efficiency improvements</w:t>
      </w:r>
      <w:bookmarkEnd w:id="604"/>
    </w:p>
    <w:p w14:paraId="518D0B60" w14:textId="77777777" w:rsidR="00676882" w:rsidRDefault="00676882" w:rsidP="00676882">
      <w:pPr>
        <w:pStyle w:val="BodyText"/>
      </w:pPr>
      <w:r>
        <w:rPr>
          <w:noProof/>
        </w:rPr>
        <w:drawing>
          <wp:inline distT="0" distB="0" distL="0" distR="0" wp14:anchorId="069C0C82" wp14:editId="2B98980B">
            <wp:extent cx="5038725" cy="2143771"/>
            <wp:effectExtent l="0" t="0" r="0" b="0"/>
            <wp:docPr id="56" name="Picture 56"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descr="As per text."/>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5045955" cy="2146847"/>
                    </a:xfrm>
                    <a:prstGeom prst="rect">
                      <a:avLst/>
                    </a:prstGeom>
                    <a:noFill/>
                  </pic:spPr>
                </pic:pic>
              </a:graphicData>
            </a:graphic>
          </wp:inline>
        </w:drawing>
      </w:r>
    </w:p>
    <w:p w14:paraId="2AFA374B" w14:textId="77777777" w:rsidR="00676882" w:rsidRPr="005A25BB" w:rsidRDefault="00676882" w:rsidP="00676882">
      <w:pPr>
        <w:pStyle w:val="BodyText"/>
        <w:keepNext/>
        <w:keepLines/>
        <w:spacing w:after="0" w:line="260" w:lineRule="atLeast"/>
        <w:rPr>
          <w:i/>
          <w:iCs/>
          <w:sz w:val="16"/>
          <w:szCs w:val="16"/>
        </w:rPr>
      </w:pPr>
      <w:r w:rsidRPr="005A25BB">
        <w:rPr>
          <w:i/>
          <w:iCs/>
          <w:sz w:val="16"/>
          <w:szCs w:val="16"/>
        </w:rPr>
        <w:t>Source: ACIL Allen</w:t>
      </w:r>
    </w:p>
    <w:p w14:paraId="5C2814C8" w14:textId="77777777" w:rsidR="00676882" w:rsidRDefault="00676882" w:rsidP="00676882">
      <w:pPr>
        <w:pStyle w:val="BodyText"/>
      </w:pPr>
      <w:r>
        <w:t xml:space="preserve">Of those tenants who made a request, only 8 per cent had their requested change made with no impact on the rent. 58 per cent of requests were declined for a range of reasons (see </w:t>
      </w:r>
      <w:r w:rsidRPr="009E4AB1">
        <w:fldChar w:fldCharType="begin"/>
      </w:r>
      <w:r w:rsidRPr="009E4AB1">
        <w:instrText xml:space="preserve"> REF _Ref80699928 \h  \* MERGEFORMAT </w:instrText>
      </w:r>
      <w:r w:rsidRPr="009E4AB1">
        <w:fldChar w:fldCharType="separate"/>
      </w:r>
      <w:r w:rsidRPr="00F32FCC">
        <w:t>Figure F.17</w:t>
      </w:r>
      <w:r w:rsidRPr="009E4AB1">
        <w:fldChar w:fldCharType="end"/>
      </w:r>
      <w:r>
        <w:t>). No tenants reported that this was because it was not feasible or too difficult. No tenants reported making requests for change which were then associated with rent increases.</w:t>
      </w:r>
      <w:r>
        <w:rPr>
          <w:rStyle w:val="FootnoteReference"/>
        </w:rPr>
        <w:footnoteReference w:id="53"/>
      </w:r>
    </w:p>
    <w:p w14:paraId="08B22303" w14:textId="77777777" w:rsidR="00676882" w:rsidRDefault="00676882" w:rsidP="00676882">
      <w:pPr>
        <w:pStyle w:val="BodyText"/>
      </w:pPr>
      <w:bookmarkStart w:id="605" w:name="_Ref80699928"/>
      <w:bookmarkStart w:id="606" w:name="_Toc80719318"/>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17</w:t>
      </w:r>
      <w:r w:rsidRPr="00317FC0">
        <w:rPr>
          <w:rStyle w:val="CaptionLabel"/>
        </w:rPr>
        <w:fldChar w:fldCharType="end"/>
      </w:r>
      <w:bookmarkEnd w:id="605"/>
      <w:r>
        <w:tab/>
        <w:t>Rental provider responses to tenant requests</w:t>
      </w:r>
      <w:bookmarkEnd w:id="606"/>
    </w:p>
    <w:p w14:paraId="34F5E236" w14:textId="77777777" w:rsidR="00676882" w:rsidRDefault="00676882" w:rsidP="00676882">
      <w:pPr>
        <w:pStyle w:val="BodyText"/>
      </w:pPr>
      <w:r>
        <w:rPr>
          <w:noProof/>
        </w:rPr>
        <w:drawing>
          <wp:inline distT="0" distB="0" distL="0" distR="0" wp14:anchorId="180D960C" wp14:editId="5C41F8BD">
            <wp:extent cx="5029200" cy="2304691"/>
            <wp:effectExtent l="0" t="0" r="0" b="0"/>
            <wp:docPr id="57" name="Picture 57"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As per text."/>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5032653" cy="2306273"/>
                    </a:xfrm>
                    <a:prstGeom prst="rect">
                      <a:avLst/>
                    </a:prstGeom>
                    <a:noFill/>
                  </pic:spPr>
                </pic:pic>
              </a:graphicData>
            </a:graphic>
          </wp:inline>
        </w:drawing>
      </w:r>
    </w:p>
    <w:p w14:paraId="57F40D54" w14:textId="77777777" w:rsidR="00676882" w:rsidRPr="005A25BB" w:rsidRDefault="00676882" w:rsidP="00676882">
      <w:pPr>
        <w:pStyle w:val="BodyText"/>
        <w:keepNext/>
        <w:keepLines/>
        <w:spacing w:after="0" w:line="260" w:lineRule="atLeast"/>
        <w:rPr>
          <w:i/>
          <w:iCs/>
          <w:sz w:val="16"/>
          <w:szCs w:val="16"/>
        </w:rPr>
      </w:pPr>
      <w:r w:rsidRPr="005A25BB">
        <w:rPr>
          <w:i/>
          <w:iCs/>
          <w:sz w:val="16"/>
          <w:szCs w:val="16"/>
        </w:rPr>
        <w:t>Source: ACIL Allen</w:t>
      </w:r>
    </w:p>
    <w:p w14:paraId="48B035F1" w14:textId="77777777" w:rsidR="00676882" w:rsidRDefault="00676882" w:rsidP="00676882">
      <w:pPr>
        <w:pStyle w:val="Heading2AP"/>
      </w:pPr>
      <w:bookmarkStart w:id="607" w:name="_Toc80481762"/>
      <w:bookmarkStart w:id="608" w:name="_Toc80700399"/>
      <w:bookmarkStart w:id="609" w:name="_Toc80700647"/>
      <w:bookmarkStart w:id="610" w:name="_Toc80481769"/>
      <w:bookmarkStart w:id="611" w:name="_Toc80700406"/>
      <w:bookmarkStart w:id="612" w:name="_Toc80700654"/>
      <w:bookmarkStart w:id="613" w:name="_Ref75864733"/>
      <w:bookmarkStart w:id="614" w:name="_Toc80712642"/>
      <w:bookmarkEnd w:id="607"/>
      <w:bookmarkEnd w:id="608"/>
      <w:bookmarkEnd w:id="609"/>
      <w:bookmarkEnd w:id="610"/>
      <w:bookmarkEnd w:id="611"/>
      <w:bookmarkEnd w:id="612"/>
      <w:r>
        <w:t>Responses to minimum standards</w:t>
      </w:r>
      <w:bookmarkEnd w:id="613"/>
      <w:bookmarkEnd w:id="614"/>
    </w:p>
    <w:p w14:paraId="2B124401" w14:textId="77777777" w:rsidR="00676882" w:rsidRDefault="00676882" w:rsidP="00676882">
      <w:pPr>
        <w:pStyle w:val="BodyText"/>
      </w:pPr>
      <w:r>
        <w:t>Rental providers were asked what they might do as a result of the minimum standards.</w:t>
      </w:r>
      <w:r>
        <w:rPr>
          <w:rStyle w:val="FootnoteReference"/>
        </w:rPr>
        <w:footnoteReference w:id="54"/>
      </w:r>
      <w:r>
        <w:t xml:space="preserve"> </w:t>
      </w:r>
    </w:p>
    <w:p w14:paraId="76C7B1F4" w14:textId="77777777" w:rsidR="00676882" w:rsidRDefault="00676882" w:rsidP="00676882">
      <w:pPr>
        <w:pStyle w:val="BodyText"/>
      </w:pPr>
      <w:r>
        <w:t xml:space="preserve">The impacts of the minimum standards will vary depending on the policy option selected and the implementation, as well as individual conditions for each rental provider. Accordingly, it is reasonably difficult for rental providers to indicate how they will respond to the proposed minimum standards. </w:t>
      </w:r>
    </w:p>
    <w:p w14:paraId="6602C471" w14:textId="77777777" w:rsidR="00676882" w:rsidRDefault="00676882" w:rsidP="00676882">
      <w:pPr>
        <w:pStyle w:val="BodyText"/>
      </w:pPr>
      <w:r>
        <w:t xml:space="preserve">Only 16 per cent of rental providers said that nothing would change as a result of the proposed minimum standards. The largest group, almost 60 per cent, suggested that they would increase rents in response. One in five suggested they would sell the rental property, either to other rental </w:t>
      </w:r>
      <w:r>
        <w:lastRenderedPageBreak/>
        <w:t xml:space="preserve">providers or to owner occupiers. One per cent suggested they would take the opportunity to redevelop the property (see </w:t>
      </w:r>
      <w:r w:rsidRPr="009E4AB1">
        <w:fldChar w:fldCharType="begin"/>
      </w:r>
      <w:r w:rsidRPr="009E4AB1">
        <w:instrText xml:space="preserve"> REF _Ref80368114 \h  \* MERGEFORMAT </w:instrText>
      </w:r>
      <w:r w:rsidRPr="009E4AB1">
        <w:fldChar w:fldCharType="separate"/>
      </w:r>
      <w:r w:rsidRPr="00F32FCC">
        <w:t>Figure F.18</w:t>
      </w:r>
      <w:r w:rsidRPr="009E4AB1">
        <w:fldChar w:fldCharType="end"/>
      </w:r>
      <w:r>
        <w:t>).</w:t>
      </w:r>
    </w:p>
    <w:p w14:paraId="133704FC" w14:textId="77777777" w:rsidR="00676882" w:rsidRDefault="00676882" w:rsidP="00676882">
      <w:pPr>
        <w:pStyle w:val="BodyText"/>
        <w:ind w:left="-1843"/>
      </w:pPr>
      <w:bookmarkStart w:id="615" w:name="_Ref80368114"/>
      <w:bookmarkStart w:id="616" w:name="_Toc80719319"/>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18</w:t>
      </w:r>
      <w:r w:rsidRPr="00317FC0">
        <w:rPr>
          <w:rStyle w:val="CaptionLabel"/>
        </w:rPr>
        <w:fldChar w:fldCharType="end"/>
      </w:r>
      <w:bookmarkEnd w:id="615"/>
      <w:r>
        <w:tab/>
        <w:t>Rental provider response to minimum standard costs</w:t>
      </w:r>
      <w:bookmarkEnd w:id="616"/>
    </w:p>
    <w:p w14:paraId="40C6FA88" w14:textId="77777777" w:rsidR="00676882" w:rsidRDefault="00676882" w:rsidP="00676882">
      <w:pPr>
        <w:pStyle w:val="BodyText"/>
        <w:ind w:left="-1843"/>
      </w:pPr>
      <w:r>
        <w:rPr>
          <w:noProof/>
        </w:rPr>
        <w:drawing>
          <wp:inline distT="0" distB="0" distL="0" distR="0" wp14:anchorId="69F05535" wp14:editId="4401B755">
            <wp:extent cx="6132421" cy="2636322"/>
            <wp:effectExtent l="0" t="0" r="1905" b="0"/>
            <wp:docPr id="67" name="Picture 67"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descr="As per text."/>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6149325" cy="2643589"/>
                    </a:xfrm>
                    <a:prstGeom prst="rect">
                      <a:avLst/>
                    </a:prstGeom>
                    <a:noFill/>
                  </pic:spPr>
                </pic:pic>
              </a:graphicData>
            </a:graphic>
          </wp:inline>
        </w:drawing>
      </w:r>
    </w:p>
    <w:p w14:paraId="2C861C15" w14:textId="77777777" w:rsidR="00676882" w:rsidRPr="005A25BB" w:rsidRDefault="00676882" w:rsidP="00676882">
      <w:pPr>
        <w:pStyle w:val="BodyText"/>
        <w:keepNext/>
        <w:keepLines/>
        <w:ind w:left="-1985"/>
        <w:rPr>
          <w:i/>
          <w:iCs/>
          <w:sz w:val="16"/>
          <w:szCs w:val="16"/>
        </w:rPr>
      </w:pPr>
      <w:r w:rsidRPr="005A25BB">
        <w:rPr>
          <w:i/>
          <w:iCs/>
          <w:sz w:val="16"/>
          <w:szCs w:val="16"/>
        </w:rPr>
        <w:t>Source: ACIL Allen</w:t>
      </w:r>
    </w:p>
    <w:p w14:paraId="2FF021F4" w14:textId="77777777" w:rsidR="00676882" w:rsidRDefault="00676882" w:rsidP="00676882">
      <w:pPr>
        <w:pStyle w:val="BodyText"/>
      </w:pPr>
      <w:r w:rsidRPr="00317FC0">
        <w:t>Of</w:t>
      </w:r>
      <w:r>
        <w:t xml:space="preserve"> </w:t>
      </w:r>
      <w:r w:rsidRPr="00317FC0">
        <w:t>those</w:t>
      </w:r>
      <w:r>
        <w:t xml:space="preserve"> who said they would increase rents, the majority (77 per cent) said they would pass through the additional cost in whole.</w:t>
      </w:r>
      <w:r>
        <w:rPr>
          <w:rStyle w:val="FootnoteReference"/>
        </w:rPr>
        <w:footnoteReference w:id="55"/>
      </w:r>
      <w:r>
        <w:t xml:space="preserve"> About 17 per cent would increase rents by less than the additional costs, effectively sharing the costs with tenants. Five per cent said they would increase rents greater than the costs of any required upgrades (see </w:t>
      </w:r>
      <w:r w:rsidRPr="009E4AB1">
        <w:fldChar w:fldCharType="begin"/>
      </w:r>
      <w:r w:rsidRPr="009E4AB1">
        <w:instrText xml:space="preserve"> REF _Ref80368239 \h  \* MERGEFORMAT </w:instrText>
      </w:r>
      <w:r w:rsidRPr="009E4AB1">
        <w:fldChar w:fldCharType="separate"/>
      </w:r>
      <w:r w:rsidRPr="00F32FCC">
        <w:t>Figure F.19</w:t>
      </w:r>
      <w:r w:rsidRPr="009E4AB1">
        <w:fldChar w:fldCharType="end"/>
      </w:r>
      <w:r>
        <w:t>).</w:t>
      </w:r>
    </w:p>
    <w:p w14:paraId="2A535CB1" w14:textId="77777777" w:rsidR="00676882" w:rsidRDefault="00676882" w:rsidP="00676882">
      <w:pPr>
        <w:pStyle w:val="BodyText"/>
        <w:keepNext/>
        <w:keepLines/>
        <w:ind w:left="-1985"/>
      </w:pPr>
      <w:bookmarkStart w:id="617" w:name="_Ref80368239"/>
      <w:bookmarkStart w:id="618" w:name="_Toc80719320"/>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19</w:t>
      </w:r>
      <w:r w:rsidRPr="00317FC0">
        <w:rPr>
          <w:rStyle w:val="CaptionLabel"/>
        </w:rPr>
        <w:fldChar w:fldCharType="end"/>
      </w:r>
      <w:bookmarkEnd w:id="617"/>
      <w:r>
        <w:tab/>
        <w:t>Reported cost pass-through of rental provider costs in the form of increased rents</w:t>
      </w:r>
      <w:bookmarkEnd w:id="618"/>
    </w:p>
    <w:p w14:paraId="5B17BDFA" w14:textId="77777777" w:rsidR="00676882" w:rsidRDefault="00676882" w:rsidP="00676882">
      <w:pPr>
        <w:pStyle w:val="BodyText"/>
        <w:keepNext/>
        <w:keepLines/>
        <w:ind w:left="-1985"/>
      </w:pPr>
      <w:r>
        <w:rPr>
          <w:noProof/>
          <w:u w:val="single"/>
        </w:rPr>
        <w:drawing>
          <wp:inline distT="0" distB="0" distL="0" distR="0" wp14:anchorId="10E312FF" wp14:editId="725C6F50">
            <wp:extent cx="6329548" cy="2719728"/>
            <wp:effectExtent l="0" t="0" r="0" b="4445"/>
            <wp:docPr id="68" name="Picture 68"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descr="As per text."/>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6335071" cy="2722101"/>
                    </a:xfrm>
                    <a:prstGeom prst="rect">
                      <a:avLst/>
                    </a:prstGeom>
                    <a:noFill/>
                  </pic:spPr>
                </pic:pic>
              </a:graphicData>
            </a:graphic>
          </wp:inline>
        </w:drawing>
      </w:r>
    </w:p>
    <w:p w14:paraId="38E00B31" w14:textId="77777777" w:rsidR="00676882" w:rsidRPr="006F42C9" w:rsidRDefault="00676882" w:rsidP="00676882">
      <w:pPr>
        <w:pStyle w:val="BodyText"/>
        <w:keepNext/>
        <w:keepLines/>
        <w:spacing w:before="0" w:line="0" w:lineRule="atLeast"/>
        <w:ind w:left="-1985"/>
        <w:rPr>
          <w:i/>
          <w:iCs/>
          <w:sz w:val="16"/>
          <w:szCs w:val="16"/>
        </w:rPr>
      </w:pPr>
      <w:r w:rsidRPr="005A25BB">
        <w:rPr>
          <w:i/>
          <w:iCs/>
          <w:sz w:val="16"/>
          <w:szCs w:val="16"/>
        </w:rPr>
        <w:t>Source: ACIL Allen</w:t>
      </w:r>
    </w:p>
    <w:p w14:paraId="061A3BCF" w14:textId="77777777" w:rsidR="00676882" w:rsidRDefault="00676882" w:rsidP="00676882">
      <w:pPr>
        <w:pStyle w:val="BodyText"/>
      </w:pPr>
      <w:r>
        <w:t>Tenants were also asked how much of the benefit of energy efficiency improvements they were willing to pay for through increased rent.</w:t>
      </w:r>
      <w:r>
        <w:rPr>
          <w:rStyle w:val="FootnoteReference"/>
        </w:rPr>
        <w:footnoteReference w:id="56"/>
      </w:r>
      <w:r>
        <w:t xml:space="preserve"> The question was asked relative to a $100 per quarter saving in energy bills and will be less representative at other levels of saving. The most common </w:t>
      </w:r>
      <w:r>
        <w:lastRenderedPageBreak/>
        <w:t xml:space="preserve">response was that they would not be willing to pay any additional rent (40 per cent). Approximately one-third said they would be willing to pay between 10 per cent and 30 per cent of the savings as reduced rent. Only 7.7 per cent said they would be willing to pay between 30 per cent and 100 per cent of the savings in reduced rents (see </w:t>
      </w:r>
      <w:r w:rsidRPr="009E4AB1">
        <w:fldChar w:fldCharType="begin"/>
      </w:r>
      <w:r w:rsidRPr="009E4AB1">
        <w:instrText xml:space="preserve"> REF _Ref80368284 \h  \* MERGEFORMAT </w:instrText>
      </w:r>
      <w:r w:rsidRPr="009E4AB1">
        <w:fldChar w:fldCharType="separate"/>
      </w:r>
      <w:r w:rsidRPr="00F32FCC">
        <w:t>Figure F.20</w:t>
      </w:r>
      <w:r w:rsidRPr="009E4AB1">
        <w:fldChar w:fldCharType="end"/>
      </w:r>
      <w:r>
        <w:t>).</w:t>
      </w:r>
    </w:p>
    <w:p w14:paraId="377521FB" w14:textId="77777777" w:rsidR="00676882" w:rsidRDefault="00676882" w:rsidP="00676882">
      <w:pPr>
        <w:pStyle w:val="BodyText"/>
      </w:pPr>
      <w:bookmarkStart w:id="619" w:name="_Ref80368284"/>
      <w:bookmarkStart w:id="620" w:name="_Toc80719321"/>
      <w:r w:rsidRPr="00317FC0">
        <w:rPr>
          <w:rStyle w:val="CaptionLabel"/>
        </w:rPr>
        <w:t>Figure </w:t>
      </w:r>
      <w:r w:rsidRPr="00317FC0">
        <w:rPr>
          <w:rStyle w:val="CaptionLabel"/>
        </w:rPr>
        <w:fldChar w:fldCharType="begin"/>
      </w:r>
      <w:r w:rsidRPr="00317FC0">
        <w:rPr>
          <w:rStyle w:val="CaptionLabel"/>
        </w:rPr>
        <w:instrText xml:space="preserve"> STYLEREF 9 \S \* MERGEFORMAT </w:instrText>
      </w:r>
      <w:r w:rsidRPr="00317FC0">
        <w:rPr>
          <w:rStyle w:val="CaptionLabel"/>
        </w:rPr>
        <w:fldChar w:fldCharType="separate"/>
      </w:r>
      <w:r>
        <w:rPr>
          <w:rStyle w:val="CaptionLabel"/>
          <w:noProof/>
        </w:rPr>
        <w:t>F</w:t>
      </w:r>
      <w:r w:rsidRPr="00317FC0">
        <w:rPr>
          <w:rStyle w:val="CaptionLabel"/>
        </w:rPr>
        <w:fldChar w:fldCharType="end"/>
      </w:r>
      <w:r w:rsidRPr="00317FC0">
        <w:rPr>
          <w:rStyle w:val="CaptionLabel"/>
        </w:rPr>
        <w:t>.</w:t>
      </w:r>
      <w:r w:rsidRPr="00317FC0">
        <w:rPr>
          <w:rStyle w:val="CaptionLabel"/>
        </w:rPr>
        <w:fldChar w:fldCharType="begin"/>
      </w:r>
      <w:r w:rsidRPr="00317FC0">
        <w:rPr>
          <w:rStyle w:val="CaptionLabel"/>
        </w:rPr>
        <w:instrText xml:space="preserve"> SEQ Figure_AP \* ARABIC \S 9 \* MERGEFORMAT </w:instrText>
      </w:r>
      <w:r w:rsidRPr="00317FC0">
        <w:rPr>
          <w:rStyle w:val="CaptionLabel"/>
        </w:rPr>
        <w:fldChar w:fldCharType="separate"/>
      </w:r>
      <w:r>
        <w:rPr>
          <w:rStyle w:val="CaptionLabel"/>
          <w:noProof/>
        </w:rPr>
        <w:t>20</w:t>
      </w:r>
      <w:r w:rsidRPr="00317FC0">
        <w:rPr>
          <w:rStyle w:val="CaptionLabel"/>
        </w:rPr>
        <w:fldChar w:fldCharType="end"/>
      </w:r>
      <w:bookmarkEnd w:id="619"/>
      <w:r>
        <w:tab/>
        <w:t>Tenant willingness-to-pay for energy efficiency improvements</w:t>
      </w:r>
      <w:bookmarkEnd w:id="620"/>
    </w:p>
    <w:p w14:paraId="23A5735A" w14:textId="77777777" w:rsidR="00676882" w:rsidRDefault="00676882" w:rsidP="00676882">
      <w:pPr>
        <w:pStyle w:val="BodyText"/>
      </w:pPr>
      <w:r>
        <w:rPr>
          <w:noProof/>
        </w:rPr>
        <w:drawing>
          <wp:inline distT="0" distB="0" distL="0" distR="0" wp14:anchorId="5F27567B" wp14:editId="032DA7CB">
            <wp:extent cx="5029200" cy="2139718"/>
            <wp:effectExtent l="0" t="0" r="0" b="0"/>
            <wp:docPr id="69" name="Picture 69" descr="As per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descr="As per text."/>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5031201" cy="2140569"/>
                    </a:xfrm>
                    <a:prstGeom prst="rect">
                      <a:avLst/>
                    </a:prstGeom>
                    <a:noFill/>
                  </pic:spPr>
                </pic:pic>
              </a:graphicData>
            </a:graphic>
          </wp:inline>
        </w:drawing>
      </w:r>
    </w:p>
    <w:p w14:paraId="1D46FD05" w14:textId="77777777" w:rsidR="00676882" w:rsidRPr="005A25BB" w:rsidRDefault="00676882" w:rsidP="00676882">
      <w:pPr>
        <w:pStyle w:val="BodyText"/>
        <w:keepNext/>
        <w:keepLines/>
        <w:spacing w:after="0" w:line="260" w:lineRule="atLeast"/>
        <w:rPr>
          <w:i/>
          <w:iCs/>
          <w:sz w:val="16"/>
          <w:szCs w:val="16"/>
        </w:rPr>
      </w:pPr>
      <w:r w:rsidRPr="005A25BB">
        <w:rPr>
          <w:i/>
          <w:iCs/>
          <w:sz w:val="16"/>
          <w:szCs w:val="16"/>
        </w:rPr>
        <w:t>Source: ACIL Allen</w:t>
      </w:r>
    </w:p>
    <w:p w14:paraId="47655A92" w14:textId="77777777" w:rsidR="00676882" w:rsidRDefault="00676882" w:rsidP="00676882">
      <w:pPr>
        <w:pStyle w:val="BodyText"/>
      </w:pPr>
    </w:p>
    <w:p w14:paraId="16505DE5" w14:textId="77777777" w:rsidR="00676882" w:rsidRDefault="00676882" w:rsidP="00676882">
      <w:pPr>
        <w:pStyle w:val="BodyText"/>
        <w:sectPr w:rsidR="00676882" w:rsidSect="00F32FCC">
          <w:headerReference w:type="even" r:id="rId168"/>
          <w:footerReference w:type="even" r:id="rId169"/>
          <w:headerReference w:type="first" r:id="rId170"/>
          <w:footerReference w:type="first" r:id="rId171"/>
          <w:pgSz w:w="11906" w:h="16838" w:code="9"/>
          <w:pgMar w:top="1134" w:right="851" w:bottom="1134" w:left="3119" w:header="454" w:footer="374" w:gutter="0"/>
          <w:pgNumType w:start="1" w:chapStyle="9"/>
          <w:cols w:space="708"/>
          <w:docGrid w:linePitch="360"/>
        </w:sectPr>
      </w:pPr>
    </w:p>
    <w:tbl>
      <w:tblPr>
        <w:tblW w:w="10052" w:type="dxa"/>
        <w:tblLayout w:type="fixed"/>
        <w:tblLook w:val="0000" w:firstRow="0" w:lastRow="0" w:firstColumn="0" w:lastColumn="0" w:noHBand="0" w:noVBand="0"/>
      </w:tblPr>
      <w:tblGrid>
        <w:gridCol w:w="10052"/>
      </w:tblGrid>
      <w:tr w:rsidR="00676882" w14:paraId="35386C67" w14:textId="77777777" w:rsidTr="00DF45FA">
        <w:trPr>
          <w:trHeight w:hRule="exact" w:val="140"/>
        </w:trPr>
        <w:tc>
          <w:tcPr>
            <w:tcW w:w="10052" w:type="dxa"/>
            <w:shd w:val="clear" w:color="auto" w:fill="auto"/>
          </w:tcPr>
          <w:p w14:paraId="242EDF47" w14:textId="77777777" w:rsidR="00676882" w:rsidRDefault="00676882" w:rsidP="00DF45FA">
            <w:pPr>
              <w:pStyle w:val="tagcontactsPage-Back"/>
            </w:pPr>
          </w:p>
        </w:tc>
      </w:tr>
      <w:tr w:rsidR="00676882" w14:paraId="1FC64DC5" w14:textId="77777777" w:rsidTr="00DF45FA">
        <w:trPr>
          <w:trHeight w:hRule="exact" w:val="14432"/>
        </w:trPr>
        <w:tc>
          <w:tcPr>
            <w:tcW w:w="10052" w:type="dxa"/>
            <w:shd w:val="clear" w:color="auto" w:fill="auto"/>
            <w:vAlign w:val="bottom"/>
          </w:tcPr>
          <w:tbl>
            <w:tblPr>
              <w:tblW w:w="9836" w:type="dxa"/>
              <w:tblLayout w:type="fixed"/>
              <w:tblLook w:val="0000" w:firstRow="0" w:lastRow="0" w:firstColumn="0" w:lastColumn="0" w:noHBand="0" w:noVBand="0"/>
              <w:tblCaption w:val="ACIL Allen contact details"/>
              <w:tblDescription w:val="ACIL Allen contact details"/>
            </w:tblPr>
            <w:tblGrid>
              <w:gridCol w:w="3278"/>
              <w:gridCol w:w="3279"/>
              <w:gridCol w:w="3279"/>
            </w:tblGrid>
            <w:tr w:rsidR="00676882" w14:paraId="66D35B53" w14:textId="77777777" w:rsidTr="00DF45FA">
              <w:tc>
                <w:tcPr>
                  <w:tcW w:w="3278" w:type="dxa"/>
                  <w:shd w:val="clear" w:color="auto" w:fill="auto"/>
                </w:tcPr>
                <w:p w14:paraId="50A37B71" w14:textId="77777777" w:rsidR="00676882" w:rsidRDefault="00676882" w:rsidP="00DF45FA">
                  <w:pPr>
                    <w:pStyle w:val="CpContactDetails"/>
                  </w:pPr>
                </w:p>
              </w:tc>
              <w:tc>
                <w:tcPr>
                  <w:tcW w:w="3279" w:type="dxa"/>
                  <w:shd w:val="clear" w:color="auto" w:fill="auto"/>
                </w:tcPr>
                <w:p w14:paraId="2AC37797" w14:textId="77777777" w:rsidR="00676882" w:rsidRDefault="00676882" w:rsidP="00DF45FA">
                  <w:pPr>
                    <w:pStyle w:val="CpContactDetails"/>
                  </w:pPr>
                </w:p>
              </w:tc>
              <w:tc>
                <w:tcPr>
                  <w:tcW w:w="3279" w:type="dxa"/>
                  <w:shd w:val="clear" w:color="auto" w:fill="auto"/>
                </w:tcPr>
                <w:p w14:paraId="27CFB805" w14:textId="77777777" w:rsidR="00676882" w:rsidRDefault="00676882" w:rsidP="00DF45FA">
                  <w:pPr>
                    <w:pStyle w:val="CpContactDetails"/>
                  </w:pPr>
                </w:p>
              </w:tc>
            </w:tr>
            <w:tr w:rsidR="00676882" w14:paraId="77F227DC" w14:textId="77777777" w:rsidTr="00DF45FA">
              <w:tc>
                <w:tcPr>
                  <w:tcW w:w="3278" w:type="dxa"/>
                  <w:shd w:val="clear" w:color="auto" w:fill="auto"/>
                  <w:tcMar>
                    <w:bottom w:w="468" w:type="dxa"/>
                  </w:tcMar>
                </w:tcPr>
                <w:p w14:paraId="5563723E" w14:textId="77777777" w:rsidR="00676882" w:rsidRPr="004D166C" w:rsidRDefault="00676882" w:rsidP="00DF45FA">
                  <w:pPr>
                    <w:pStyle w:val="CpContactDetailsHeading"/>
                    <w:rPr>
                      <w:color w:val="FFFFFF" w:themeColor="background1"/>
                    </w:rPr>
                  </w:pPr>
                  <w:r w:rsidRPr="004D166C">
                    <w:rPr>
                      <w:color w:val="FFFFFF" w:themeColor="background1"/>
                    </w:rPr>
                    <w:t>Melbourne</w:t>
                  </w:r>
                </w:p>
                <w:p w14:paraId="63228E5C" w14:textId="77777777" w:rsidR="00676882" w:rsidRPr="004E4EFE" w:rsidRDefault="00676882" w:rsidP="00DF45FA">
                  <w:pPr>
                    <w:pStyle w:val="CpContactDetails"/>
                    <w:rPr>
                      <w:color w:val="FFFFFF" w:themeColor="background1"/>
                    </w:rPr>
                  </w:pPr>
                  <w:r w:rsidRPr="004E4EFE">
                    <w:rPr>
                      <w:color w:val="FFFFFF" w:themeColor="background1"/>
                    </w:rPr>
                    <w:t>Suite 4, Level 19, North Tower</w:t>
                  </w:r>
                </w:p>
                <w:p w14:paraId="3FBC5775" w14:textId="77777777" w:rsidR="00676882" w:rsidRPr="004D166C" w:rsidRDefault="00676882" w:rsidP="00DF45FA">
                  <w:pPr>
                    <w:pStyle w:val="CpContactDetails"/>
                    <w:rPr>
                      <w:color w:val="FFFFFF" w:themeColor="background1"/>
                    </w:rPr>
                  </w:pPr>
                  <w:r w:rsidRPr="004E4EFE">
                    <w:rPr>
                      <w:color w:val="FFFFFF" w:themeColor="background1"/>
                    </w:rPr>
                    <w:t xml:space="preserve">80 Collins Street </w:t>
                  </w:r>
                  <w:r w:rsidRPr="004D166C">
                    <w:rPr>
                      <w:color w:val="FFFFFF" w:themeColor="background1"/>
                    </w:rPr>
                    <w:t>Melbourne VIC 3000 Australia</w:t>
                  </w:r>
                </w:p>
                <w:p w14:paraId="3773FCE5" w14:textId="77777777" w:rsidR="00676882" w:rsidRPr="004D166C" w:rsidRDefault="00676882" w:rsidP="00DF45FA">
                  <w:pPr>
                    <w:pStyle w:val="CpContactDetails"/>
                    <w:rPr>
                      <w:color w:val="FFFFFF" w:themeColor="background1"/>
                    </w:rPr>
                  </w:pPr>
                  <w:r w:rsidRPr="004D166C">
                    <w:rPr>
                      <w:color w:val="FFFFFF" w:themeColor="background1"/>
                    </w:rPr>
                    <w:t>+61 3 8650 6000</w:t>
                  </w:r>
                </w:p>
                <w:p w14:paraId="77B9AB6A" w14:textId="77777777" w:rsidR="00676882" w:rsidRPr="004D166C" w:rsidRDefault="00676882" w:rsidP="00DF45FA">
                  <w:pPr>
                    <w:pStyle w:val="CpContactDetails"/>
                    <w:rPr>
                      <w:color w:val="FFFFFF" w:themeColor="background1"/>
                    </w:rPr>
                  </w:pPr>
                </w:p>
                <w:p w14:paraId="28F1F3A0" w14:textId="77777777" w:rsidR="00676882" w:rsidRPr="004D166C" w:rsidRDefault="00676882" w:rsidP="00DF45FA">
                  <w:pPr>
                    <w:pStyle w:val="CpContactDetails"/>
                    <w:rPr>
                      <w:color w:val="FFFFFF" w:themeColor="background1"/>
                    </w:rPr>
                  </w:pPr>
                </w:p>
                <w:p w14:paraId="651C0D2D" w14:textId="77777777" w:rsidR="00676882" w:rsidRPr="004D166C" w:rsidRDefault="00676882" w:rsidP="00DF45FA">
                  <w:pPr>
                    <w:pStyle w:val="CpContactDetailsHeading"/>
                    <w:rPr>
                      <w:color w:val="FFFFFF" w:themeColor="background1"/>
                    </w:rPr>
                  </w:pPr>
                  <w:r w:rsidRPr="004D166C">
                    <w:rPr>
                      <w:color w:val="FFFFFF" w:themeColor="background1"/>
                    </w:rPr>
                    <w:t>Canberra</w:t>
                  </w:r>
                </w:p>
                <w:p w14:paraId="00325F34" w14:textId="77777777" w:rsidR="00676882" w:rsidRPr="004D166C" w:rsidRDefault="00676882" w:rsidP="00DF45FA">
                  <w:pPr>
                    <w:pStyle w:val="CpContactDetails"/>
                    <w:rPr>
                      <w:color w:val="FFFFFF" w:themeColor="background1"/>
                    </w:rPr>
                  </w:pPr>
                  <w:r w:rsidRPr="004D166C">
                    <w:rPr>
                      <w:color w:val="FFFFFF" w:themeColor="background1"/>
                    </w:rPr>
                    <w:t>Level 6, 54 Marcus Clarke Street</w:t>
                  </w:r>
                </w:p>
                <w:p w14:paraId="277AF7ED" w14:textId="77777777" w:rsidR="00676882" w:rsidRPr="004D166C" w:rsidRDefault="00676882" w:rsidP="00DF45FA">
                  <w:pPr>
                    <w:pStyle w:val="CpContactDetails"/>
                    <w:rPr>
                      <w:color w:val="FFFFFF" w:themeColor="background1"/>
                    </w:rPr>
                  </w:pPr>
                  <w:r w:rsidRPr="004D166C">
                    <w:rPr>
                      <w:color w:val="FFFFFF" w:themeColor="background1"/>
                    </w:rPr>
                    <w:t>Canberra ACT 2601 Australia</w:t>
                  </w:r>
                </w:p>
                <w:p w14:paraId="3386151E" w14:textId="77777777" w:rsidR="00676882" w:rsidRPr="004D166C" w:rsidRDefault="00676882" w:rsidP="00DF45FA">
                  <w:pPr>
                    <w:pStyle w:val="CpContactDetails"/>
                    <w:rPr>
                      <w:color w:val="FFFFFF" w:themeColor="background1"/>
                    </w:rPr>
                  </w:pPr>
                  <w:r w:rsidRPr="004D166C">
                    <w:rPr>
                      <w:color w:val="FFFFFF" w:themeColor="background1"/>
                    </w:rPr>
                    <w:t>+61 2 6103 8200</w:t>
                  </w:r>
                </w:p>
              </w:tc>
              <w:tc>
                <w:tcPr>
                  <w:tcW w:w="3279" w:type="dxa"/>
                  <w:shd w:val="clear" w:color="auto" w:fill="auto"/>
                </w:tcPr>
                <w:p w14:paraId="39E4F5D8" w14:textId="77777777" w:rsidR="00676882" w:rsidRPr="004D166C" w:rsidRDefault="00676882" w:rsidP="00DF45FA">
                  <w:pPr>
                    <w:pStyle w:val="CpContactDetailsHeading"/>
                    <w:rPr>
                      <w:color w:val="FFFFFF" w:themeColor="background1"/>
                    </w:rPr>
                  </w:pPr>
                  <w:r w:rsidRPr="004D166C">
                    <w:rPr>
                      <w:color w:val="FFFFFF" w:themeColor="background1"/>
                    </w:rPr>
                    <w:t>Sydney</w:t>
                  </w:r>
                </w:p>
                <w:p w14:paraId="1FB8200F" w14:textId="77777777" w:rsidR="00676882" w:rsidRPr="004D166C" w:rsidRDefault="00676882" w:rsidP="00DF45FA">
                  <w:pPr>
                    <w:pStyle w:val="CpContactDetails"/>
                    <w:rPr>
                      <w:color w:val="FFFFFF" w:themeColor="background1"/>
                    </w:rPr>
                  </w:pPr>
                  <w:r w:rsidRPr="004D166C">
                    <w:rPr>
                      <w:color w:val="FFFFFF" w:themeColor="background1"/>
                    </w:rPr>
                    <w:t>Level 9, 50 Pitt Street</w:t>
                  </w:r>
                </w:p>
                <w:p w14:paraId="75B2A8F3" w14:textId="77777777" w:rsidR="00676882" w:rsidRPr="004D166C" w:rsidRDefault="00676882" w:rsidP="00DF45FA">
                  <w:pPr>
                    <w:pStyle w:val="CpContactDetails"/>
                    <w:rPr>
                      <w:color w:val="FFFFFF" w:themeColor="background1"/>
                    </w:rPr>
                  </w:pPr>
                  <w:r w:rsidRPr="004D166C">
                    <w:rPr>
                      <w:color w:val="FFFFFF" w:themeColor="background1"/>
                    </w:rPr>
                    <w:t>Sydney NSW 2000 Australia</w:t>
                  </w:r>
                </w:p>
                <w:p w14:paraId="620879BF" w14:textId="77777777" w:rsidR="00676882" w:rsidRPr="004D166C" w:rsidRDefault="00676882" w:rsidP="00DF45FA">
                  <w:pPr>
                    <w:pStyle w:val="CpContactDetails"/>
                    <w:rPr>
                      <w:color w:val="FFFFFF" w:themeColor="background1"/>
                    </w:rPr>
                  </w:pPr>
                  <w:r w:rsidRPr="004D166C">
                    <w:rPr>
                      <w:color w:val="FFFFFF" w:themeColor="background1"/>
                    </w:rPr>
                    <w:t>+61 2 8272 5100</w:t>
                  </w:r>
                </w:p>
                <w:p w14:paraId="7A337DCF" w14:textId="77777777" w:rsidR="00676882" w:rsidRPr="004D166C" w:rsidRDefault="00676882" w:rsidP="00DF45FA">
                  <w:pPr>
                    <w:pStyle w:val="CpContactDetails"/>
                    <w:rPr>
                      <w:color w:val="FFFFFF" w:themeColor="background1"/>
                    </w:rPr>
                  </w:pPr>
                </w:p>
                <w:p w14:paraId="246E5DD8" w14:textId="77777777" w:rsidR="00676882" w:rsidRPr="004D166C" w:rsidRDefault="00676882" w:rsidP="00DF45FA">
                  <w:pPr>
                    <w:pStyle w:val="CpContactDetails"/>
                    <w:rPr>
                      <w:color w:val="FFFFFF" w:themeColor="background1"/>
                    </w:rPr>
                  </w:pPr>
                </w:p>
                <w:p w14:paraId="3912F3D2" w14:textId="77777777" w:rsidR="00676882" w:rsidRPr="004D166C" w:rsidRDefault="00676882" w:rsidP="00DF45FA">
                  <w:pPr>
                    <w:pStyle w:val="CpContactDetailsHeading"/>
                    <w:rPr>
                      <w:color w:val="FFFFFF" w:themeColor="background1"/>
                    </w:rPr>
                  </w:pPr>
                  <w:r w:rsidRPr="004D166C">
                    <w:rPr>
                      <w:color w:val="FFFFFF" w:themeColor="background1"/>
                    </w:rPr>
                    <w:t>Perth</w:t>
                  </w:r>
                </w:p>
                <w:p w14:paraId="27209CA7" w14:textId="77777777" w:rsidR="00676882" w:rsidRPr="004D166C" w:rsidRDefault="00676882" w:rsidP="00DF45FA">
                  <w:pPr>
                    <w:pStyle w:val="CpContactDetails"/>
                    <w:rPr>
                      <w:color w:val="FFFFFF" w:themeColor="background1"/>
                    </w:rPr>
                  </w:pPr>
                  <w:r w:rsidRPr="004D166C">
                    <w:rPr>
                      <w:color w:val="FFFFFF" w:themeColor="background1"/>
                    </w:rPr>
                    <w:t>Level 12, 28 The Esplanade</w:t>
                  </w:r>
                </w:p>
                <w:p w14:paraId="29267295" w14:textId="77777777" w:rsidR="00676882" w:rsidRPr="004D166C" w:rsidRDefault="00676882" w:rsidP="00DF45FA">
                  <w:pPr>
                    <w:pStyle w:val="CpContactDetails"/>
                    <w:rPr>
                      <w:color w:val="FFFFFF" w:themeColor="background1"/>
                    </w:rPr>
                  </w:pPr>
                  <w:r w:rsidRPr="004D166C">
                    <w:rPr>
                      <w:color w:val="FFFFFF" w:themeColor="background1"/>
                    </w:rPr>
                    <w:t>Perth WA 6000 Australia</w:t>
                  </w:r>
                </w:p>
                <w:p w14:paraId="430695A5" w14:textId="77777777" w:rsidR="00676882" w:rsidRPr="004D166C" w:rsidRDefault="00676882" w:rsidP="00DF45FA">
                  <w:pPr>
                    <w:pStyle w:val="CpContactDetails"/>
                    <w:rPr>
                      <w:color w:val="FFFFFF" w:themeColor="background1"/>
                    </w:rPr>
                  </w:pPr>
                  <w:r w:rsidRPr="004D166C">
                    <w:rPr>
                      <w:color w:val="FFFFFF" w:themeColor="background1"/>
                    </w:rPr>
                    <w:t>+61 8 9449 9600</w:t>
                  </w:r>
                </w:p>
              </w:tc>
              <w:tc>
                <w:tcPr>
                  <w:tcW w:w="3279" w:type="dxa"/>
                  <w:shd w:val="clear" w:color="auto" w:fill="auto"/>
                </w:tcPr>
                <w:p w14:paraId="6EA7BAC6" w14:textId="77777777" w:rsidR="00676882" w:rsidRPr="004D166C" w:rsidRDefault="00676882" w:rsidP="00DF45FA">
                  <w:pPr>
                    <w:pStyle w:val="CpContactDetailsHeading"/>
                    <w:rPr>
                      <w:color w:val="FFFFFF" w:themeColor="background1"/>
                    </w:rPr>
                  </w:pPr>
                  <w:r w:rsidRPr="004D166C">
                    <w:rPr>
                      <w:color w:val="FFFFFF" w:themeColor="background1"/>
                    </w:rPr>
                    <w:t>Brisbane</w:t>
                  </w:r>
                </w:p>
                <w:p w14:paraId="33B523FC" w14:textId="77777777" w:rsidR="00676882" w:rsidRPr="004D166C" w:rsidRDefault="00676882" w:rsidP="00DF45FA">
                  <w:pPr>
                    <w:pStyle w:val="CpContactDetails"/>
                    <w:rPr>
                      <w:color w:val="FFFFFF" w:themeColor="background1"/>
                    </w:rPr>
                  </w:pPr>
                  <w:r w:rsidRPr="004D166C">
                    <w:rPr>
                      <w:color w:val="FFFFFF" w:themeColor="background1"/>
                    </w:rPr>
                    <w:t>Level 15, 127 Creek Street</w:t>
                  </w:r>
                </w:p>
                <w:p w14:paraId="47323D4F" w14:textId="77777777" w:rsidR="00676882" w:rsidRPr="004D166C" w:rsidRDefault="00676882" w:rsidP="00DF45FA">
                  <w:pPr>
                    <w:pStyle w:val="CpContactDetails"/>
                    <w:rPr>
                      <w:color w:val="FFFFFF" w:themeColor="background1"/>
                    </w:rPr>
                  </w:pPr>
                  <w:r w:rsidRPr="004D166C">
                    <w:rPr>
                      <w:color w:val="FFFFFF" w:themeColor="background1"/>
                    </w:rPr>
                    <w:t>Brisbane QLD 4000 Australia</w:t>
                  </w:r>
                </w:p>
                <w:p w14:paraId="6D66D377" w14:textId="77777777" w:rsidR="00676882" w:rsidRPr="004D166C" w:rsidRDefault="00676882" w:rsidP="00DF45FA">
                  <w:pPr>
                    <w:pStyle w:val="CpContactDetails"/>
                    <w:rPr>
                      <w:color w:val="FFFFFF" w:themeColor="background1"/>
                    </w:rPr>
                  </w:pPr>
                  <w:r w:rsidRPr="004D166C">
                    <w:rPr>
                      <w:color w:val="FFFFFF" w:themeColor="background1"/>
                    </w:rPr>
                    <w:t>+61 7 3009 8700</w:t>
                  </w:r>
                </w:p>
                <w:p w14:paraId="1CCB7F48" w14:textId="77777777" w:rsidR="00676882" w:rsidRPr="004D166C" w:rsidRDefault="00676882" w:rsidP="00DF45FA">
                  <w:pPr>
                    <w:pStyle w:val="CpContactDetails"/>
                    <w:rPr>
                      <w:color w:val="FFFFFF" w:themeColor="background1"/>
                    </w:rPr>
                  </w:pPr>
                </w:p>
                <w:p w14:paraId="45DEBB28" w14:textId="77777777" w:rsidR="00676882" w:rsidRPr="004D166C" w:rsidRDefault="00676882" w:rsidP="00DF45FA">
                  <w:pPr>
                    <w:pStyle w:val="CpContactDetails"/>
                    <w:rPr>
                      <w:color w:val="FFFFFF" w:themeColor="background1"/>
                    </w:rPr>
                  </w:pPr>
                </w:p>
                <w:p w14:paraId="0CBECABF" w14:textId="77777777" w:rsidR="00676882" w:rsidRPr="004D166C" w:rsidRDefault="00676882" w:rsidP="00DF45FA">
                  <w:pPr>
                    <w:pStyle w:val="CpContactDetailsHeading"/>
                    <w:rPr>
                      <w:color w:val="FFFFFF" w:themeColor="background1"/>
                    </w:rPr>
                  </w:pPr>
                  <w:r w:rsidRPr="004D166C">
                    <w:rPr>
                      <w:color w:val="FFFFFF" w:themeColor="background1"/>
                    </w:rPr>
                    <w:t>Adelaide</w:t>
                  </w:r>
                </w:p>
                <w:p w14:paraId="0E74B35E" w14:textId="77777777" w:rsidR="00676882" w:rsidRPr="004D166C" w:rsidRDefault="00676882" w:rsidP="00DF45FA">
                  <w:pPr>
                    <w:pStyle w:val="CpContactDetails"/>
                    <w:rPr>
                      <w:color w:val="FFFFFF" w:themeColor="background1"/>
                    </w:rPr>
                  </w:pPr>
                  <w:r w:rsidRPr="004D166C">
                    <w:rPr>
                      <w:color w:val="FFFFFF" w:themeColor="background1"/>
                    </w:rPr>
                    <w:t>167 Flinders Street</w:t>
                  </w:r>
                </w:p>
                <w:p w14:paraId="2E11D68C" w14:textId="77777777" w:rsidR="00676882" w:rsidRPr="004D166C" w:rsidRDefault="00676882" w:rsidP="00DF45FA">
                  <w:pPr>
                    <w:pStyle w:val="CpContactDetails"/>
                    <w:rPr>
                      <w:color w:val="FFFFFF" w:themeColor="background1"/>
                    </w:rPr>
                  </w:pPr>
                  <w:r w:rsidRPr="004D166C">
                    <w:rPr>
                      <w:color w:val="FFFFFF" w:themeColor="background1"/>
                    </w:rPr>
                    <w:t>Adelaide SA 5000 Australia</w:t>
                  </w:r>
                </w:p>
                <w:p w14:paraId="7D607194" w14:textId="77777777" w:rsidR="00676882" w:rsidRPr="004D166C" w:rsidRDefault="00676882" w:rsidP="00DF45FA">
                  <w:pPr>
                    <w:pStyle w:val="CpContactDetails"/>
                    <w:rPr>
                      <w:color w:val="FFFFFF" w:themeColor="background1"/>
                    </w:rPr>
                  </w:pPr>
                  <w:r w:rsidRPr="004D166C">
                    <w:rPr>
                      <w:color w:val="FFFFFF" w:themeColor="background1"/>
                    </w:rPr>
                    <w:t>+61 8 8122 4965</w:t>
                  </w:r>
                </w:p>
              </w:tc>
            </w:tr>
            <w:tr w:rsidR="00676882" w14:paraId="3DEA57A9" w14:textId="77777777" w:rsidTr="00DF45FA">
              <w:tc>
                <w:tcPr>
                  <w:tcW w:w="3278" w:type="dxa"/>
                  <w:shd w:val="clear" w:color="auto" w:fill="auto"/>
                  <w:tcMar>
                    <w:bottom w:w="376" w:type="dxa"/>
                  </w:tcMar>
                </w:tcPr>
                <w:p w14:paraId="1FF00EBF" w14:textId="77777777" w:rsidR="00676882" w:rsidRPr="004D166C" w:rsidRDefault="00676882" w:rsidP="00DF45FA">
                  <w:pPr>
                    <w:pStyle w:val="CpContactDetails"/>
                    <w:rPr>
                      <w:color w:val="FFFFFF" w:themeColor="background1"/>
                    </w:rPr>
                  </w:pPr>
                  <w:r w:rsidRPr="004D166C">
                    <w:rPr>
                      <w:color w:val="FFFFFF" w:themeColor="background1"/>
                    </w:rPr>
                    <w:t>ACIL Allen Pty Ltd</w:t>
                  </w:r>
                </w:p>
                <w:p w14:paraId="5772778C" w14:textId="77777777" w:rsidR="00676882" w:rsidRPr="004D166C" w:rsidRDefault="00676882" w:rsidP="00DF45FA">
                  <w:pPr>
                    <w:pStyle w:val="CpContactDetails"/>
                    <w:rPr>
                      <w:color w:val="FFFFFF" w:themeColor="background1"/>
                    </w:rPr>
                  </w:pPr>
                  <w:r w:rsidRPr="004D166C">
                    <w:rPr>
                      <w:color w:val="FFFFFF" w:themeColor="background1"/>
                    </w:rPr>
                    <w:t>ABN 68 102 652 148</w:t>
                  </w:r>
                </w:p>
              </w:tc>
              <w:tc>
                <w:tcPr>
                  <w:tcW w:w="3279" w:type="dxa"/>
                  <w:shd w:val="clear" w:color="auto" w:fill="auto"/>
                </w:tcPr>
                <w:p w14:paraId="5D611E9C" w14:textId="77777777" w:rsidR="00676882" w:rsidRPr="004D166C" w:rsidRDefault="00676882" w:rsidP="00DF45FA">
                  <w:pPr>
                    <w:pStyle w:val="CpContactDetails"/>
                    <w:rPr>
                      <w:color w:val="FFFFFF" w:themeColor="background1"/>
                    </w:rPr>
                  </w:pPr>
                </w:p>
              </w:tc>
              <w:tc>
                <w:tcPr>
                  <w:tcW w:w="3279" w:type="dxa"/>
                  <w:shd w:val="clear" w:color="auto" w:fill="auto"/>
                </w:tcPr>
                <w:p w14:paraId="71E01DF6" w14:textId="77777777" w:rsidR="00676882" w:rsidRPr="004D166C" w:rsidRDefault="00676882" w:rsidP="00DF45FA">
                  <w:pPr>
                    <w:pStyle w:val="CpContactDetails"/>
                    <w:rPr>
                      <w:color w:val="FFFFFF" w:themeColor="background1"/>
                    </w:rPr>
                  </w:pPr>
                </w:p>
              </w:tc>
            </w:tr>
            <w:tr w:rsidR="00676882" w14:paraId="202F5F77" w14:textId="77777777" w:rsidTr="00DF45FA">
              <w:tc>
                <w:tcPr>
                  <w:tcW w:w="3278" w:type="dxa"/>
                  <w:shd w:val="clear" w:color="auto" w:fill="auto"/>
                </w:tcPr>
                <w:p w14:paraId="6231BA72" w14:textId="77777777" w:rsidR="00676882" w:rsidRPr="004D166C" w:rsidRDefault="00676882" w:rsidP="00DF45FA">
                  <w:pPr>
                    <w:pStyle w:val="CpContactDetailsWeb"/>
                    <w:rPr>
                      <w:color w:val="FFFFFF" w:themeColor="background1"/>
                    </w:rPr>
                  </w:pPr>
                  <w:r w:rsidRPr="004D166C">
                    <w:rPr>
                      <w:color w:val="FFFFFF" w:themeColor="background1"/>
                    </w:rPr>
                    <w:t>acilallen.com.au</w:t>
                  </w:r>
                </w:p>
              </w:tc>
              <w:tc>
                <w:tcPr>
                  <w:tcW w:w="3279" w:type="dxa"/>
                  <w:shd w:val="clear" w:color="auto" w:fill="auto"/>
                </w:tcPr>
                <w:p w14:paraId="28CA8F44" w14:textId="77777777" w:rsidR="00676882" w:rsidRPr="004D166C" w:rsidRDefault="00676882" w:rsidP="00DF45FA">
                  <w:pPr>
                    <w:pStyle w:val="CpContactDetails"/>
                    <w:rPr>
                      <w:color w:val="FFFFFF" w:themeColor="background1"/>
                    </w:rPr>
                  </w:pPr>
                </w:p>
              </w:tc>
              <w:tc>
                <w:tcPr>
                  <w:tcW w:w="3279" w:type="dxa"/>
                  <w:shd w:val="clear" w:color="auto" w:fill="auto"/>
                </w:tcPr>
                <w:p w14:paraId="7DE6F419" w14:textId="77777777" w:rsidR="00676882" w:rsidRPr="004D166C" w:rsidRDefault="00676882" w:rsidP="00DF45FA">
                  <w:pPr>
                    <w:pStyle w:val="CpContactDetails"/>
                    <w:rPr>
                      <w:color w:val="FFFFFF" w:themeColor="background1"/>
                    </w:rPr>
                  </w:pPr>
                </w:p>
              </w:tc>
            </w:tr>
          </w:tbl>
          <w:p w14:paraId="546E1FC9" w14:textId="77777777" w:rsidR="00676882" w:rsidRDefault="00676882" w:rsidP="00DF45FA">
            <w:pPr>
              <w:pStyle w:val="BodyText"/>
            </w:pPr>
          </w:p>
        </w:tc>
      </w:tr>
    </w:tbl>
    <w:p w14:paraId="15A239B0" w14:textId="77777777" w:rsidR="00676882" w:rsidRPr="008D7430" w:rsidRDefault="00676882" w:rsidP="00676882">
      <w:pPr>
        <w:pStyle w:val="BodyText"/>
      </w:pPr>
      <w:r>
        <w:rPr>
          <w:noProof/>
        </w:rPr>
        <w:drawing>
          <wp:anchor distT="0" distB="0" distL="114300" distR="114300" simplePos="0" relativeHeight="251677696" behindDoc="1" locked="0" layoutInCell="1" allowOverlap="1" wp14:anchorId="098ADAEF" wp14:editId="2EFDC18B">
            <wp:simplePos x="0" y="0"/>
            <wp:positionH relativeFrom="page">
              <wp:align>right</wp:align>
            </wp:positionH>
            <wp:positionV relativeFrom="paragraph">
              <wp:posOffset>-9995535</wp:posOffset>
            </wp:positionV>
            <wp:extent cx="7559675" cy="10693400"/>
            <wp:effectExtent l="0" t="0" r="3175" b="0"/>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7559675" cy="10693400"/>
                    </a:xfrm>
                    <a:prstGeom prst="rect">
                      <a:avLst/>
                    </a:prstGeom>
                    <a:noFill/>
                  </pic:spPr>
                </pic:pic>
              </a:graphicData>
            </a:graphic>
            <wp14:sizeRelH relativeFrom="page">
              <wp14:pctWidth>0</wp14:pctWidth>
            </wp14:sizeRelH>
            <wp14:sizeRelV relativeFrom="page">
              <wp14:pctHeight>0</wp14:pctHeight>
            </wp14:sizeRelV>
          </wp:anchor>
        </w:drawing>
      </w:r>
    </w:p>
    <w:sectPr w:rsidR="00676882" w:rsidRPr="008D7430" w:rsidSect="00B85A67">
      <w:headerReference w:type="even" r:id="rId173"/>
      <w:headerReference w:type="default" r:id="rId174"/>
      <w:footerReference w:type="even" r:id="rId175"/>
      <w:footerReference w:type="default" r:id="rId176"/>
      <w:headerReference w:type="first" r:id="rId177"/>
      <w:footerReference w:type="first" r:id="rId178"/>
      <w:pgSz w:w="11906" w:h="16838" w:code="9"/>
      <w:pgMar w:top="1134" w:right="720" w:bottom="518" w:left="1134" w:header="454" w:footer="28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FA64AA" w14:textId="77777777" w:rsidR="00676882" w:rsidRDefault="00676882" w:rsidP="00676882">
      <w:pPr>
        <w:spacing w:before="0" w:after="0" w:line="240" w:lineRule="auto"/>
      </w:pPr>
      <w:r>
        <w:separator/>
      </w:r>
    </w:p>
  </w:endnote>
  <w:endnote w:type="continuationSeparator" w:id="0">
    <w:p w14:paraId="5BD4AC86" w14:textId="77777777" w:rsidR="00676882" w:rsidRDefault="00676882" w:rsidP="0067688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Yu Gothic Medium">
    <w:panose1 w:val="020B05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sig w:usb0="00000003" w:usb1="00000000" w:usb2="00000000" w:usb3="00000000" w:csb0="00000001" w:csb1="00000000"/>
  </w:font>
  <w:font w:name="HelveticaNeueLT Std Lt Cn">
    <w:panose1 w:val="00000000000000000000"/>
    <w:charset w:val="00"/>
    <w:family w:val="swiss"/>
    <w:notTrueType/>
    <w:pitch w:val="variable"/>
    <w:sig w:usb0="800000AF" w:usb1="4000204A" w:usb2="00000000" w:usb3="00000000" w:csb0="00000001"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panose1 w:val="00000000000000000000"/>
    <w:charset w:val="00"/>
    <w:family w:val="modern"/>
    <w:notTrueType/>
    <w:pitch w:val="variable"/>
    <w:sig w:usb0="A000002F" w:usb1="40000048" w:usb2="00000000" w:usb3="00000000" w:csb0="00000111" w:csb1="00000000"/>
  </w:font>
  <w:font w:name="Didot LT Std Headline">
    <w:altName w:val="Calibri"/>
    <w:panose1 w:val="00000000000000000000"/>
    <w:charset w:val="00"/>
    <w:family w:val="modern"/>
    <w:notTrueType/>
    <w:pitch w:val="variable"/>
    <w:sig w:usb0="800000AF" w:usb1="5000204A" w:usb2="00000000" w:usb3="00000000" w:csb0="00000001" w:csb1="00000000"/>
  </w:font>
  <w:font w:name="HelveticaNeueLT Std Cn">
    <w:altName w:val="Arial"/>
    <w:panose1 w:val="00000000000000000000"/>
    <w:charset w:val="00"/>
    <w:family w:val="swiss"/>
    <w:notTrueType/>
    <w:pitch w:val="variable"/>
    <w:sig w:usb0="800000AF" w:usb1="4000204A" w:usb2="00000000" w:usb3="00000000" w:csb0="00000001" w:csb1="00000000"/>
  </w:font>
  <w:font w:name="Novecento Book">
    <w:altName w:val="Calibri"/>
    <w:panose1 w:val="00000000000000000000"/>
    <w:charset w:val="00"/>
    <w:family w:val="modern"/>
    <w:notTrueType/>
    <w:pitch w:val="variable"/>
    <w:sig w:usb0="00000007" w:usb1="00000000" w:usb2="00000000" w:usb3="00000000" w:csb0="00000093" w:csb1="00000000"/>
  </w:font>
  <w:font w:name="PMingLiU">
    <w:altName w:val="新細明體"/>
    <w:panose1 w:val="02010601000101010101"/>
    <w:charset w:val="88"/>
    <w:family w:val="roman"/>
    <w:pitch w:val="variable"/>
    <w:sig w:usb0="A00002FF" w:usb1="28CFFCFA" w:usb2="00000016" w:usb3="00000000" w:csb0="00100001" w:csb1="00000000"/>
  </w:font>
  <w:font w:name="Myriad Pro">
    <w:altName w:val="Segoe UI"/>
    <w:panose1 w:val="00000000000000000000"/>
    <w:charset w:val="00"/>
    <w:family w:val="swiss"/>
    <w:notTrueType/>
    <w:pitch w:val="default"/>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02356" w14:textId="77777777" w:rsidR="00676882" w:rsidRDefault="006768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35867" w14:textId="77777777" w:rsidR="00676882" w:rsidRPr="00DB32A2" w:rsidRDefault="00676882" w:rsidP="00DB32A2">
    <w:pPr>
      <w:pStyle w:val="Footer"/>
      <w:jc w:val="center"/>
      <w:rPr>
        <w:rFonts w:ascii="Arial" w:hAnsi="Arial"/>
        <w:sz w:val="14"/>
      </w:rPr>
    </w:pPr>
    <w:r w:rsidRPr="00DB32A2">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6EA5F" w14:textId="77777777" w:rsidR="00676882" w:rsidRPr="00234274" w:rsidRDefault="00676882" w:rsidP="00234274">
    <w:pPr>
      <w:pStyle w:val="Footer"/>
      <w:jc w:val="center"/>
      <w:rPr>
        <w:rFonts w:ascii="Arial" w:hAnsi="Arial"/>
        <w:sz w:val="14"/>
      </w:rPr>
    </w:pPr>
    <w:r w:rsidRPr="00234274">
      <w:rPr>
        <w:rFonts w:ascii="Arial" w:hAnsi="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1F423" w14:textId="77777777" w:rsidR="00676882" w:rsidRPr="008D7430" w:rsidRDefault="00676882" w:rsidP="008D743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B0C5B" w14:textId="77777777" w:rsidR="00676882" w:rsidRPr="00234274" w:rsidRDefault="00676882" w:rsidP="00234274">
    <w:pPr>
      <w:pStyle w:val="Footer"/>
      <w:ind w:left="-2410"/>
      <w:jc w:val="center"/>
      <w:rPr>
        <w:rFonts w:ascii="Arial" w:hAnsi="Arial"/>
        <w:sz w:val="14"/>
      </w:rPr>
    </w:pPr>
    <w:r w:rsidRPr="00234274">
      <w:rPr>
        <w:rFonts w:ascii="Arial" w:hAnsi="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DDE7A" w14:textId="77777777" w:rsidR="00676882" w:rsidRPr="008D7430" w:rsidRDefault="00676882" w:rsidP="008D7430">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F3D41" w14:textId="77777777" w:rsidR="00676882" w:rsidRDefault="00676882">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3EE87" w14:textId="7B82AD12" w:rsidR="00676882" w:rsidRDefault="00676882" w:rsidP="00F32FCC">
    <w:pPr>
      <w:pStyle w:val="Footer"/>
      <w:ind w:left="-2268" w:right="300"/>
      <w:jc w:val="right"/>
      <w:rPr>
        <w:rFonts w:eastAsia="Yu Gothic Medium"/>
        <w:noProof/>
        <w:color w:val="959495"/>
        <w:sz w:val="25"/>
      </w:rPr>
    </w:pPr>
    <w:r>
      <w:fldChar w:fldCharType="begin"/>
    </w:r>
    <w:r>
      <w:instrText xml:space="preserve"> STYLEREF "Cp Title" \* MERGEFORMAT </w:instrText>
    </w:r>
    <w:r>
      <w:fldChar w:fldCharType="separate"/>
    </w:r>
    <w:r w:rsidRPr="00676882">
      <w:rPr>
        <w:b/>
        <w:bCs/>
        <w:noProof/>
        <w:lang w:val="en-US"/>
      </w:rPr>
      <w:t>Minimum standards</w:t>
    </w:r>
    <w:r w:rsidRPr="00676882">
      <w:rPr>
        <w:b/>
        <w:noProof/>
      </w:rPr>
      <w:t xml:space="preserve"> for residential rental properties</w:t>
    </w:r>
    <w:r>
      <w:rPr>
        <w:b/>
        <w:noProof/>
      </w:rPr>
      <w:fldChar w:fldCharType="end"/>
    </w:r>
    <w:r>
      <w:t xml:space="preserve"> </w:t>
    </w:r>
    <w:r>
      <w:fldChar w:fldCharType="begin"/>
    </w:r>
    <w:r>
      <w:instrText xml:space="preserve"> STYLEREF "Cp SubTitle" \* MERGEFORMAT </w:instrText>
    </w:r>
    <w:r>
      <w:fldChar w:fldCharType="separate"/>
    </w:r>
    <w:r>
      <w:rPr>
        <w:noProof/>
      </w:rPr>
      <w:t>Regulation Impact Statement</w:t>
    </w:r>
    <w:r>
      <w:rPr>
        <w:noProof/>
      </w:rPr>
      <w:fldChar w:fldCharType="end"/>
    </w:r>
    <w:r>
      <w:rPr>
        <w:b/>
        <w:bCs/>
        <w:noProof/>
        <w:lang w:val="en-US"/>
      </w:rPr>
      <w:t xml:space="preserve">                 </w:t>
    </w:r>
    <w:r w:rsidRPr="006B0263">
      <w:rPr>
        <w:rFonts w:eastAsia="Yu Gothic Medium"/>
        <w:noProof/>
        <w:color w:val="959495"/>
        <w:sz w:val="25"/>
      </w:rPr>
      <w:fldChar w:fldCharType="begin"/>
    </w:r>
    <w:r w:rsidRPr="006B0263">
      <w:rPr>
        <w:rFonts w:eastAsia="Yu Gothic Medium"/>
        <w:noProof/>
        <w:color w:val="959495"/>
        <w:sz w:val="25"/>
      </w:rPr>
      <w:instrText xml:space="preserve"> PAGE  \* MERGEFORMAT </w:instrText>
    </w:r>
    <w:r w:rsidRPr="006B0263">
      <w:rPr>
        <w:rFonts w:eastAsia="Yu Gothic Medium"/>
        <w:noProof/>
        <w:color w:val="959495"/>
        <w:sz w:val="25"/>
      </w:rPr>
      <w:fldChar w:fldCharType="separate"/>
    </w:r>
    <w:r w:rsidRPr="006B0263">
      <w:rPr>
        <w:rFonts w:eastAsia="Yu Gothic Medium"/>
        <w:noProof/>
        <w:color w:val="959495"/>
        <w:sz w:val="25"/>
      </w:rPr>
      <w:t>1</w:t>
    </w:r>
    <w:r w:rsidRPr="006B0263">
      <w:rPr>
        <w:rFonts w:eastAsia="Yu Gothic Medium"/>
        <w:noProof/>
        <w:color w:val="959495"/>
        <w:sz w:val="25"/>
      </w:rPr>
      <w:fldChar w:fldCharType="end"/>
    </w:r>
  </w:p>
  <w:p w14:paraId="6B028197" w14:textId="77777777" w:rsidR="00676882" w:rsidRPr="00234274" w:rsidRDefault="00676882" w:rsidP="00234274">
    <w:pPr>
      <w:pStyle w:val="Footer"/>
      <w:ind w:left="-2410" w:right="300"/>
      <w:jc w:val="center"/>
      <w:rPr>
        <w:rFonts w:ascii="Arial" w:hAnsi="Arial"/>
        <w:sz w:val="14"/>
      </w:rPr>
    </w:pPr>
    <w:r w:rsidRPr="00234274">
      <w:rPr>
        <w:rFonts w:ascii="Arial" w:hAnsi="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D213C" w14:textId="77777777" w:rsidR="00676882" w:rsidRDefault="00676882">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EFDF0" w14:textId="77777777" w:rsidR="00676882" w:rsidRPr="008D7430" w:rsidRDefault="00676882" w:rsidP="008D7430">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E9EC" w14:textId="77777777" w:rsidR="00676882" w:rsidRPr="008D7430" w:rsidRDefault="00676882" w:rsidP="008D7430">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754AA" w14:textId="77777777" w:rsidR="00676882" w:rsidRPr="008D7430" w:rsidRDefault="00676882" w:rsidP="008D7430">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F56C5" w14:textId="77777777" w:rsidR="00676882" w:rsidRPr="008D7430" w:rsidRDefault="00676882" w:rsidP="008D7430">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FBF6" w14:textId="77777777" w:rsidR="00676882" w:rsidRPr="008D7430" w:rsidRDefault="00676882" w:rsidP="008D7430">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7AD17" w14:textId="77777777" w:rsidR="00676882" w:rsidRPr="008D7430" w:rsidRDefault="00676882" w:rsidP="008D7430">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1A14D" w14:textId="77777777" w:rsidR="00676882" w:rsidRPr="008D7430" w:rsidRDefault="00676882" w:rsidP="008D7430">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A3261" w14:textId="77777777" w:rsidR="00676882" w:rsidRPr="008D7430" w:rsidRDefault="00676882" w:rsidP="008D7430">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D181" w14:textId="77777777" w:rsidR="00676882" w:rsidRPr="008D7430" w:rsidRDefault="00676882" w:rsidP="008D7430">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46DBF" w14:textId="77777777" w:rsidR="00676882" w:rsidRPr="008D7430" w:rsidRDefault="00676882" w:rsidP="008D7430">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503EE" w14:textId="77777777" w:rsidR="00676882" w:rsidRPr="008D7430" w:rsidRDefault="00676882" w:rsidP="008D7430">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1D717" w14:textId="77777777" w:rsidR="00676882" w:rsidRPr="008D7430" w:rsidRDefault="00676882" w:rsidP="008D7430">
    <w:pPr>
      <w:pStyle w:val="Foote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22B42" w14:textId="77777777" w:rsidR="00676882" w:rsidRDefault="00676882">
    <w:pPr>
      <w:pStyle w:val="Foo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95E2B" w14:textId="77777777" w:rsidR="00676882" w:rsidRDefault="00676882">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D150E" w14:textId="77777777" w:rsidR="00676882" w:rsidRPr="008D7430" w:rsidRDefault="00676882" w:rsidP="008D7430">
    <w:pPr>
      <w:pStyle w:val="Footer"/>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119F0" w14:textId="6B973440" w:rsidR="00676882" w:rsidRPr="008D7430" w:rsidRDefault="00676882" w:rsidP="006B0263">
    <w:pPr>
      <w:pStyle w:val="Footer"/>
      <w:ind w:right="300"/>
      <w:jc w:val="right"/>
    </w:pPr>
    <w:r>
      <w:fldChar w:fldCharType="begin"/>
    </w:r>
    <w:r>
      <w:instrText xml:space="preserve"> STYLEREF "Cp Title" \* MERGEFORMAT </w:instrText>
    </w:r>
    <w:r>
      <w:fldChar w:fldCharType="separate"/>
    </w:r>
    <w:r w:rsidRPr="00676882">
      <w:rPr>
        <w:b/>
        <w:bCs/>
        <w:noProof/>
        <w:lang w:val="en-US"/>
      </w:rPr>
      <w:t>Minimum standards</w:t>
    </w:r>
    <w:r w:rsidRPr="00676882">
      <w:rPr>
        <w:b/>
        <w:noProof/>
      </w:rPr>
      <w:t xml:space="preserve"> for residential rental properties</w:t>
    </w:r>
    <w:r>
      <w:rPr>
        <w:b/>
        <w:noProof/>
      </w:rPr>
      <w:fldChar w:fldCharType="end"/>
    </w:r>
    <w:r>
      <w:t xml:space="preserve"> </w:t>
    </w:r>
    <w:r>
      <w:fldChar w:fldCharType="begin"/>
    </w:r>
    <w:r>
      <w:instrText xml:space="preserve"> STYLEREF "Cp SubTitle" \* MERGEFORMAT </w:instrText>
    </w:r>
    <w:r>
      <w:fldChar w:fldCharType="separate"/>
    </w:r>
    <w:r w:rsidRPr="00676882">
      <w:rPr>
        <w:b/>
        <w:bCs/>
        <w:noProof/>
        <w:lang w:val="en-US"/>
      </w:rPr>
      <w:t>Regulation Impact Statement</w:t>
    </w:r>
    <w:r>
      <w:rPr>
        <w:noProof/>
      </w:rPr>
      <w:fldChar w:fldCharType="end"/>
    </w:r>
    <w:r>
      <w:rPr>
        <w:b/>
        <w:bCs/>
        <w:noProof/>
        <w:lang w:val="en-US"/>
      </w:rPr>
      <w:t xml:space="preserve">                 </w:t>
    </w:r>
    <w:r w:rsidRPr="006B0263">
      <w:rPr>
        <w:rFonts w:eastAsia="Yu Gothic Medium"/>
        <w:noProof/>
        <w:color w:val="959495"/>
        <w:sz w:val="25"/>
      </w:rPr>
      <w:fldChar w:fldCharType="begin"/>
    </w:r>
    <w:r w:rsidRPr="006B0263">
      <w:rPr>
        <w:rFonts w:eastAsia="Yu Gothic Medium"/>
        <w:noProof/>
        <w:color w:val="959495"/>
        <w:sz w:val="25"/>
      </w:rPr>
      <w:instrText xml:space="preserve"> PAGE  \* MERGEFORMAT </w:instrText>
    </w:r>
    <w:r w:rsidRPr="006B0263">
      <w:rPr>
        <w:rFonts w:eastAsia="Yu Gothic Medium"/>
        <w:noProof/>
        <w:color w:val="959495"/>
        <w:sz w:val="25"/>
      </w:rPr>
      <w:fldChar w:fldCharType="separate"/>
    </w:r>
    <w:r>
      <w:rPr>
        <w:rFonts w:eastAsia="Yu Gothic Medium"/>
        <w:noProof/>
        <w:color w:val="959495"/>
        <w:sz w:val="25"/>
      </w:rPr>
      <w:t>77</w:t>
    </w:r>
    <w:r w:rsidRPr="006B0263">
      <w:rPr>
        <w:rFonts w:eastAsia="Yu Gothic Medium"/>
        <w:noProof/>
        <w:color w:val="959495"/>
        <w:sz w:val="25"/>
      </w:rPr>
      <w:fldChar w:fldCharType="end"/>
    </w:r>
  </w:p>
  <w:p w14:paraId="76CD04BE" w14:textId="77777777" w:rsidR="00676882" w:rsidRPr="00234274" w:rsidRDefault="00676882" w:rsidP="00234274">
    <w:pPr>
      <w:pStyle w:val="Footer"/>
      <w:ind w:left="-2410"/>
      <w:jc w:val="center"/>
      <w:rPr>
        <w:rFonts w:ascii="Arial" w:hAnsi="Arial"/>
        <w:sz w:val="14"/>
      </w:rPr>
    </w:pPr>
    <w:r w:rsidRPr="00234274">
      <w:rPr>
        <w:rFonts w:ascii="Arial" w:hAnsi="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1D8B4" w14:textId="77777777" w:rsidR="00676882" w:rsidRPr="008D7430" w:rsidRDefault="00676882" w:rsidP="008D7430">
    <w:pPr>
      <w:pStyle w:val="Footer"/>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78206" w14:textId="77777777" w:rsidR="00676882" w:rsidRDefault="00676882">
    <w:pPr>
      <w:pStyle w:val="Foo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604DE" w14:textId="77777777" w:rsidR="00676882" w:rsidRDefault="00676882">
    <w:pPr>
      <w:pStyle w:val="Foote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62A5A" w14:textId="77777777" w:rsidR="00676882" w:rsidRPr="00133892" w:rsidRDefault="00676882" w:rsidP="00133892">
    <w:pPr>
      <w:pStyle w:val="Foote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DE6AE" w14:textId="77777777" w:rsidR="00676882" w:rsidRPr="00133892" w:rsidRDefault="00676882" w:rsidP="00133892">
    <w:pPr>
      <w:pStyle w:val="Footer"/>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B1A44" w14:textId="77777777" w:rsidR="00676882" w:rsidRPr="00133892" w:rsidRDefault="00676882" w:rsidP="00133892">
    <w:pPr>
      <w:pStyle w:val="Footer"/>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CAB22" w14:textId="25D51BEB" w:rsidR="00676882" w:rsidRPr="008D7430" w:rsidRDefault="00676882" w:rsidP="006B0263">
    <w:pPr>
      <w:pStyle w:val="Footer"/>
      <w:ind w:right="300"/>
      <w:jc w:val="right"/>
    </w:pPr>
    <w:r>
      <w:fldChar w:fldCharType="begin"/>
    </w:r>
    <w:r>
      <w:instrText xml:space="preserve"> STYLEREF "Cp Title" \* MERGEFORMAT </w:instrText>
    </w:r>
    <w:r>
      <w:fldChar w:fldCharType="separate"/>
    </w:r>
    <w:r w:rsidRPr="00676882">
      <w:rPr>
        <w:b/>
        <w:bCs/>
        <w:noProof/>
        <w:lang w:val="en-US"/>
      </w:rPr>
      <w:t>Minimum standards</w:t>
    </w:r>
    <w:r w:rsidRPr="00676882">
      <w:rPr>
        <w:b/>
        <w:noProof/>
      </w:rPr>
      <w:t xml:space="preserve"> for residential rental properties</w:t>
    </w:r>
    <w:r>
      <w:rPr>
        <w:b/>
        <w:noProof/>
      </w:rPr>
      <w:fldChar w:fldCharType="end"/>
    </w:r>
    <w:r>
      <w:t xml:space="preserve"> </w:t>
    </w:r>
    <w:r>
      <w:fldChar w:fldCharType="begin"/>
    </w:r>
    <w:r>
      <w:instrText xml:space="preserve"> STYLEREF "Cp SubTitle" \* MERGEFORMAT </w:instrText>
    </w:r>
    <w:r>
      <w:fldChar w:fldCharType="separate"/>
    </w:r>
    <w:r w:rsidRPr="00676882">
      <w:rPr>
        <w:b/>
        <w:bCs/>
        <w:noProof/>
        <w:lang w:val="en-US"/>
      </w:rPr>
      <w:t>Regulation Impact Statement</w:t>
    </w:r>
    <w:r>
      <w:rPr>
        <w:noProof/>
      </w:rPr>
      <w:fldChar w:fldCharType="end"/>
    </w:r>
    <w:r>
      <w:rPr>
        <w:b/>
        <w:bCs/>
        <w:noProof/>
        <w:lang w:val="en-US"/>
      </w:rPr>
      <w:t xml:space="preserve">                 </w:t>
    </w:r>
    <w:r w:rsidRPr="006B0263">
      <w:rPr>
        <w:rFonts w:eastAsia="Yu Gothic Medium"/>
        <w:noProof/>
        <w:color w:val="959495"/>
        <w:sz w:val="25"/>
      </w:rPr>
      <w:fldChar w:fldCharType="begin"/>
    </w:r>
    <w:r w:rsidRPr="006B0263">
      <w:rPr>
        <w:rFonts w:eastAsia="Yu Gothic Medium"/>
        <w:noProof/>
        <w:color w:val="959495"/>
        <w:sz w:val="25"/>
      </w:rPr>
      <w:instrText xml:space="preserve"> PAGE  \* MERGEFORMAT </w:instrText>
    </w:r>
    <w:r w:rsidRPr="006B0263">
      <w:rPr>
        <w:rFonts w:eastAsia="Yu Gothic Medium"/>
        <w:noProof/>
        <w:color w:val="959495"/>
        <w:sz w:val="25"/>
      </w:rPr>
      <w:fldChar w:fldCharType="separate"/>
    </w:r>
    <w:r>
      <w:rPr>
        <w:rFonts w:eastAsia="Yu Gothic Medium"/>
        <w:noProof/>
        <w:color w:val="959495"/>
        <w:sz w:val="25"/>
      </w:rPr>
      <w:t>B-23</w:t>
    </w:r>
    <w:r w:rsidRPr="006B0263">
      <w:rPr>
        <w:rFonts w:eastAsia="Yu Gothic Medium"/>
        <w:noProof/>
        <w:color w:val="959495"/>
        <w:sz w:val="25"/>
      </w:rPr>
      <w:fldChar w:fldCharType="end"/>
    </w:r>
  </w:p>
  <w:p w14:paraId="69EE09B2" w14:textId="77777777" w:rsidR="00676882" w:rsidRPr="00234274" w:rsidRDefault="00676882" w:rsidP="00234274">
    <w:pPr>
      <w:pStyle w:val="Footer"/>
      <w:tabs>
        <w:tab w:val="clear" w:pos="4513"/>
      </w:tabs>
      <w:ind w:left="-2268"/>
      <w:jc w:val="center"/>
      <w:rPr>
        <w:rFonts w:ascii="Arial" w:hAnsi="Arial"/>
        <w:sz w:val="14"/>
      </w:rPr>
    </w:pPr>
    <w:r w:rsidRPr="00234274">
      <w:rPr>
        <w:rFonts w:ascii="Arial" w:hAnsi="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9CDC0" w14:textId="77777777" w:rsidR="00676882" w:rsidRPr="00133892" w:rsidRDefault="00676882" w:rsidP="00133892">
    <w:pPr>
      <w:pStyle w:val="Footer"/>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78365" w14:textId="77777777" w:rsidR="00676882" w:rsidRPr="00133892" w:rsidRDefault="00676882" w:rsidP="00133892">
    <w:pPr>
      <w:pStyle w:val="Footer"/>
    </w:pP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B86A0" w14:textId="05BC84BE" w:rsidR="00676882" w:rsidRDefault="00676882" w:rsidP="00AF1A28">
    <w:pPr>
      <w:pStyle w:val="Footer"/>
      <w:jc w:val="right"/>
      <w:rPr>
        <w:rFonts w:eastAsia="Yu Gothic Medium"/>
        <w:noProof/>
        <w:color w:val="959495"/>
        <w:sz w:val="25"/>
      </w:rPr>
    </w:pPr>
    <w:r>
      <w:fldChar w:fldCharType="begin"/>
    </w:r>
    <w:r>
      <w:instrText xml:space="preserve"> STYLEREF "Cp Title" \* MERGEFORMAT </w:instrText>
    </w:r>
    <w:r>
      <w:fldChar w:fldCharType="separate"/>
    </w:r>
    <w:r w:rsidRPr="00676882">
      <w:rPr>
        <w:b/>
        <w:bCs/>
        <w:noProof/>
        <w:lang w:val="en-US"/>
      </w:rPr>
      <w:t>Minimum standards</w:t>
    </w:r>
    <w:r w:rsidRPr="00676882">
      <w:rPr>
        <w:b/>
        <w:noProof/>
      </w:rPr>
      <w:t xml:space="preserve"> for residential rental properties</w:t>
    </w:r>
    <w:r>
      <w:rPr>
        <w:b/>
        <w:noProof/>
      </w:rPr>
      <w:fldChar w:fldCharType="end"/>
    </w:r>
    <w:r>
      <w:t xml:space="preserve"> </w:t>
    </w:r>
    <w:r>
      <w:fldChar w:fldCharType="begin"/>
    </w:r>
    <w:r>
      <w:instrText xml:space="preserve"> STYLEREF "Cp SubTitle" \* MERGEFORMAT </w:instrText>
    </w:r>
    <w:r>
      <w:fldChar w:fldCharType="separate"/>
    </w:r>
    <w:r w:rsidRPr="00676882">
      <w:rPr>
        <w:b/>
        <w:bCs/>
        <w:noProof/>
        <w:lang w:val="en-US"/>
      </w:rPr>
      <w:t>Regulation Impact Statement</w:t>
    </w:r>
    <w:r>
      <w:rPr>
        <w:noProof/>
      </w:rPr>
      <w:fldChar w:fldCharType="end"/>
    </w:r>
    <w:r>
      <w:rPr>
        <w:b/>
        <w:bCs/>
        <w:noProof/>
        <w:lang w:val="en-US"/>
      </w:rPr>
      <w:t xml:space="preserve">                 </w:t>
    </w:r>
    <w:r w:rsidRPr="006B0263">
      <w:rPr>
        <w:rFonts w:eastAsia="Yu Gothic Medium"/>
        <w:noProof/>
        <w:color w:val="959495"/>
        <w:sz w:val="25"/>
      </w:rPr>
      <w:fldChar w:fldCharType="begin"/>
    </w:r>
    <w:r w:rsidRPr="006B0263">
      <w:rPr>
        <w:rFonts w:eastAsia="Yu Gothic Medium"/>
        <w:noProof/>
        <w:color w:val="959495"/>
        <w:sz w:val="25"/>
      </w:rPr>
      <w:instrText xml:space="preserve"> PAGE  \* MERGEFORMAT </w:instrText>
    </w:r>
    <w:r w:rsidRPr="006B0263">
      <w:rPr>
        <w:rFonts w:eastAsia="Yu Gothic Medium"/>
        <w:noProof/>
        <w:color w:val="959495"/>
        <w:sz w:val="25"/>
      </w:rPr>
      <w:fldChar w:fldCharType="separate"/>
    </w:r>
    <w:r>
      <w:rPr>
        <w:rFonts w:eastAsia="Yu Gothic Medium"/>
        <w:noProof/>
        <w:color w:val="959495"/>
        <w:sz w:val="25"/>
      </w:rPr>
      <w:t>B-32</w:t>
    </w:r>
    <w:r w:rsidRPr="006B0263">
      <w:rPr>
        <w:rFonts w:eastAsia="Yu Gothic Medium"/>
        <w:noProof/>
        <w:color w:val="959495"/>
        <w:sz w:val="25"/>
      </w:rPr>
      <w:fldChar w:fldCharType="end"/>
    </w:r>
  </w:p>
  <w:p w14:paraId="7BB894C5" w14:textId="77777777" w:rsidR="00676882" w:rsidRPr="00234274" w:rsidRDefault="00676882" w:rsidP="00234274">
    <w:pPr>
      <w:pStyle w:val="Footer"/>
      <w:ind w:left="-2410"/>
      <w:jc w:val="center"/>
      <w:rPr>
        <w:rFonts w:ascii="Arial" w:hAnsi="Arial"/>
        <w:sz w:val="14"/>
      </w:rPr>
    </w:pPr>
    <w:r w:rsidRPr="00234274">
      <w:rPr>
        <w:rFonts w:ascii="Arial" w:hAnsi="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D3DBB" w14:textId="77777777" w:rsidR="00676882" w:rsidRPr="00133892" w:rsidRDefault="00676882" w:rsidP="00133892">
    <w:pPr>
      <w:pStyle w:val="Footer"/>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C3B15" w14:textId="77777777" w:rsidR="00676882" w:rsidRPr="00FF33F6" w:rsidRDefault="00676882" w:rsidP="00FF33F6">
    <w:pPr>
      <w:pStyle w:val="Footer"/>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16E69" w14:textId="77777777" w:rsidR="00676882" w:rsidRPr="00FF33F6" w:rsidRDefault="00676882" w:rsidP="00FF33F6">
    <w:pPr>
      <w:pStyle w:val="Footer"/>
    </w:pP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E3B50" w14:textId="77777777" w:rsidR="00676882" w:rsidRPr="00133892" w:rsidRDefault="00676882" w:rsidP="00133892">
    <w:pPr>
      <w:pStyle w:val="Footer"/>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25A00" w14:textId="77777777" w:rsidR="00676882" w:rsidRPr="00133892" w:rsidRDefault="00676882" w:rsidP="00133892">
    <w:pPr>
      <w:pStyle w:val="Footer"/>
    </w:pP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3D187" w14:textId="77777777" w:rsidR="00676882" w:rsidRDefault="00676882">
    <w:pPr>
      <w:pStyle w:val="Footer"/>
    </w:pP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7467D" w14:textId="77777777" w:rsidR="00676882" w:rsidRDefault="00676882">
    <w:pPr>
      <w:pStyle w:val="Footer"/>
    </w:pP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4601D" w14:textId="77777777" w:rsidR="00416753" w:rsidRDefault="00676882">
    <w:pPr>
      <w:pStyle w:val="Footer"/>
    </w:pP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EB995" w14:textId="77777777" w:rsidR="00416753" w:rsidRPr="00DB32A2" w:rsidRDefault="00676882" w:rsidP="00DB32A2">
    <w:pPr>
      <w:pStyle w:val="Footer"/>
      <w:jc w:val="center"/>
      <w:rPr>
        <w:rFonts w:ascii="Arial" w:hAnsi="Arial"/>
        <w:sz w:val="14"/>
      </w:rPr>
    </w:pPr>
    <w:r w:rsidRPr="00DB32A2">
      <w:rPr>
        <w:rFonts w:ascii="Arial" w:hAnsi="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A28C4" w14:textId="77777777" w:rsidR="00416753" w:rsidRPr="00DB32A2" w:rsidRDefault="00676882" w:rsidP="00DB32A2">
    <w:pPr>
      <w:pStyle w:val="Footer"/>
      <w:jc w:val="center"/>
      <w:rPr>
        <w:rFonts w:ascii="Arial" w:hAnsi="Arial"/>
        <w:sz w:val="14"/>
      </w:rPr>
    </w:pPr>
    <w:r w:rsidRPr="00DB32A2">
      <w:rPr>
        <w:rFonts w:ascii="Arial" w:hAnsi="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6BD3D" w14:textId="77777777" w:rsidR="00676882" w:rsidRDefault="00676882" w:rsidP="00676882">
      <w:pPr>
        <w:spacing w:before="0" w:after="0" w:line="240" w:lineRule="auto"/>
      </w:pPr>
      <w:r>
        <w:separator/>
      </w:r>
    </w:p>
  </w:footnote>
  <w:footnote w:type="continuationSeparator" w:id="0">
    <w:p w14:paraId="74647CBC" w14:textId="77777777" w:rsidR="00676882" w:rsidRDefault="00676882" w:rsidP="00676882">
      <w:pPr>
        <w:spacing w:before="0" w:after="0" w:line="240" w:lineRule="auto"/>
      </w:pPr>
      <w:r>
        <w:continuationSeparator/>
      </w:r>
    </w:p>
  </w:footnote>
  <w:footnote w:id="1">
    <w:p w14:paraId="24F4D0BD" w14:textId="77777777" w:rsidR="00676882" w:rsidRDefault="00676882" w:rsidP="00676882">
      <w:pPr>
        <w:pStyle w:val="FootnoteText"/>
      </w:pPr>
      <w:r>
        <w:rPr>
          <w:rStyle w:val="FootnoteReference"/>
        </w:rPr>
        <w:footnoteRef/>
      </w:r>
      <w:r>
        <w:t xml:space="preserve"> Where renters are those tenants who pay rent, and some tenants have fully subsidised or pay no rent, though do not own their place of residence.</w:t>
      </w:r>
    </w:p>
  </w:footnote>
  <w:footnote w:id="2">
    <w:p w14:paraId="5EF89DED" w14:textId="77777777" w:rsidR="00676882" w:rsidRDefault="00676882" w:rsidP="00676882">
      <w:pPr>
        <w:pStyle w:val="FootnoteText"/>
      </w:pPr>
      <w:r>
        <w:rPr>
          <w:rStyle w:val="FootnoteReference"/>
        </w:rPr>
        <w:footnoteRef/>
      </w:r>
      <w:r>
        <w:t xml:space="preserve"> Energy use for New South Wales and the Australian Capital Territory is combined in the source data, and it is not possible to disaggregate the ACT’s contribution alone.</w:t>
      </w:r>
    </w:p>
  </w:footnote>
  <w:footnote w:id="3">
    <w:p w14:paraId="02CF80F1" w14:textId="77777777" w:rsidR="00676882" w:rsidRDefault="00676882" w:rsidP="00676882">
      <w:pPr>
        <w:pStyle w:val="FootnoteText"/>
      </w:pPr>
      <w:r>
        <w:rPr>
          <w:rStyle w:val="FootnoteReference"/>
        </w:rPr>
        <w:footnoteRef/>
      </w:r>
      <w:r>
        <w:t xml:space="preserve"> For simple summaries of these potential sources of behavioural failure, see Thaler, Sunstein (2009), ch. 1 and Congdon et al (2011), ch.2.  For discussions in the context of the environment and energy efficiency, see Shogren, Taylor (2008); Brekke, Johansson-Stenman (2008); Gillingham, Newell, Palmer (2009); Tietenberg (2009).</w:t>
      </w:r>
    </w:p>
  </w:footnote>
  <w:footnote w:id="4">
    <w:p w14:paraId="6D9249FB" w14:textId="77777777" w:rsidR="00676882" w:rsidRDefault="00676882" w:rsidP="00676882">
      <w:pPr>
        <w:pStyle w:val="FootnoteText"/>
      </w:pPr>
      <w:r>
        <w:rPr>
          <w:rStyle w:val="FootnoteReference"/>
        </w:rPr>
        <w:footnoteRef/>
      </w:r>
      <w:r>
        <w:t xml:space="preserve"> The EEIS scheme sets a minimum upgrade standard ranging from </w:t>
      </w:r>
      <w:proofErr w:type="gramStart"/>
      <w:r>
        <w:t>a</w:t>
      </w:r>
      <w:proofErr w:type="gramEnd"/>
      <w:r>
        <w:t xml:space="preserve"> Annualised Coefficient of Performance (ACOP) of 3.1 to 4.0 dependent upon the capacity of the unit (generally the larger the unit the lower the requirement). In terms of old stars (which is what the EEIS is based on) this equates to a range from 1.5 to 3.5 old stars. Under the new rating scheme this would be a range of 1.5 to 2.5 stars (noting however that the two rating types have some similarities but are not strictly comparable). The </w:t>
      </w:r>
      <w:proofErr w:type="gramStart"/>
      <w:r>
        <w:t>1.5 star</w:t>
      </w:r>
      <w:proofErr w:type="gramEnd"/>
      <w:r>
        <w:t xml:space="preserve"> requirement above is under the new rating scheme. </w:t>
      </w:r>
    </w:p>
  </w:footnote>
  <w:footnote w:id="5">
    <w:p w14:paraId="202D1760" w14:textId="77777777" w:rsidR="00676882" w:rsidRDefault="00676882" w:rsidP="00676882">
      <w:pPr>
        <w:pStyle w:val="FootnoteText"/>
        <w:rPr>
          <w:lang w:val="en-US"/>
        </w:rPr>
      </w:pPr>
      <w:r>
        <w:rPr>
          <w:rStyle w:val="FootnoteReference"/>
        </w:rPr>
        <w:footnoteRef/>
      </w:r>
      <w:r>
        <w:t xml:space="preserve"> </w:t>
      </w:r>
      <w:r>
        <w:rPr>
          <w:lang w:val="en-US"/>
        </w:rPr>
        <w:t xml:space="preserve">The potential health benefits have been partly estimated, as have the NSW-based benefits from reduced pollution associated with electricity generated from fossil fuels, and gas use. </w:t>
      </w:r>
    </w:p>
  </w:footnote>
  <w:footnote w:id="6">
    <w:p w14:paraId="7CE68BB9" w14:textId="77777777" w:rsidR="00676882" w:rsidRDefault="00676882" w:rsidP="00676882">
      <w:pPr>
        <w:pStyle w:val="FootnoteText"/>
        <w:rPr>
          <w:lang w:val="en-US"/>
        </w:rPr>
      </w:pPr>
      <w:r>
        <w:rPr>
          <w:rStyle w:val="FootnoteReference"/>
        </w:rPr>
        <w:footnoteRef/>
      </w:r>
      <w:r>
        <w:t xml:space="preserve"> </w:t>
      </w:r>
      <w:r>
        <w:rPr>
          <w:lang w:val="en-US"/>
        </w:rPr>
        <w:t xml:space="preserve">See for instance, the COMBI project in Europe: </w:t>
      </w:r>
      <w:hyperlink r:id="rId1" w:history="1">
        <w:r>
          <w:rPr>
            <w:rStyle w:val="Hyperlink"/>
            <w:lang w:val="en-US"/>
          </w:rPr>
          <w:t>https://combi-project.eu/</w:t>
        </w:r>
      </w:hyperlink>
      <w:r>
        <w:rPr>
          <w:lang w:val="en-US"/>
        </w:rPr>
        <w:t xml:space="preserve">. </w:t>
      </w:r>
    </w:p>
  </w:footnote>
  <w:footnote w:id="7">
    <w:p w14:paraId="338B2DD8" w14:textId="77777777" w:rsidR="00676882" w:rsidRDefault="00676882" w:rsidP="00676882">
      <w:pPr>
        <w:pStyle w:val="FootnoteText"/>
      </w:pPr>
      <w:r>
        <w:rPr>
          <w:rStyle w:val="FootnoteReference"/>
        </w:rPr>
        <w:footnoteRef/>
      </w:r>
      <w:r>
        <w:t xml:space="preserve"> As noted in section </w:t>
      </w:r>
      <w:r>
        <w:fldChar w:fldCharType="begin"/>
      </w:r>
      <w:r>
        <w:instrText xml:space="preserve"> REF _Ref75768799 \r \h </w:instrText>
      </w:r>
      <w:r>
        <w:fldChar w:fldCharType="separate"/>
      </w:r>
      <w:r>
        <w:t>5.1.1</w:t>
      </w:r>
      <w:r>
        <w:fldChar w:fldCharType="end"/>
      </w:r>
      <w:r>
        <w:t>, health benefits are partially modelled and are sensitivity tested, below.</w:t>
      </w:r>
    </w:p>
  </w:footnote>
  <w:footnote w:id="8">
    <w:p w14:paraId="7D6A9833" w14:textId="77777777" w:rsidR="00676882" w:rsidRDefault="00676882" w:rsidP="00676882">
      <w:pPr>
        <w:pStyle w:val="FootnoteText"/>
      </w:pPr>
      <w:r>
        <w:rPr>
          <w:rStyle w:val="FootnoteReference"/>
        </w:rPr>
        <w:footnoteRef/>
      </w:r>
      <w:r>
        <w:t xml:space="preserve"> This is further complicated by reflecting heterogeneous rates of technical-substitution (reflecting variable conditions in rental properties), uncertainty regarding the realisable health benefits of improved thermal comfort due to human behaviours, consumer preference over health-promoting consumption (with associated behavioural issues, such as ‘irrational discounting’ of health benefits).</w:t>
      </w:r>
    </w:p>
  </w:footnote>
  <w:footnote w:id="9">
    <w:p w14:paraId="7D5DC978" w14:textId="77777777" w:rsidR="00676882" w:rsidRPr="00BA3D92" w:rsidRDefault="00676882" w:rsidP="00676882">
      <w:pPr>
        <w:pStyle w:val="FootnoteText"/>
        <w:rPr>
          <w:lang w:val="en-US"/>
        </w:rPr>
      </w:pPr>
      <w:r>
        <w:rPr>
          <w:rStyle w:val="FootnoteReference"/>
        </w:rPr>
        <w:footnoteRef/>
      </w:r>
      <w:r>
        <w:t xml:space="preserve"> </w:t>
      </w:r>
      <w:r>
        <w:rPr>
          <w:lang w:val="en-US"/>
        </w:rPr>
        <w:t>AS/NZS 4859.1 Materials for the thermal insulation of buildings.</w:t>
      </w:r>
    </w:p>
  </w:footnote>
  <w:footnote w:id="10">
    <w:p w14:paraId="120704FF" w14:textId="77777777" w:rsidR="00676882" w:rsidRDefault="00676882" w:rsidP="00676882">
      <w:pPr>
        <w:pStyle w:val="FootnoteText"/>
      </w:pPr>
      <w:r>
        <w:rPr>
          <w:rStyle w:val="FootnoteReference"/>
        </w:rPr>
        <w:footnoteRef/>
      </w:r>
      <w:r>
        <w:t xml:space="preserve"> Based on hypothetical median rental property characteristics. Individual circumstances will vary and could be higher for some properties.</w:t>
      </w:r>
    </w:p>
  </w:footnote>
  <w:footnote w:id="11">
    <w:p w14:paraId="32575C9D" w14:textId="77777777" w:rsidR="00676882" w:rsidRDefault="00676882" w:rsidP="00676882">
      <w:pPr>
        <w:pStyle w:val="FootnoteText"/>
      </w:pPr>
      <w:r>
        <w:rPr>
          <w:rStyle w:val="FootnoteReference"/>
        </w:rPr>
        <w:footnoteRef/>
      </w:r>
      <w:r>
        <w:t xml:space="preserve"> Where households refer to both tenants and rental providers as a single entity for the purpose of modelling.</w:t>
      </w:r>
    </w:p>
  </w:footnote>
  <w:footnote w:id="12">
    <w:p w14:paraId="5C88D2CB" w14:textId="77777777" w:rsidR="00676882" w:rsidRPr="0096074F" w:rsidRDefault="00676882" w:rsidP="00676882">
      <w:pPr>
        <w:pStyle w:val="FootnoteText"/>
        <w:rPr>
          <w:lang w:val="en-US"/>
        </w:rPr>
      </w:pPr>
      <w:r>
        <w:rPr>
          <w:rStyle w:val="FootnoteReference"/>
        </w:rPr>
        <w:footnoteRef/>
      </w:r>
      <w:r>
        <w:t xml:space="preserve"> </w:t>
      </w:r>
      <w:r>
        <w:rPr>
          <w:lang w:val="en-US"/>
        </w:rPr>
        <w:t xml:space="preserve">As an example, the minimum objectives of the </w:t>
      </w:r>
      <w:r w:rsidRPr="0096074F">
        <w:rPr>
          <w:i/>
          <w:iCs/>
          <w:lang w:val="en-US"/>
        </w:rPr>
        <w:t>Electricity Infrastructure Investment Act 2020 (NSW)</w:t>
      </w:r>
      <w:r>
        <w:rPr>
          <w:lang w:val="en-US"/>
        </w:rPr>
        <w:t xml:space="preserve"> are to construct 12 GigaWatts (GW) of large-scale renewable energy capacity and 2 GW of long-duration storage infrastructure in NSW by 31 December 2029.</w:t>
      </w:r>
    </w:p>
  </w:footnote>
  <w:footnote w:id="13">
    <w:p w14:paraId="080B94D5" w14:textId="77777777" w:rsidR="00676882" w:rsidRPr="00EC70EC" w:rsidRDefault="00676882" w:rsidP="00676882">
      <w:pPr>
        <w:pStyle w:val="FootnoteText"/>
        <w:rPr>
          <w:lang w:val="en-US"/>
        </w:rPr>
      </w:pPr>
      <w:r>
        <w:rPr>
          <w:rStyle w:val="FootnoteReference"/>
        </w:rPr>
        <w:footnoteRef/>
      </w:r>
      <w:r>
        <w:t xml:space="preserve"> Prior to the release of the Houston Kemp report, the avoided wholesale and network cost approach was used for some analyses but not all.</w:t>
      </w:r>
    </w:p>
  </w:footnote>
  <w:footnote w:id="14">
    <w:p w14:paraId="3F59761D" w14:textId="77777777" w:rsidR="00676882" w:rsidRDefault="00676882" w:rsidP="00676882">
      <w:pPr>
        <w:pStyle w:val="FootnoteText"/>
      </w:pPr>
      <w:r>
        <w:rPr>
          <w:rStyle w:val="FootnoteReference"/>
        </w:rPr>
        <w:footnoteRef/>
      </w:r>
      <w:r>
        <w:t xml:space="preserve"> The Directorate has directed ACIL Allen toward Australian Energy Market Commission energy prices and forecasts for trends over 2020. Unfortunately, the AEMC does not provide long-term forecasts in this time-series. We can use AEMC forecasts in a fixed manner. However, in our view, this would overestimate the costs in the longer-term.</w:t>
      </w:r>
    </w:p>
  </w:footnote>
  <w:footnote w:id="15">
    <w:p w14:paraId="6614FBFE" w14:textId="77777777" w:rsidR="00676882" w:rsidRPr="00C466C8" w:rsidRDefault="00676882" w:rsidP="00676882">
      <w:pPr>
        <w:pStyle w:val="FootnoteText"/>
        <w:rPr>
          <w:lang w:val="en-US"/>
        </w:rPr>
      </w:pPr>
      <w:r>
        <w:rPr>
          <w:rStyle w:val="FootnoteReference"/>
        </w:rPr>
        <w:footnoteRef/>
      </w:r>
      <w:r>
        <w:t xml:space="preserve"> </w:t>
      </w:r>
      <w:r>
        <w:rPr>
          <w:lang w:val="en-US"/>
        </w:rPr>
        <w:t xml:space="preserve">Both for the CBA and distributional analysis. </w:t>
      </w:r>
    </w:p>
  </w:footnote>
  <w:footnote w:id="16">
    <w:p w14:paraId="4E1427B9" w14:textId="77777777" w:rsidR="00676882" w:rsidRPr="00A2341D" w:rsidRDefault="00676882" w:rsidP="00676882">
      <w:pPr>
        <w:pStyle w:val="FootnoteText"/>
      </w:pPr>
      <w:r>
        <w:rPr>
          <w:rStyle w:val="FootnoteReference"/>
        </w:rPr>
        <w:footnoteRef/>
      </w:r>
      <w:r>
        <w:t xml:space="preserve"> This estimate represents the </w:t>
      </w:r>
      <w:r w:rsidRPr="00711398">
        <w:t>health cost reductions per MWh reduction in total energy generation due to energy demand reduction</w:t>
      </w:r>
      <w:r>
        <w:t xml:space="preserve"> and are based on </w:t>
      </w:r>
      <w:r w:rsidRPr="00711398">
        <w:t>the life years gained approach for the medium demand shock scenario and the 2026–2118 period (excluding ramp up), and assuming a 7</w:t>
      </w:r>
      <w:r>
        <w:t xml:space="preserve"> per cent</w:t>
      </w:r>
      <w:r w:rsidRPr="00711398">
        <w:t xml:space="preserve"> discount rate</w:t>
      </w:r>
      <w:r>
        <w:t xml:space="preserve">. </w:t>
      </w:r>
    </w:p>
  </w:footnote>
  <w:footnote w:id="17">
    <w:p w14:paraId="7644C5FC" w14:textId="77777777" w:rsidR="00676882" w:rsidRPr="00CE21E7" w:rsidRDefault="00676882" w:rsidP="00676882">
      <w:pPr>
        <w:pStyle w:val="FootnoteText"/>
        <w:rPr>
          <w:lang w:val="en-US"/>
        </w:rPr>
      </w:pPr>
      <w:r>
        <w:rPr>
          <w:rStyle w:val="FootnoteReference"/>
        </w:rPr>
        <w:footnoteRef/>
      </w:r>
      <w:r>
        <w:t xml:space="preserve"> While ATSE’s estimates relate to </w:t>
      </w:r>
      <w:r w:rsidRPr="00146F8D">
        <w:t>combined cycle gas power stations</w:t>
      </w:r>
      <w:r>
        <w:t xml:space="preserve">, </w:t>
      </w:r>
      <w:r w:rsidRPr="00CE21E7">
        <w:t xml:space="preserve">using natural gas </w:t>
      </w:r>
      <w:r>
        <w:t>(</w:t>
      </w:r>
      <w:r w:rsidRPr="00CE21E7">
        <w:t>whether to generate electricity or for other purposes</w:t>
      </w:r>
      <w:r>
        <w:t xml:space="preserve">) </w:t>
      </w:r>
      <w:r w:rsidRPr="00CE21E7">
        <w:t>emits NOx and PM10 particulates and a lower level of SOx</w:t>
      </w:r>
      <w:r>
        <w:t xml:space="preserve"> and hence it was considered that </w:t>
      </w:r>
      <w:r w:rsidRPr="00CE21E7">
        <w:t>ATSE</w:t>
      </w:r>
      <w:r>
        <w:t>’s</w:t>
      </w:r>
      <w:r w:rsidRPr="00CE21E7">
        <w:t xml:space="preserve"> </w:t>
      </w:r>
      <w:r>
        <w:t xml:space="preserve">estimates could be used as proxy for the health damage costs of </w:t>
      </w:r>
      <w:r w:rsidRPr="00CE21E7">
        <w:t>natural gas use on an equivalent per PJ basis.</w:t>
      </w:r>
    </w:p>
  </w:footnote>
  <w:footnote w:id="18">
    <w:p w14:paraId="476C5653" w14:textId="77777777" w:rsidR="00676882" w:rsidRPr="008E3B89" w:rsidRDefault="00676882" w:rsidP="00676882">
      <w:pPr>
        <w:pStyle w:val="FootnoteText"/>
        <w:rPr>
          <w:lang w:val="en-US"/>
        </w:rPr>
      </w:pPr>
      <w:r>
        <w:rPr>
          <w:rStyle w:val="FootnoteReference"/>
        </w:rPr>
        <w:footnoteRef/>
      </w:r>
      <w:r>
        <w:t xml:space="preserve"> </w:t>
      </w:r>
      <w:r>
        <w:rPr>
          <w:lang w:val="en-US"/>
        </w:rPr>
        <w:t>The value of reduced mortality was NZD 649 for community service card holders and NZD 229.11 for other households. The Value of Statistical Life used in the study was NZD 3,467,213. As of August 2019, the Value of Statistical Life in Australia, as published by the Office of Best Practice Regulation, was AUD 4.9 million.</w:t>
      </w:r>
    </w:p>
  </w:footnote>
  <w:footnote w:id="19">
    <w:p w14:paraId="223878B5" w14:textId="77777777" w:rsidR="00676882" w:rsidRDefault="00676882" w:rsidP="00676882">
      <w:pPr>
        <w:pStyle w:val="FootnoteText"/>
      </w:pPr>
      <w:r>
        <w:rPr>
          <w:rStyle w:val="FootnoteReference"/>
        </w:rPr>
        <w:footnoteRef/>
      </w:r>
      <w:r>
        <w:t xml:space="preserve"> Direct (or point-source) emission factors</w:t>
      </w:r>
    </w:p>
  </w:footnote>
  <w:footnote w:id="20">
    <w:p w14:paraId="6B7B8753" w14:textId="77777777" w:rsidR="00676882" w:rsidRDefault="00676882" w:rsidP="00676882">
      <w:pPr>
        <w:pStyle w:val="FootnoteText"/>
      </w:pPr>
      <w:r>
        <w:rPr>
          <w:rStyle w:val="FootnoteReference"/>
        </w:rPr>
        <w:footnoteRef/>
      </w:r>
      <w:r>
        <w:t xml:space="preserve"> Scope 1, plus all indirect factors (such as purchase, consumption and generation through a company’s offshore value chain)</w:t>
      </w:r>
    </w:p>
  </w:footnote>
  <w:footnote w:id="21">
    <w:p w14:paraId="4A7B317F" w14:textId="6AC2F46B" w:rsidR="00676882" w:rsidRDefault="00676882" w:rsidP="00676882">
      <w:pPr>
        <w:pStyle w:val="FootnoteText"/>
        <w:spacing w:after="0"/>
      </w:pPr>
      <w:r>
        <w:rPr>
          <w:rStyle w:val="FootnoteReference"/>
        </w:rPr>
        <w:footnoteRef/>
      </w:r>
      <w:r>
        <w:t xml:space="preserve"> The average cost of climate change represents the average of the costs estimated</w:t>
      </w:r>
      <w:r w:rsidRPr="007A4DA6">
        <w:t xml:space="preserve"> from three widely cited integrated assessment models (IAMs) in the peer-reviewed literature</w:t>
      </w:r>
      <w:r>
        <w:t>. These IAMs</w:t>
      </w:r>
      <w:r w:rsidRPr="007A4DA6">
        <w:t xml:space="preserve"> estimate global climate </w:t>
      </w:r>
    </w:p>
    <w:p w14:paraId="54279518" w14:textId="77777777" w:rsidR="00676882" w:rsidRDefault="00676882" w:rsidP="00676882">
      <w:pPr>
        <w:pStyle w:val="FootnoteText"/>
      </w:pPr>
    </w:p>
    <w:p w14:paraId="7D03779B" w14:textId="4665CD20" w:rsidR="00676882" w:rsidRPr="007A4DA6" w:rsidRDefault="00676882" w:rsidP="00676882">
      <w:pPr>
        <w:pStyle w:val="FootnoteText"/>
        <w:rPr>
          <w:lang w:val="en-US"/>
        </w:rPr>
      </w:pPr>
      <w:r w:rsidRPr="007A4DA6">
        <w:t>damages using highly aggregated representations of climate processes and the global economy combined into a single modelling framework.</w:t>
      </w:r>
      <w:r>
        <w:t xml:space="preserve"> </w:t>
      </w:r>
      <w:r w:rsidRPr="007A4DA6">
        <w:t>The three IAMs were run using a common set of input assumptions in each model for future population, economic, and GHG emissions growth, as well as equilibrium climate sensitivity – a measure of the globally averaged temperature response to increased atmospheric CO</w:t>
      </w:r>
      <w:r w:rsidRPr="006B0263">
        <w:rPr>
          <w:vertAlign w:val="subscript"/>
        </w:rPr>
        <w:t xml:space="preserve">2 </w:t>
      </w:r>
      <w:r w:rsidRPr="007A4DA6">
        <w:t>concentrations.</w:t>
      </w:r>
    </w:p>
  </w:footnote>
  <w:footnote w:id="22">
    <w:p w14:paraId="09106A46" w14:textId="77777777" w:rsidR="00676882" w:rsidRPr="006B0263" w:rsidRDefault="00676882" w:rsidP="00676882">
      <w:pPr>
        <w:pStyle w:val="FootnoteText"/>
        <w:rPr>
          <w:lang w:val="en-US"/>
        </w:rPr>
      </w:pPr>
      <w:r>
        <w:rPr>
          <w:rStyle w:val="FootnoteReference"/>
        </w:rPr>
        <w:footnoteRef/>
      </w:r>
      <w:r>
        <w:t xml:space="preserve"> A footnote on page 34 of the Jacobs report indicates that t</w:t>
      </w:r>
      <w:r>
        <w:rPr>
          <w:lang w:val="en-US"/>
        </w:rPr>
        <w:t>he 70 per cent discount factor was derived from assumptions used in the Department of Climate Change and Energy Efficiency evaluation of a National Energy Saving Initiative.</w:t>
      </w:r>
    </w:p>
  </w:footnote>
  <w:footnote w:id="23">
    <w:p w14:paraId="55C9C7BC" w14:textId="77777777" w:rsidR="00676882" w:rsidRDefault="00676882" w:rsidP="00676882">
      <w:pPr>
        <w:pStyle w:val="FootnoteText"/>
      </w:pPr>
      <w:r>
        <w:rPr>
          <w:rStyle w:val="FootnoteReference"/>
        </w:rPr>
        <w:footnoteRef/>
      </w:r>
      <w:r>
        <w:t xml:space="preserve"> Available here: </w:t>
      </w:r>
      <w:hyperlink r:id="rId2" w:history="1">
        <w:r w:rsidRPr="00FA6D05">
          <w:rPr>
            <w:rStyle w:val="Hyperlink"/>
          </w:rPr>
          <w:t>https://www.environment.act.gov.au/energy/cleaner-energy/renewable-electricity-costs-and-reviews</w:t>
        </w:r>
      </w:hyperlink>
      <w:r>
        <w:t xml:space="preserve"> </w:t>
      </w:r>
    </w:p>
  </w:footnote>
  <w:footnote w:id="24">
    <w:p w14:paraId="39005C00" w14:textId="77777777" w:rsidR="00676882" w:rsidRPr="006B0263" w:rsidRDefault="00676882" w:rsidP="00676882">
      <w:pPr>
        <w:pStyle w:val="FootnoteText"/>
        <w:rPr>
          <w:lang w:val="en-US"/>
        </w:rPr>
      </w:pPr>
      <w:r>
        <w:rPr>
          <w:rStyle w:val="FootnoteReference"/>
        </w:rPr>
        <w:footnoteRef/>
      </w:r>
      <w:r>
        <w:t xml:space="preserve"> While from a household’s perspective it is reasonable to factor any rebates into the cost of installing energy efficiency measures, </w:t>
      </w:r>
      <w:proofErr w:type="gramStart"/>
      <w:r>
        <w:t>as a general rule</w:t>
      </w:r>
      <w:proofErr w:type="gramEnd"/>
      <w:r>
        <w:t xml:space="preserve">, subsidies are excluded from the economy-wide CBA as, from the societal perspective, they do not represent a resource cost, but just a transfer. </w:t>
      </w:r>
    </w:p>
  </w:footnote>
  <w:footnote w:id="25">
    <w:p w14:paraId="24EA44FE" w14:textId="2C948833" w:rsidR="00676882" w:rsidRDefault="00676882" w:rsidP="00676882">
      <w:pPr>
        <w:pStyle w:val="FootnoteText"/>
        <w:spacing w:after="0"/>
      </w:pPr>
      <w:r>
        <w:rPr>
          <w:rStyle w:val="FootnoteReference"/>
        </w:rPr>
        <w:footnoteRef/>
      </w:r>
      <w:r>
        <w:t xml:space="preserve"> The resource cost of different types of construction products varies as there are a number of margins applied throughout the supply chain (</w:t>
      </w:r>
      <w:proofErr w:type="gramStart"/>
      <w:r>
        <w:t>e.g.</w:t>
      </w:r>
      <w:proofErr w:type="gramEnd"/>
      <w:r>
        <w:t xml:space="preserve"> wholesaler and retailer margin and transport margins). A 10 per cent discount on retail costs has been used to approximate the resource cost of construction products based on research by the Reserve Bank of Australia (RBA) that showed that ‘</w:t>
      </w:r>
      <w:r w:rsidRPr="00132009">
        <w:t xml:space="preserve">the cost of goods accounts for around half of the final sale price of retail items, shared between its two inputs – imports and domestically produced </w:t>
      </w:r>
    </w:p>
    <w:p w14:paraId="5939CA58" w14:textId="77777777" w:rsidR="00676882" w:rsidRDefault="00676882" w:rsidP="00676882">
      <w:pPr>
        <w:pStyle w:val="FootnoteText"/>
        <w:spacing w:after="0"/>
      </w:pPr>
    </w:p>
    <w:p w14:paraId="5DD64AA2" w14:textId="7F1A0978" w:rsidR="00676882" w:rsidRPr="00AB404E" w:rsidRDefault="00676882" w:rsidP="00676882">
      <w:pPr>
        <w:pStyle w:val="FootnoteText"/>
        <w:rPr>
          <w:lang w:val="en-US"/>
        </w:rPr>
      </w:pPr>
      <w:r w:rsidRPr="00132009">
        <w:t>good</w:t>
      </w:r>
      <w:r>
        <w:t>s..</w:t>
      </w:r>
      <w:r w:rsidRPr="00132009">
        <w:t>. The remainder reflects the cost of distribution. Splitting this into the various inputs involved in distribution shows that around 20 per cent of the final price is attributable to each of labour and intermediate inputs used by distributors, with the final 10 per cent of the sale price being the net profit of wholesalers and retailers combined</w:t>
      </w:r>
      <w:r>
        <w:t>’.</w:t>
      </w:r>
      <w:sdt>
        <w:sdtPr>
          <w:id w:val="1143923095"/>
          <w:citation/>
        </w:sdtPr>
        <w:sdtContent>
          <w:r>
            <w:fldChar w:fldCharType="begin"/>
          </w:r>
          <w:r>
            <w:instrText xml:space="preserve">CITATION DAr12 \l 3081 </w:instrText>
          </w:r>
          <w:r>
            <w:fldChar w:fldCharType="separate"/>
          </w:r>
          <w:r>
            <w:rPr>
              <w:noProof/>
            </w:rPr>
            <w:t>(D'Arcy P, 2012)</w:t>
          </w:r>
          <w:r>
            <w:fldChar w:fldCharType="end"/>
          </w:r>
        </w:sdtContent>
      </w:sdt>
      <w:r>
        <w:t xml:space="preserve"> available at: </w:t>
      </w:r>
      <w:hyperlink r:id="rId3" w:history="1">
        <w:r w:rsidRPr="002E4DC0">
          <w:rPr>
            <w:rStyle w:val="Hyperlink"/>
          </w:rPr>
          <w:t>https://www.rba.gov.au/publications/bulletin/2012/jun/2.html</w:t>
        </w:r>
      </w:hyperlink>
    </w:p>
  </w:footnote>
  <w:footnote w:id="26">
    <w:p w14:paraId="00FA1281" w14:textId="77777777" w:rsidR="00676882" w:rsidRPr="00CC2545" w:rsidRDefault="00676882" w:rsidP="00676882">
      <w:pPr>
        <w:pStyle w:val="FootnoteText"/>
      </w:pPr>
      <w:r>
        <w:rPr>
          <w:rStyle w:val="FootnoteReference"/>
        </w:rPr>
        <w:footnoteRef/>
      </w:r>
      <w:r>
        <w:t xml:space="preserve"> The </w:t>
      </w:r>
      <w:r w:rsidRPr="00CC2545">
        <w:t xml:space="preserve">basket </w:t>
      </w:r>
      <w:r>
        <w:t xml:space="preserve">included </w:t>
      </w:r>
      <w:r w:rsidRPr="00CC2545">
        <w:t xml:space="preserve">over 150 energy-related building elements, including insulation products, glazing, and different kinds of mechanical and electrical plant, including lighting, which were priced by quantity surveyors, Donald </w:t>
      </w:r>
      <w:proofErr w:type="gramStart"/>
      <w:r w:rsidRPr="00CC2545">
        <w:t>Cant</w:t>
      </w:r>
      <w:proofErr w:type="gramEnd"/>
      <w:r w:rsidRPr="00CC2545">
        <w:t xml:space="preserve"> Watts Corke.</w:t>
      </w:r>
    </w:p>
  </w:footnote>
  <w:footnote w:id="27">
    <w:p w14:paraId="14A496B0" w14:textId="77777777" w:rsidR="00676882" w:rsidRDefault="00676882" w:rsidP="00676882">
      <w:pPr>
        <w:pStyle w:val="FootnoteText"/>
        <w:rPr>
          <w:lang w:val="en-US"/>
        </w:rPr>
      </w:pPr>
      <w:r>
        <w:rPr>
          <w:rStyle w:val="FootnoteReference"/>
        </w:rPr>
        <w:footnoteRef/>
      </w:r>
      <w:r>
        <w:t xml:space="preserve"> IPCC, 2007, cited in ASBEC 2016, </w:t>
      </w:r>
      <w:r>
        <w:rPr>
          <w:i/>
          <w:iCs/>
        </w:rPr>
        <w:t>Building Energy Performance Standards Project, Issues Paper</w:t>
      </w:r>
      <w:r>
        <w:t>, April.</w:t>
      </w:r>
    </w:p>
  </w:footnote>
  <w:footnote w:id="28">
    <w:p w14:paraId="09359DC8" w14:textId="77777777" w:rsidR="00676882" w:rsidRDefault="00676882" w:rsidP="00676882">
      <w:pPr>
        <w:pStyle w:val="FootnoteText"/>
      </w:pPr>
      <w:r>
        <w:rPr>
          <w:rStyle w:val="FootnoteReference"/>
        </w:rPr>
        <w:footnoteRef/>
      </w:r>
      <w:r>
        <w:t xml:space="preserve"> Available at: </w:t>
      </w:r>
      <w:hyperlink r:id="rId4" w:history="1">
        <w:r>
          <w:rPr>
            <w:rStyle w:val="Hyperlink"/>
          </w:rPr>
          <w:t>https://quickstats.censusdata.abs.gov.au/census_services/getproduct/census/2016/quickstat/6?opendocument</w:t>
        </w:r>
      </w:hyperlink>
    </w:p>
  </w:footnote>
  <w:footnote w:id="29">
    <w:p w14:paraId="68F2B757" w14:textId="77777777" w:rsidR="00676882" w:rsidRDefault="00676882" w:rsidP="00676882">
      <w:pPr>
        <w:pStyle w:val="FootnoteText"/>
      </w:pPr>
      <w:r>
        <w:rPr>
          <w:rStyle w:val="FootnoteReference"/>
        </w:rPr>
        <w:footnoteRef/>
      </w:r>
      <w:r>
        <w:t xml:space="preserve"> Available at: </w:t>
      </w:r>
      <w:hyperlink r:id="rId5" w:history="1">
        <w:r>
          <w:rPr>
            <w:rStyle w:val="Hyperlink"/>
          </w:rPr>
          <w:t>https://quickstats.censusdata.abs.gov.au/census_services/getproduct/census/2016/quickstat/8ACTE?opendocument</w:t>
        </w:r>
      </w:hyperlink>
    </w:p>
  </w:footnote>
  <w:footnote w:id="30">
    <w:p w14:paraId="42707735" w14:textId="77777777" w:rsidR="00676882" w:rsidRPr="00264D61" w:rsidRDefault="00676882" w:rsidP="00676882">
      <w:pPr>
        <w:pStyle w:val="FootnoteText"/>
        <w:ind w:left="284" w:hanging="284"/>
      </w:pPr>
      <w:r>
        <w:rPr>
          <w:rStyle w:val="FootnoteReference"/>
        </w:rPr>
        <w:footnoteRef/>
      </w:r>
      <w:r>
        <w:t xml:space="preserve"> </w:t>
      </w:r>
      <w:r>
        <w:tab/>
        <w:t>The theoretical framework for the market solution used in GMG is attributed to</w:t>
      </w:r>
      <w:r w:rsidRPr="00264D61">
        <w:t xml:space="preserve"> Nobel Prize w</w:t>
      </w:r>
      <w:r>
        <w:t>inning economist Paul Samuelson.</w:t>
      </w:r>
    </w:p>
  </w:footnote>
  <w:footnote w:id="31">
    <w:p w14:paraId="6F9A124E" w14:textId="77777777" w:rsidR="00676882" w:rsidRDefault="00676882" w:rsidP="00676882">
      <w:pPr>
        <w:pStyle w:val="FootnoteText"/>
      </w:pPr>
      <w:r>
        <w:rPr>
          <w:rStyle w:val="FootnoteReference"/>
        </w:rPr>
        <w:footnoteRef/>
      </w:r>
      <w:r>
        <w:t xml:space="preserve"> 110 per cent of the percentage increase in the ABS Consumer Price Index (CPI) for Canberra. See: </w:t>
      </w:r>
      <w:hyperlink r:id="rId6" w:history="1">
        <w:r w:rsidRPr="00056AA9">
          <w:rPr>
            <w:rStyle w:val="Hyperlink"/>
          </w:rPr>
          <w:t>https://www.acat.act.gov.au/case-types/rental-disputes/rent-increases</w:t>
        </w:r>
      </w:hyperlink>
      <w:r>
        <w:t xml:space="preserve"> </w:t>
      </w:r>
    </w:p>
  </w:footnote>
  <w:footnote w:id="32">
    <w:p w14:paraId="04BD2350" w14:textId="77777777" w:rsidR="00676882" w:rsidRDefault="00676882" w:rsidP="00676882">
      <w:pPr>
        <w:pStyle w:val="FootnoteText"/>
      </w:pPr>
      <w:r>
        <w:rPr>
          <w:rStyle w:val="FootnoteReference"/>
        </w:rPr>
        <w:footnoteRef/>
      </w:r>
      <w:r>
        <w:t xml:space="preserve"> Available at: </w:t>
      </w:r>
      <w:hyperlink r:id="rId7" w:history="1">
        <w:r w:rsidRPr="00376AB1">
          <w:rPr>
            <w:rStyle w:val="Hyperlink"/>
          </w:rPr>
          <w:t>https://www.yoursay.act.gov.au/minimum-energy-standards</w:t>
        </w:r>
      </w:hyperlink>
      <w:r>
        <w:t xml:space="preserve"> </w:t>
      </w:r>
    </w:p>
  </w:footnote>
  <w:footnote w:id="33">
    <w:p w14:paraId="670079F8" w14:textId="77777777" w:rsidR="00676882" w:rsidRDefault="00676882" w:rsidP="00676882">
      <w:pPr>
        <w:pStyle w:val="FootnoteText"/>
      </w:pPr>
      <w:r>
        <w:rPr>
          <w:rStyle w:val="FootnoteReference"/>
        </w:rPr>
        <w:footnoteRef/>
      </w:r>
      <w:r>
        <w:t xml:space="preserve"> Question: </w:t>
      </w:r>
      <w:r w:rsidRPr="00920E0C">
        <w:rPr>
          <w:i/>
          <w:iCs/>
        </w:rPr>
        <w:t>Who do you think should be most responsible for energy efficiency of rental properties?</w:t>
      </w:r>
    </w:p>
  </w:footnote>
  <w:footnote w:id="34">
    <w:p w14:paraId="18540AFE" w14:textId="77777777" w:rsidR="00676882" w:rsidRDefault="00676882" w:rsidP="00676882">
      <w:pPr>
        <w:pStyle w:val="FootnoteText"/>
      </w:pPr>
      <w:r>
        <w:rPr>
          <w:rStyle w:val="FootnoteReference"/>
        </w:rPr>
        <w:footnoteRef/>
      </w:r>
      <w:r>
        <w:t xml:space="preserve"> Calculated as one-third of each of the rental providers, tenants, and owner-occupiers. For example, 40% = 1/3 x 8% + 1/3 x 82% + 1/3 x 31% — rental providers, tenants, and owner-occupiers respectively.</w:t>
      </w:r>
    </w:p>
  </w:footnote>
  <w:footnote w:id="35">
    <w:p w14:paraId="6B367B54" w14:textId="77777777" w:rsidR="00676882" w:rsidRDefault="00676882" w:rsidP="00676882">
      <w:pPr>
        <w:pStyle w:val="FootnoteText"/>
      </w:pPr>
      <w:r>
        <w:rPr>
          <w:rStyle w:val="FootnoteReference"/>
        </w:rPr>
        <w:footnoteRef/>
      </w:r>
      <w:r>
        <w:t xml:space="preserve"> Question: </w:t>
      </w:r>
      <w:r w:rsidRPr="00A93423">
        <w:rPr>
          <w:i/>
          <w:iCs/>
        </w:rPr>
        <w:t>Making energy efficiency upgrades to a rental property represents a good investment for a landlord</w:t>
      </w:r>
      <w:r>
        <w:rPr>
          <w:i/>
          <w:iCs/>
        </w:rPr>
        <w:t xml:space="preserve"> (lessor).</w:t>
      </w:r>
    </w:p>
  </w:footnote>
  <w:footnote w:id="36">
    <w:p w14:paraId="2426232E" w14:textId="77777777" w:rsidR="00676882" w:rsidRPr="000414C5" w:rsidRDefault="00676882" w:rsidP="00676882">
      <w:pPr>
        <w:pStyle w:val="FootnoteText"/>
        <w:rPr>
          <w:i/>
          <w:iCs/>
        </w:rPr>
      </w:pPr>
      <w:r>
        <w:rPr>
          <w:rStyle w:val="FootnoteReference"/>
        </w:rPr>
        <w:footnoteRef/>
      </w:r>
      <w:r>
        <w:t xml:space="preserve"> Question: </w:t>
      </w:r>
      <w:r>
        <w:rPr>
          <w:i/>
          <w:iCs/>
        </w:rPr>
        <w:t>Out of these three options, which would you most support?</w:t>
      </w:r>
    </w:p>
  </w:footnote>
  <w:footnote w:id="37">
    <w:p w14:paraId="66205148" w14:textId="77777777" w:rsidR="00676882" w:rsidRPr="00F8027C" w:rsidRDefault="00676882" w:rsidP="00676882">
      <w:pPr>
        <w:pStyle w:val="FootnoteText"/>
        <w:rPr>
          <w:i/>
          <w:iCs/>
        </w:rPr>
      </w:pPr>
      <w:r>
        <w:rPr>
          <w:rStyle w:val="FootnoteReference"/>
        </w:rPr>
        <w:footnoteRef/>
      </w:r>
      <w:r>
        <w:t xml:space="preserve"> Question: </w:t>
      </w:r>
      <w:r w:rsidRPr="00A05B97">
        <w:rPr>
          <w:i/>
          <w:iCs/>
        </w:rPr>
        <w:t>Would you support the introduction of a mandatory minimum standard for roof insulation for rental properties in the ACT?</w:t>
      </w:r>
    </w:p>
  </w:footnote>
  <w:footnote w:id="38">
    <w:p w14:paraId="00DB327E" w14:textId="77777777" w:rsidR="00676882" w:rsidRPr="00F8027C" w:rsidRDefault="00676882" w:rsidP="00676882">
      <w:pPr>
        <w:pStyle w:val="FootnoteText"/>
        <w:rPr>
          <w:i/>
          <w:iCs/>
        </w:rPr>
      </w:pPr>
      <w:r>
        <w:rPr>
          <w:rStyle w:val="FootnoteReference"/>
        </w:rPr>
        <w:footnoteRef/>
      </w:r>
      <w:r>
        <w:t xml:space="preserve"> Question: </w:t>
      </w:r>
      <w:r w:rsidRPr="00874912">
        <w:rPr>
          <w:i/>
          <w:iCs/>
        </w:rPr>
        <w:t xml:space="preserve">Would you support the introduction of a mandatory minimum standard for the installation of an energy efficient heater in </w:t>
      </w:r>
      <w:r w:rsidRPr="00A05B97">
        <w:rPr>
          <w:i/>
          <w:iCs/>
        </w:rPr>
        <w:t>rental properties in the ACT?</w:t>
      </w:r>
    </w:p>
  </w:footnote>
  <w:footnote w:id="39">
    <w:p w14:paraId="742CBE7F" w14:textId="77777777" w:rsidR="00676882" w:rsidRPr="00F8027C" w:rsidRDefault="00676882" w:rsidP="00676882">
      <w:pPr>
        <w:pStyle w:val="FootnoteText"/>
        <w:rPr>
          <w:i/>
          <w:iCs/>
        </w:rPr>
      </w:pPr>
      <w:r>
        <w:rPr>
          <w:rStyle w:val="FootnoteReference"/>
        </w:rPr>
        <w:footnoteRef/>
      </w:r>
      <w:r>
        <w:t xml:space="preserve"> Question: </w:t>
      </w:r>
      <w:r w:rsidRPr="00874912">
        <w:rPr>
          <w:i/>
          <w:iCs/>
        </w:rPr>
        <w:t xml:space="preserve">Would you support the introduction of a mandatory minimum energy efficiency performance standard for rental properties </w:t>
      </w:r>
      <w:r w:rsidRPr="00A05B97">
        <w:rPr>
          <w:i/>
          <w:iCs/>
        </w:rPr>
        <w:t>in the ACT?</w:t>
      </w:r>
    </w:p>
  </w:footnote>
  <w:footnote w:id="40">
    <w:p w14:paraId="73950D37" w14:textId="77777777" w:rsidR="00676882" w:rsidRDefault="00676882" w:rsidP="00676882">
      <w:pPr>
        <w:pStyle w:val="FootnoteText"/>
      </w:pPr>
      <w:r>
        <w:rPr>
          <w:rStyle w:val="FootnoteReference"/>
        </w:rPr>
        <w:footnoteRef/>
      </w:r>
      <w:r>
        <w:t xml:space="preserve"> Question: </w:t>
      </w:r>
      <w:r w:rsidRPr="00317FC0">
        <w:rPr>
          <w:i/>
          <w:iCs/>
        </w:rPr>
        <w:t>What is the most practical option for improving the energy efficiency of your rental property/ies?</w:t>
      </w:r>
    </w:p>
  </w:footnote>
  <w:footnote w:id="41">
    <w:p w14:paraId="3828DEC2" w14:textId="77777777" w:rsidR="00676882" w:rsidRDefault="00676882" w:rsidP="00676882">
      <w:pPr>
        <w:pStyle w:val="FootnoteText"/>
      </w:pPr>
      <w:r>
        <w:rPr>
          <w:rStyle w:val="FootnoteReference"/>
        </w:rPr>
        <w:footnoteRef/>
      </w:r>
      <w:r>
        <w:t xml:space="preserve"> Question: </w:t>
      </w:r>
      <w:r w:rsidRPr="00317FC0">
        <w:rPr>
          <w:i/>
          <w:iCs/>
        </w:rPr>
        <w:t>What are your preferred options for improving the energy efficiency of your dwelling?</w:t>
      </w:r>
    </w:p>
  </w:footnote>
  <w:footnote w:id="42">
    <w:p w14:paraId="12F681FC" w14:textId="77777777" w:rsidR="00676882" w:rsidRDefault="00676882" w:rsidP="00676882">
      <w:pPr>
        <w:pStyle w:val="FootnoteText"/>
      </w:pPr>
      <w:r>
        <w:rPr>
          <w:rStyle w:val="FootnoteReference"/>
        </w:rPr>
        <w:footnoteRef/>
      </w:r>
      <w:r>
        <w:t xml:space="preserve"> The age of the rental property is a simple and important indicator which requires less judgement. The slight difference between rental provider answers and tenants suggests there may be some skew in the respondents of the survey. Rental providers with relatively better properties, who may have no need to make upgrades and therefore see no value in the standards may have been more motivated to respond to the survey. Likewise, tenants only in poorly performing rental properties may have been more motivated to respond to the survey.</w:t>
      </w:r>
    </w:p>
  </w:footnote>
  <w:footnote w:id="43">
    <w:p w14:paraId="15E55B4B" w14:textId="77777777" w:rsidR="00676882" w:rsidRDefault="00676882" w:rsidP="00676882">
      <w:pPr>
        <w:pStyle w:val="FootnoteText"/>
      </w:pPr>
      <w:r>
        <w:rPr>
          <w:rStyle w:val="FootnoteReference"/>
        </w:rPr>
        <w:footnoteRef/>
      </w:r>
      <w:r>
        <w:t xml:space="preserve"> Question: </w:t>
      </w:r>
      <w:r w:rsidRPr="00317FC0">
        <w:rPr>
          <w:i/>
          <w:iCs/>
        </w:rPr>
        <w:t>For your dwelling, was it built approximately:</w:t>
      </w:r>
    </w:p>
  </w:footnote>
  <w:footnote w:id="44">
    <w:p w14:paraId="1AEC0F4F" w14:textId="77777777" w:rsidR="00676882" w:rsidRDefault="00676882" w:rsidP="00676882">
      <w:pPr>
        <w:pStyle w:val="FootnoteText"/>
      </w:pPr>
      <w:r>
        <w:rPr>
          <w:rStyle w:val="FootnoteReference"/>
        </w:rPr>
        <w:footnoteRef/>
      </w:r>
      <w:r>
        <w:t xml:space="preserve"> Question: </w:t>
      </w:r>
      <w:r w:rsidRPr="00317FC0">
        <w:rPr>
          <w:i/>
          <w:iCs/>
        </w:rPr>
        <w:t>Please provide an estimate of the rating of the energy efficiency of your property.</w:t>
      </w:r>
    </w:p>
  </w:footnote>
  <w:footnote w:id="45">
    <w:p w14:paraId="6D1412FA" w14:textId="77777777" w:rsidR="00676882" w:rsidRDefault="00676882" w:rsidP="00676882">
      <w:pPr>
        <w:pStyle w:val="FootnoteText"/>
      </w:pPr>
      <w:r>
        <w:rPr>
          <w:rStyle w:val="FootnoteReference"/>
        </w:rPr>
        <w:footnoteRef/>
      </w:r>
      <w:r>
        <w:t xml:space="preserve"> Question: </w:t>
      </w:r>
      <w:r w:rsidRPr="00317FC0">
        <w:rPr>
          <w:i/>
          <w:iCs/>
        </w:rPr>
        <w:t>How would you rate the current energy efficiency for your current dwelling (in terms of the home itself and any fixed features/appliances)?</w:t>
      </w:r>
    </w:p>
  </w:footnote>
  <w:footnote w:id="46">
    <w:p w14:paraId="3628F363" w14:textId="77777777" w:rsidR="00676882" w:rsidRDefault="00676882" w:rsidP="00676882">
      <w:pPr>
        <w:pStyle w:val="FootnoteText"/>
      </w:pPr>
      <w:r>
        <w:rPr>
          <w:rStyle w:val="FootnoteReference"/>
        </w:rPr>
        <w:footnoteRef/>
      </w:r>
      <w:r>
        <w:t xml:space="preserve"> Question: </w:t>
      </w:r>
      <w:r w:rsidRPr="00317FC0">
        <w:rPr>
          <w:i/>
          <w:iCs/>
        </w:rPr>
        <w:t>Which of the following are present in your current dwelling?</w:t>
      </w:r>
    </w:p>
  </w:footnote>
  <w:footnote w:id="47">
    <w:p w14:paraId="5C0DEC76" w14:textId="77777777" w:rsidR="00676882" w:rsidRPr="00317FC0" w:rsidRDefault="00676882" w:rsidP="00676882">
      <w:pPr>
        <w:pStyle w:val="FootnoteText"/>
        <w:rPr>
          <w:rFonts w:eastAsiaTheme="minorEastAsia"/>
          <w:lang w:eastAsia="zh-CN"/>
        </w:rPr>
      </w:pPr>
      <w:r>
        <w:rPr>
          <w:rStyle w:val="FootnoteReference"/>
        </w:rPr>
        <w:footnoteRef/>
      </w:r>
      <w:r>
        <w:t xml:space="preserve"> Question:</w:t>
      </w:r>
      <w:r w:rsidRPr="00317FC0">
        <w:rPr>
          <w:i/>
          <w:iCs/>
        </w:rPr>
        <w:t xml:space="preserve"> How do you heat your home?</w:t>
      </w:r>
    </w:p>
  </w:footnote>
  <w:footnote w:id="48">
    <w:p w14:paraId="1D35605B" w14:textId="77777777" w:rsidR="00676882" w:rsidRDefault="00676882" w:rsidP="00676882">
      <w:pPr>
        <w:pStyle w:val="FootnoteText"/>
      </w:pPr>
      <w:r>
        <w:rPr>
          <w:rStyle w:val="FootnoteReference"/>
        </w:rPr>
        <w:footnoteRef/>
      </w:r>
      <w:r>
        <w:t xml:space="preserve"> Question:</w:t>
      </w:r>
      <w:r w:rsidRPr="00317FC0">
        <w:rPr>
          <w:i/>
          <w:iCs/>
        </w:rPr>
        <w:t xml:space="preserve"> How do you cool your home?</w:t>
      </w:r>
    </w:p>
  </w:footnote>
  <w:footnote w:id="49">
    <w:p w14:paraId="23BE55B5" w14:textId="77777777" w:rsidR="00676882" w:rsidRDefault="00676882" w:rsidP="00676882">
      <w:pPr>
        <w:pStyle w:val="FootnoteText"/>
      </w:pPr>
      <w:r>
        <w:rPr>
          <w:rStyle w:val="FootnoteReference"/>
        </w:rPr>
        <w:footnoteRef/>
      </w:r>
      <w:r>
        <w:t xml:space="preserve"> Question: </w:t>
      </w:r>
      <w:r w:rsidRPr="00317FC0">
        <w:rPr>
          <w:i/>
          <w:iCs/>
        </w:rPr>
        <w:t>How informed do you feel about ways to improve the energy efficiency of your rental property/ies?</w:t>
      </w:r>
    </w:p>
  </w:footnote>
  <w:footnote w:id="50">
    <w:p w14:paraId="57EAC1A4" w14:textId="77777777" w:rsidR="00676882" w:rsidRDefault="00676882" w:rsidP="00676882">
      <w:pPr>
        <w:pStyle w:val="FootnoteText"/>
      </w:pPr>
      <w:r>
        <w:rPr>
          <w:rStyle w:val="FootnoteReference"/>
        </w:rPr>
        <w:footnoteRef/>
      </w:r>
      <w:r>
        <w:t xml:space="preserve"> Question: </w:t>
      </w:r>
      <w:r w:rsidRPr="00317FC0">
        <w:rPr>
          <w:i/>
          <w:iCs/>
        </w:rPr>
        <w:t>Are you aware of any government incentives to improve the energy efficiency of residential properties?</w:t>
      </w:r>
    </w:p>
  </w:footnote>
  <w:footnote w:id="51">
    <w:p w14:paraId="641395F4" w14:textId="77777777" w:rsidR="00676882" w:rsidRDefault="00676882" w:rsidP="00676882">
      <w:pPr>
        <w:pStyle w:val="FootnoteText"/>
      </w:pPr>
      <w:r>
        <w:rPr>
          <w:rStyle w:val="FootnoteReference"/>
        </w:rPr>
        <w:footnoteRef/>
      </w:r>
      <w:r>
        <w:t xml:space="preserve"> Question: </w:t>
      </w:r>
      <w:r w:rsidRPr="00317FC0">
        <w:rPr>
          <w:i/>
          <w:iCs/>
        </w:rPr>
        <w:t>Have you ever asked your lessor (landlord) or real estate agent/property manager about having energy efficiency measures installed (</w:t>
      </w:r>
      <w:proofErr w:type="gramStart"/>
      <w:r w:rsidRPr="00317FC0">
        <w:rPr>
          <w:i/>
          <w:iCs/>
        </w:rPr>
        <w:t>e.g.</w:t>
      </w:r>
      <w:proofErr w:type="gramEnd"/>
      <w:r w:rsidRPr="00317FC0">
        <w:rPr>
          <w:i/>
          <w:iCs/>
        </w:rPr>
        <w:t xml:space="preserve"> LED light bulbs, thick curtains or block-out blinds, more efficient heating/cooling system, etc.)?</w:t>
      </w:r>
    </w:p>
  </w:footnote>
  <w:footnote w:id="52">
    <w:p w14:paraId="5E6CA8A0" w14:textId="77777777" w:rsidR="00676882" w:rsidRDefault="00676882" w:rsidP="00676882">
      <w:pPr>
        <w:pStyle w:val="FootnoteText"/>
      </w:pPr>
      <w:r>
        <w:rPr>
          <w:rStyle w:val="FootnoteReference"/>
        </w:rPr>
        <w:footnoteRef/>
      </w:r>
      <w:r>
        <w:t xml:space="preserve"> Question: </w:t>
      </w:r>
      <w:r w:rsidRPr="00317FC0">
        <w:rPr>
          <w:i/>
          <w:iCs/>
        </w:rPr>
        <w:t>Have you or your property manager ever received queries or complaints from tenants related to energy issues at your property/ies (</w:t>
      </w:r>
      <w:proofErr w:type="gramStart"/>
      <w:r w:rsidRPr="00317FC0">
        <w:rPr>
          <w:i/>
          <w:iCs/>
        </w:rPr>
        <w:t>e.g.</w:t>
      </w:r>
      <w:proofErr w:type="gramEnd"/>
      <w:r w:rsidRPr="00317FC0">
        <w:rPr>
          <w:i/>
          <w:iCs/>
        </w:rPr>
        <w:t xml:space="preserve"> bill size or difficulty of heating or cooling the property)?</w:t>
      </w:r>
    </w:p>
  </w:footnote>
  <w:footnote w:id="53">
    <w:p w14:paraId="098DED0D" w14:textId="77777777" w:rsidR="00676882" w:rsidRDefault="00676882" w:rsidP="00676882">
      <w:pPr>
        <w:pStyle w:val="FootnoteText"/>
      </w:pPr>
      <w:r>
        <w:rPr>
          <w:rStyle w:val="FootnoteReference"/>
        </w:rPr>
        <w:footnoteRef/>
      </w:r>
      <w:r>
        <w:t xml:space="preserve"> Question: </w:t>
      </w:r>
      <w:r w:rsidRPr="00317FC0">
        <w:rPr>
          <w:i/>
          <w:iCs/>
        </w:rPr>
        <w:t>What was the lessor's (landlord's) response?</w:t>
      </w:r>
    </w:p>
  </w:footnote>
  <w:footnote w:id="54">
    <w:p w14:paraId="24CBC6EB" w14:textId="77777777" w:rsidR="00676882" w:rsidRDefault="00676882" w:rsidP="00676882">
      <w:pPr>
        <w:pStyle w:val="FootnoteText"/>
      </w:pPr>
      <w:r>
        <w:rPr>
          <w:rStyle w:val="FootnoteReference"/>
        </w:rPr>
        <w:footnoteRef/>
      </w:r>
      <w:r>
        <w:t xml:space="preserve"> Question: </w:t>
      </w:r>
      <w:r w:rsidRPr="00317FC0">
        <w:rPr>
          <w:i/>
          <w:iCs/>
        </w:rPr>
        <w:t>What, if anything would you do differently in relation to your rental property/ies if a minimum energy efficiency standard required you to invest in energy efficiency measures?</w:t>
      </w:r>
    </w:p>
  </w:footnote>
  <w:footnote w:id="55">
    <w:p w14:paraId="389AEBE1" w14:textId="77777777" w:rsidR="00676882" w:rsidRDefault="00676882" w:rsidP="00676882">
      <w:pPr>
        <w:pStyle w:val="FootnoteText"/>
      </w:pPr>
      <w:r>
        <w:rPr>
          <w:rStyle w:val="FootnoteReference"/>
        </w:rPr>
        <w:footnoteRef/>
      </w:r>
      <w:r>
        <w:t xml:space="preserve"> Question: </w:t>
      </w:r>
      <w:r w:rsidRPr="00317FC0">
        <w:rPr>
          <w:i/>
          <w:iCs/>
        </w:rPr>
        <w:t>How much would you consider increasing the rent of your property?</w:t>
      </w:r>
    </w:p>
  </w:footnote>
  <w:footnote w:id="56">
    <w:p w14:paraId="2A57EDA8" w14:textId="77777777" w:rsidR="00676882" w:rsidRPr="00E9363D" w:rsidRDefault="00676882" w:rsidP="00676882">
      <w:pPr>
        <w:pStyle w:val="FootnoteText"/>
      </w:pPr>
      <w:r>
        <w:rPr>
          <w:rStyle w:val="FootnoteReference"/>
        </w:rPr>
        <w:footnoteRef/>
      </w:r>
      <w:r>
        <w:t xml:space="preserve"> Question: </w:t>
      </w:r>
      <w:r w:rsidRPr="00317FC0">
        <w:rPr>
          <w:i/>
          <w:iCs/>
        </w:rPr>
        <w:t>If a minimum energy efficiency standard required an investment by your landlord in improvements to your dwelling which saved you approximately $100 per quarter (three months) in energy costs, what additional rent would you be willing to pay?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003DB" w14:textId="77777777" w:rsidR="00676882" w:rsidRDefault="006768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23770" w14:textId="77777777" w:rsidR="00676882" w:rsidRDefault="006768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46A64" w14:textId="77777777" w:rsidR="00676882" w:rsidRDefault="006768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F4261" w14:textId="77777777" w:rsidR="00676882" w:rsidRPr="008D7430" w:rsidRDefault="00676882" w:rsidP="008D743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86704" w14:textId="77777777" w:rsidR="00676882" w:rsidRPr="008D7430" w:rsidRDefault="00676882" w:rsidP="008D7430">
    <w:pPr>
      <w:pStyle w:val="tagcontactsPage-Fron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2DE26" w14:textId="77777777" w:rsidR="00676882" w:rsidRPr="008D7430" w:rsidRDefault="00676882" w:rsidP="008D74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45905" w14:textId="77777777" w:rsidR="00676882" w:rsidRPr="00733707" w:rsidRDefault="00676882" w:rsidP="006B0263">
    <w:pPr>
      <w:pStyle w:val="Header"/>
      <w:rPr>
        <w:szCs w:val="16"/>
      </w:rPr>
    </w:pPr>
    <w:r w:rsidRPr="000261B1">
      <w:rPr>
        <w:noProof/>
      </w:rPr>
      <mc:AlternateContent>
        <mc:Choice Requires="wpg">
          <w:drawing>
            <wp:anchor distT="0" distB="0" distL="114300" distR="114300" simplePos="0" relativeHeight="251660288" behindDoc="0" locked="1" layoutInCell="1" allowOverlap="1" wp14:anchorId="10745B07" wp14:editId="5AD4D157">
              <wp:simplePos x="0" y="0"/>
              <wp:positionH relativeFrom="page">
                <wp:posOffset>436245</wp:posOffset>
              </wp:positionH>
              <wp:positionV relativeFrom="page">
                <wp:posOffset>413385</wp:posOffset>
              </wp:positionV>
              <wp:extent cx="981075" cy="142875"/>
              <wp:effectExtent l="0" t="0" r="9525" b="9525"/>
              <wp:wrapNone/>
              <wp:docPr id="38" name="logo_AAC_TandG"/>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81075" cy="142875"/>
                        <a:chOff x="0" y="-21209"/>
                        <a:chExt cx="12188825" cy="1878663"/>
                      </a:xfrm>
                    </wpg:grpSpPr>
                    <wps:wsp>
                      <wps:cNvPr id="39" name="Rectangle 39"/>
                      <wps:cNvSpPr>
                        <a:spLocks noChangeArrowheads="1"/>
                      </wps:cNvSpPr>
                      <wps:spPr bwMode="auto">
                        <a:xfrm>
                          <a:off x="0" y="1643143"/>
                          <a:ext cx="1439863" cy="214311"/>
                        </a:xfrm>
                        <a:prstGeom prst="rect">
                          <a:avLst/>
                        </a:prstGeom>
                        <a:solidFill>
                          <a:srgbClr val="6C3F99"/>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47" name="Freeform 6"/>
                      <wps:cNvSpPr>
                        <a:spLocks noEditPoints="1"/>
                      </wps:cNvSpPr>
                      <wps:spPr bwMode="auto">
                        <a:xfrm>
                          <a:off x="0" y="-21209"/>
                          <a:ext cx="12188825" cy="1296330"/>
                        </a:xfrm>
                        <a:custGeom>
                          <a:avLst/>
                          <a:gdLst>
                            <a:gd name="T0" fmla="*/ 4214 w 4841"/>
                            <a:gd name="T1" fmla="*/ 457 h 477"/>
                            <a:gd name="T2" fmla="*/ 3766 w 4841"/>
                            <a:gd name="T3" fmla="*/ 21 h 477"/>
                            <a:gd name="T4" fmla="*/ 4214 w 4841"/>
                            <a:gd name="T5" fmla="*/ 104 h 477"/>
                            <a:gd name="T6" fmla="*/ 3864 w 4841"/>
                            <a:gd name="T7" fmla="*/ 193 h 477"/>
                            <a:gd name="T8" fmla="*/ 4151 w 4841"/>
                            <a:gd name="T9" fmla="*/ 277 h 477"/>
                            <a:gd name="T10" fmla="*/ 3864 w 4841"/>
                            <a:gd name="T11" fmla="*/ 370 h 477"/>
                            <a:gd name="T12" fmla="*/ 4345 w 4841"/>
                            <a:gd name="T13" fmla="*/ 21 h 477"/>
                            <a:gd name="T14" fmla="*/ 4442 w 4841"/>
                            <a:gd name="T15" fmla="*/ 457 h 477"/>
                            <a:gd name="T16" fmla="*/ 4753 w 4841"/>
                            <a:gd name="T17" fmla="*/ 457 h 477"/>
                            <a:gd name="T18" fmla="*/ 4841 w 4841"/>
                            <a:gd name="T19" fmla="*/ 21 h 477"/>
                            <a:gd name="T20" fmla="*/ 4745 w 4841"/>
                            <a:gd name="T21" fmla="*/ 319 h 477"/>
                            <a:gd name="T22" fmla="*/ 4345 w 4841"/>
                            <a:gd name="T23" fmla="*/ 21 h 477"/>
                            <a:gd name="T24" fmla="*/ 375 w 4841"/>
                            <a:gd name="T25" fmla="*/ 283 h 477"/>
                            <a:gd name="T26" fmla="*/ 196 w 4841"/>
                            <a:gd name="T27" fmla="*/ 283 h 477"/>
                            <a:gd name="T28" fmla="*/ 572 w 4841"/>
                            <a:gd name="T29" fmla="*/ 457 h 477"/>
                            <a:gd name="T30" fmla="*/ 418 w 4841"/>
                            <a:gd name="T31" fmla="*/ 365 h 477"/>
                            <a:gd name="T32" fmla="*/ 107 w 4841"/>
                            <a:gd name="T33" fmla="*/ 457 h 477"/>
                            <a:gd name="T34" fmla="*/ 231 w 4841"/>
                            <a:gd name="T35" fmla="*/ 21 h 477"/>
                            <a:gd name="T36" fmla="*/ 2456 w 4841"/>
                            <a:gd name="T37" fmla="*/ 283 h 477"/>
                            <a:gd name="T38" fmla="*/ 2276 w 4841"/>
                            <a:gd name="T39" fmla="*/ 283 h 477"/>
                            <a:gd name="T40" fmla="*/ 2422 w 4841"/>
                            <a:gd name="T41" fmla="*/ 21 h 477"/>
                            <a:gd name="T42" fmla="*/ 2546 w 4841"/>
                            <a:gd name="T43" fmla="*/ 457 h 477"/>
                            <a:gd name="T44" fmla="*/ 2234 w 4841"/>
                            <a:gd name="T45" fmla="*/ 365 h 477"/>
                            <a:gd name="T46" fmla="*/ 2081 w 4841"/>
                            <a:gd name="T47" fmla="*/ 457 h 477"/>
                            <a:gd name="T48" fmla="*/ 2422 w 4841"/>
                            <a:gd name="T49" fmla="*/ 21 h 477"/>
                            <a:gd name="T50" fmla="*/ 932 w 4841"/>
                            <a:gd name="T51" fmla="*/ 378 h 477"/>
                            <a:gd name="T52" fmla="*/ 719 w 4841"/>
                            <a:gd name="T53" fmla="*/ 306 h 477"/>
                            <a:gd name="T54" fmla="*/ 797 w 4841"/>
                            <a:gd name="T55" fmla="*/ 105 h 477"/>
                            <a:gd name="T56" fmla="*/ 1016 w 4841"/>
                            <a:gd name="T57" fmla="*/ 156 h 477"/>
                            <a:gd name="T58" fmla="*/ 1113 w 4841"/>
                            <a:gd name="T59" fmla="*/ 117 h 477"/>
                            <a:gd name="T60" fmla="*/ 942 w 4841"/>
                            <a:gd name="T61" fmla="*/ 13 h 477"/>
                            <a:gd name="T62" fmla="*/ 617 w 4841"/>
                            <a:gd name="T63" fmla="*/ 155 h 477"/>
                            <a:gd name="T64" fmla="*/ 745 w 4841"/>
                            <a:gd name="T65" fmla="*/ 449 h 477"/>
                            <a:gd name="T66" fmla="*/ 1084 w 4841"/>
                            <a:gd name="T67" fmla="*/ 395 h 477"/>
                            <a:gd name="T68" fmla="*/ 1023 w 4841"/>
                            <a:gd name="T69" fmla="*/ 314 h 477"/>
                            <a:gd name="T70" fmla="*/ 1582 w 4841"/>
                            <a:gd name="T71" fmla="*/ 371 h 477"/>
                            <a:gd name="T72" fmla="*/ 1483 w 4841"/>
                            <a:gd name="T73" fmla="*/ 21 h 477"/>
                            <a:gd name="T74" fmla="*/ 1891 w 4841"/>
                            <a:gd name="T75" fmla="*/ 457 h 477"/>
                            <a:gd name="T76" fmla="*/ 1582 w 4841"/>
                            <a:gd name="T77" fmla="*/ 371 h 477"/>
                            <a:gd name="T78" fmla="*/ 2845 w 4841"/>
                            <a:gd name="T79" fmla="*/ 21 h 477"/>
                            <a:gd name="T80" fmla="*/ 2747 w 4841"/>
                            <a:gd name="T81" fmla="*/ 457 h 477"/>
                            <a:gd name="T82" fmla="*/ 3155 w 4841"/>
                            <a:gd name="T83" fmla="*/ 370 h 477"/>
                            <a:gd name="T84" fmla="*/ 3350 w 4841"/>
                            <a:gd name="T85" fmla="*/ 370 h 477"/>
                            <a:gd name="T86" fmla="*/ 3253 w 4841"/>
                            <a:gd name="T87" fmla="*/ 21 h 477"/>
                            <a:gd name="T88" fmla="*/ 3660 w 4841"/>
                            <a:gd name="T89" fmla="*/ 457 h 477"/>
                            <a:gd name="T90" fmla="*/ 3350 w 4841"/>
                            <a:gd name="T91" fmla="*/ 370 h 477"/>
                            <a:gd name="T92" fmla="*/ 1335 w 4841"/>
                            <a:gd name="T93" fmla="*/ 457 h 477"/>
                            <a:gd name="T94" fmla="*/ 1233 w 4841"/>
                            <a:gd name="T95" fmla="*/ 21 h 4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4841" h="477">
                              <a:moveTo>
                                <a:pt x="4214" y="370"/>
                              </a:moveTo>
                              <a:cubicBezTo>
                                <a:pt x="4214" y="457"/>
                                <a:pt x="4214" y="457"/>
                                <a:pt x="4214" y="457"/>
                              </a:cubicBezTo>
                              <a:cubicBezTo>
                                <a:pt x="3766" y="457"/>
                                <a:pt x="3766" y="457"/>
                                <a:pt x="3766" y="457"/>
                              </a:cubicBezTo>
                              <a:cubicBezTo>
                                <a:pt x="3766" y="21"/>
                                <a:pt x="3766" y="21"/>
                                <a:pt x="3766" y="21"/>
                              </a:cubicBezTo>
                              <a:cubicBezTo>
                                <a:pt x="4214" y="21"/>
                                <a:pt x="4214" y="21"/>
                                <a:pt x="4214" y="21"/>
                              </a:cubicBezTo>
                              <a:cubicBezTo>
                                <a:pt x="4214" y="104"/>
                                <a:pt x="4214" y="104"/>
                                <a:pt x="4214" y="104"/>
                              </a:cubicBezTo>
                              <a:cubicBezTo>
                                <a:pt x="3864" y="104"/>
                                <a:pt x="3864" y="104"/>
                                <a:pt x="3864" y="104"/>
                              </a:cubicBezTo>
                              <a:cubicBezTo>
                                <a:pt x="3864" y="193"/>
                                <a:pt x="3864" y="193"/>
                                <a:pt x="3864" y="193"/>
                              </a:cubicBezTo>
                              <a:cubicBezTo>
                                <a:pt x="4151" y="194"/>
                                <a:pt x="4151" y="194"/>
                                <a:pt x="4151" y="194"/>
                              </a:cubicBezTo>
                              <a:cubicBezTo>
                                <a:pt x="4151" y="277"/>
                                <a:pt x="4151" y="277"/>
                                <a:pt x="4151" y="277"/>
                              </a:cubicBezTo>
                              <a:cubicBezTo>
                                <a:pt x="3864" y="277"/>
                                <a:pt x="3864" y="277"/>
                                <a:pt x="3864" y="277"/>
                              </a:cubicBezTo>
                              <a:cubicBezTo>
                                <a:pt x="3864" y="370"/>
                                <a:pt x="3864" y="370"/>
                                <a:pt x="3864" y="370"/>
                              </a:cubicBezTo>
                              <a:lnTo>
                                <a:pt x="4214" y="370"/>
                              </a:lnTo>
                              <a:close/>
                              <a:moveTo>
                                <a:pt x="4345" y="21"/>
                              </a:moveTo>
                              <a:cubicBezTo>
                                <a:pt x="4345" y="457"/>
                                <a:pt x="4345" y="457"/>
                                <a:pt x="4345" y="457"/>
                              </a:cubicBezTo>
                              <a:cubicBezTo>
                                <a:pt x="4442" y="457"/>
                                <a:pt x="4442" y="457"/>
                                <a:pt x="4442" y="457"/>
                              </a:cubicBezTo>
                              <a:cubicBezTo>
                                <a:pt x="4442" y="144"/>
                                <a:pt x="4442" y="144"/>
                                <a:pt x="4442" y="144"/>
                              </a:cubicBezTo>
                              <a:cubicBezTo>
                                <a:pt x="4753" y="457"/>
                                <a:pt x="4753" y="457"/>
                                <a:pt x="4753" y="457"/>
                              </a:cubicBezTo>
                              <a:cubicBezTo>
                                <a:pt x="4841" y="457"/>
                                <a:pt x="4841" y="457"/>
                                <a:pt x="4841" y="457"/>
                              </a:cubicBezTo>
                              <a:cubicBezTo>
                                <a:pt x="4841" y="21"/>
                                <a:pt x="4841" y="21"/>
                                <a:pt x="4841" y="21"/>
                              </a:cubicBezTo>
                              <a:cubicBezTo>
                                <a:pt x="4745" y="21"/>
                                <a:pt x="4745" y="21"/>
                                <a:pt x="4745" y="21"/>
                              </a:cubicBezTo>
                              <a:cubicBezTo>
                                <a:pt x="4745" y="319"/>
                                <a:pt x="4745" y="319"/>
                                <a:pt x="4745" y="319"/>
                              </a:cubicBezTo>
                              <a:cubicBezTo>
                                <a:pt x="4450" y="21"/>
                                <a:pt x="4450" y="21"/>
                                <a:pt x="4450" y="21"/>
                              </a:cubicBezTo>
                              <a:lnTo>
                                <a:pt x="4345" y="21"/>
                              </a:lnTo>
                              <a:close/>
                              <a:moveTo>
                                <a:pt x="196" y="283"/>
                              </a:moveTo>
                              <a:cubicBezTo>
                                <a:pt x="375" y="283"/>
                                <a:pt x="375" y="283"/>
                                <a:pt x="375" y="283"/>
                              </a:cubicBezTo>
                              <a:cubicBezTo>
                                <a:pt x="283" y="109"/>
                                <a:pt x="283" y="109"/>
                                <a:pt x="283" y="109"/>
                              </a:cubicBezTo>
                              <a:lnTo>
                                <a:pt x="196" y="283"/>
                              </a:lnTo>
                              <a:close/>
                              <a:moveTo>
                                <a:pt x="341" y="21"/>
                              </a:moveTo>
                              <a:cubicBezTo>
                                <a:pt x="572" y="457"/>
                                <a:pt x="572" y="457"/>
                                <a:pt x="572" y="457"/>
                              </a:cubicBezTo>
                              <a:cubicBezTo>
                                <a:pt x="464" y="457"/>
                                <a:pt x="464" y="457"/>
                                <a:pt x="464" y="457"/>
                              </a:cubicBezTo>
                              <a:cubicBezTo>
                                <a:pt x="418" y="365"/>
                                <a:pt x="418" y="365"/>
                                <a:pt x="418" y="365"/>
                              </a:cubicBezTo>
                              <a:cubicBezTo>
                                <a:pt x="153" y="365"/>
                                <a:pt x="153" y="365"/>
                                <a:pt x="153" y="365"/>
                              </a:cubicBezTo>
                              <a:cubicBezTo>
                                <a:pt x="107" y="457"/>
                                <a:pt x="107" y="457"/>
                                <a:pt x="107" y="457"/>
                              </a:cubicBezTo>
                              <a:cubicBezTo>
                                <a:pt x="0" y="457"/>
                                <a:pt x="0" y="457"/>
                                <a:pt x="0" y="457"/>
                              </a:cubicBezTo>
                              <a:cubicBezTo>
                                <a:pt x="231" y="21"/>
                                <a:pt x="231" y="21"/>
                                <a:pt x="231" y="21"/>
                              </a:cubicBezTo>
                              <a:lnTo>
                                <a:pt x="341" y="21"/>
                              </a:lnTo>
                              <a:close/>
                              <a:moveTo>
                                <a:pt x="2456" y="283"/>
                              </a:moveTo>
                              <a:cubicBezTo>
                                <a:pt x="2366" y="106"/>
                                <a:pt x="2366" y="106"/>
                                <a:pt x="2366" y="106"/>
                              </a:cubicBezTo>
                              <a:cubicBezTo>
                                <a:pt x="2276" y="283"/>
                                <a:pt x="2276" y="283"/>
                                <a:pt x="2276" y="283"/>
                              </a:cubicBezTo>
                              <a:lnTo>
                                <a:pt x="2456" y="283"/>
                              </a:lnTo>
                              <a:close/>
                              <a:moveTo>
                                <a:pt x="2422" y="21"/>
                              </a:moveTo>
                              <a:cubicBezTo>
                                <a:pt x="2654" y="457"/>
                                <a:pt x="2654" y="457"/>
                                <a:pt x="2654" y="457"/>
                              </a:cubicBezTo>
                              <a:cubicBezTo>
                                <a:pt x="2546" y="457"/>
                                <a:pt x="2546" y="457"/>
                                <a:pt x="2546" y="457"/>
                              </a:cubicBezTo>
                              <a:cubicBezTo>
                                <a:pt x="2499" y="365"/>
                                <a:pt x="2499" y="365"/>
                                <a:pt x="2499" y="365"/>
                              </a:cubicBezTo>
                              <a:cubicBezTo>
                                <a:pt x="2234" y="365"/>
                                <a:pt x="2234" y="365"/>
                                <a:pt x="2234" y="365"/>
                              </a:cubicBezTo>
                              <a:cubicBezTo>
                                <a:pt x="2188" y="457"/>
                                <a:pt x="2188" y="457"/>
                                <a:pt x="2188" y="457"/>
                              </a:cubicBezTo>
                              <a:cubicBezTo>
                                <a:pt x="2081" y="457"/>
                                <a:pt x="2081" y="457"/>
                                <a:pt x="2081" y="457"/>
                              </a:cubicBezTo>
                              <a:cubicBezTo>
                                <a:pt x="2312" y="21"/>
                                <a:pt x="2312" y="21"/>
                                <a:pt x="2312" y="21"/>
                              </a:cubicBezTo>
                              <a:lnTo>
                                <a:pt x="2422" y="21"/>
                              </a:lnTo>
                              <a:close/>
                              <a:moveTo>
                                <a:pt x="1015" y="325"/>
                              </a:moveTo>
                              <a:cubicBezTo>
                                <a:pt x="993" y="353"/>
                                <a:pt x="966" y="371"/>
                                <a:pt x="932" y="378"/>
                              </a:cubicBezTo>
                              <a:cubicBezTo>
                                <a:pt x="886" y="388"/>
                                <a:pt x="841" y="387"/>
                                <a:pt x="796" y="372"/>
                              </a:cubicBezTo>
                              <a:cubicBezTo>
                                <a:pt x="762" y="360"/>
                                <a:pt x="735" y="339"/>
                                <a:pt x="719" y="306"/>
                              </a:cubicBezTo>
                              <a:cubicBezTo>
                                <a:pt x="707" y="280"/>
                                <a:pt x="704" y="254"/>
                                <a:pt x="705" y="226"/>
                              </a:cubicBezTo>
                              <a:cubicBezTo>
                                <a:pt x="709" y="168"/>
                                <a:pt x="741" y="125"/>
                                <a:pt x="797" y="105"/>
                              </a:cubicBezTo>
                              <a:cubicBezTo>
                                <a:pt x="837" y="91"/>
                                <a:pt x="879" y="89"/>
                                <a:pt x="920" y="96"/>
                              </a:cubicBezTo>
                              <a:cubicBezTo>
                                <a:pt x="960" y="103"/>
                                <a:pt x="993" y="123"/>
                                <a:pt x="1016" y="156"/>
                              </a:cubicBezTo>
                              <a:cubicBezTo>
                                <a:pt x="1018" y="158"/>
                                <a:pt x="1020" y="160"/>
                                <a:pt x="1022" y="163"/>
                              </a:cubicBezTo>
                              <a:cubicBezTo>
                                <a:pt x="1052" y="148"/>
                                <a:pt x="1082" y="133"/>
                                <a:pt x="1113" y="117"/>
                              </a:cubicBezTo>
                              <a:cubicBezTo>
                                <a:pt x="1106" y="108"/>
                                <a:pt x="1100" y="99"/>
                                <a:pt x="1092" y="92"/>
                              </a:cubicBezTo>
                              <a:cubicBezTo>
                                <a:pt x="1051" y="49"/>
                                <a:pt x="1000" y="24"/>
                                <a:pt x="942" y="13"/>
                              </a:cubicBezTo>
                              <a:cubicBezTo>
                                <a:pt x="874" y="0"/>
                                <a:pt x="808" y="6"/>
                                <a:pt x="744" y="30"/>
                              </a:cubicBezTo>
                              <a:cubicBezTo>
                                <a:pt x="683" y="53"/>
                                <a:pt x="639" y="93"/>
                                <a:pt x="617" y="155"/>
                              </a:cubicBezTo>
                              <a:cubicBezTo>
                                <a:pt x="599" y="204"/>
                                <a:pt x="598" y="254"/>
                                <a:pt x="611" y="304"/>
                              </a:cubicBezTo>
                              <a:cubicBezTo>
                                <a:pt x="630" y="375"/>
                                <a:pt x="676" y="422"/>
                                <a:pt x="745" y="449"/>
                              </a:cubicBezTo>
                              <a:cubicBezTo>
                                <a:pt x="810" y="474"/>
                                <a:pt x="878" y="477"/>
                                <a:pt x="946" y="464"/>
                              </a:cubicBezTo>
                              <a:cubicBezTo>
                                <a:pt x="998" y="454"/>
                                <a:pt x="1045" y="432"/>
                                <a:pt x="1084" y="395"/>
                              </a:cubicBezTo>
                              <a:cubicBezTo>
                                <a:pt x="1095" y="384"/>
                                <a:pt x="1105" y="373"/>
                                <a:pt x="1114" y="359"/>
                              </a:cubicBezTo>
                              <a:cubicBezTo>
                                <a:pt x="1083" y="344"/>
                                <a:pt x="1054" y="329"/>
                                <a:pt x="1023" y="314"/>
                              </a:cubicBezTo>
                              <a:cubicBezTo>
                                <a:pt x="1020" y="318"/>
                                <a:pt x="1018" y="322"/>
                                <a:pt x="1015" y="325"/>
                              </a:cubicBezTo>
                              <a:moveTo>
                                <a:pt x="1582" y="371"/>
                              </a:moveTo>
                              <a:cubicBezTo>
                                <a:pt x="1582" y="21"/>
                                <a:pt x="1582" y="21"/>
                                <a:pt x="1582" y="21"/>
                              </a:cubicBezTo>
                              <a:cubicBezTo>
                                <a:pt x="1483" y="21"/>
                                <a:pt x="1483" y="21"/>
                                <a:pt x="1483" y="21"/>
                              </a:cubicBezTo>
                              <a:cubicBezTo>
                                <a:pt x="1483" y="457"/>
                                <a:pt x="1483" y="457"/>
                                <a:pt x="1483" y="457"/>
                              </a:cubicBezTo>
                              <a:cubicBezTo>
                                <a:pt x="1891" y="457"/>
                                <a:pt x="1891" y="457"/>
                                <a:pt x="1891" y="457"/>
                              </a:cubicBezTo>
                              <a:cubicBezTo>
                                <a:pt x="1891" y="371"/>
                                <a:pt x="1891" y="371"/>
                                <a:pt x="1891" y="371"/>
                              </a:cubicBezTo>
                              <a:lnTo>
                                <a:pt x="1582" y="371"/>
                              </a:lnTo>
                              <a:close/>
                              <a:moveTo>
                                <a:pt x="2845" y="370"/>
                              </a:moveTo>
                              <a:cubicBezTo>
                                <a:pt x="2845" y="21"/>
                                <a:pt x="2845" y="21"/>
                                <a:pt x="2845" y="21"/>
                              </a:cubicBezTo>
                              <a:cubicBezTo>
                                <a:pt x="2747" y="21"/>
                                <a:pt x="2747" y="21"/>
                                <a:pt x="2747" y="21"/>
                              </a:cubicBezTo>
                              <a:cubicBezTo>
                                <a:pt x="2747" y="457"/>
                                <a:pt x="2747" y="457"/>
                                <a:pt x="2747" y="457"/>
                              </a:cubicBezTo>
                              <a:cubicBezTo>
                                <a:pt x="3155" y="457"/>
                                <a:pt x="3155" y="457"/>
                                <a:pt x="3155" y="457"/>
                              </a:cubicBezTo>
                              <a:cubicBezTo>
                                <a:pt x="3155" y="370"/>
                                <a:pt x="3155" y="370"/>
                                <a:pt x="3155" y="370"/>
                              </a:cubicBezTo>
                              <a:lnTo>
                                <a:pt x="2845" y="370"/>
                              </a:lnTo>
                              <a:close/>
                              <a:moveTo>
                                <a:pt x="3350" y="370"/>
                              </a:moveTo>
                              <a:cubicBezTo>
                                <a:pt x="3350" y="21"/>
                                <a:pt x="3350" y="21"/>
                                <a:pt x="3350" y="21"/>
                              </a:cubicBezTo>
                              <a:cubicBezTo>
                                <a:pt x="3253" y="21"/>
                                <a:pt x="3253" y="21"/>
                                <a:pt x="3253" y="21"/>
                              </a:cubicBezTo>
                              <a:cubicBezTo>
                                <a:pt x="3253" y="457"/>
                                <a:pt x="3253" y="457"/>
                                <a:pt x="3253" y="457"/>
                              </a:cubicBezTo>
                              <a:cubicBezTo>
                                <a:pt x="3660" y="457"/>
                                <a:pt x="3660" y="457"/>
                                <a:pt x="3660" y="457"/>
                              </a:cubicBezTo>
                              <a:cubicBezTo>
                                <a:pt x="3660" y="370"/>
                                <a:pt x="3660" y="370"/>
                                <a:pt x="3660" y="370"/>
                              </a:cubicBezTo>
                              <a:lnTo>
                                <a:pt x="3350" y="370"/>
                              </a:lnTo>
                              <a:close/>
                              <a:moveTo>
                                <a:pt x="1233" y="457"/>
                              </a:moveTo>
                              <a:cubicBezTo>
                                <a:pt x="1335" y="457"/>
                                <a:pt x="1335" y="457"/>
                                <a:pt x="1335" y="457"/>
                              </a:cubicBezTo>
                              <a:cubicBezTo>
                                <a:pt x="1335" y="21"/>
                                <a:pt x="1335" y="21"/>
                                <a:pt x="1335" y="21"/>
                              </a:cubicBezTo>
                              <a:cubicBezTo>
                                <a:pt x="1233" y="21"/>
                                <a:pt x="1233" y="21"/>
                                <a:pt x="1233" y="21"/>
                              </a:cubicBezTo>
                              <a:lnTo>
                                <a:pt x="1233" y="457"/>
                              </a:lnTo>
                              <a:close/>
                            </a:path>
                          </a:pathLst>
                        </a:custGeom>
                        <a:solidFill>
                          <a:srgbClr val="000100"/>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margin">
                <wp14:pctWidth>0</wp14:pctWidth>
              </wp14:sizeRelH>
              <wp14:sizeRelV relativeFrom="margin">
                <wp14:pctHeight>0</wp14:pctHeight>
              </wp14:sizeRelV>
            </wp:anchor>
          </w:drawing>
        </mc:Choice>
        <mc:Fallback>
          <w:pict>
            <v:group w14:anchorId="101EE801" id="logo_AAC_TandG" o:spid="_x0000_s1026" style="position:absolute;margin-left:34.35pt;margin-top:32.55pt;width:77.25pt;height:11.25pt;z-index:251660288;mso-position-horizontal-relative:page;mso-position-vertical-relative:page;mso-width-relative:margin;mso-height-relative:margin" coordorigin=",-212" coordsize="121888,187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">
              <o:lock v:ext="edit" aspectratio="t"/>
              <v:rect id="Rectangle 39" o:spid="_x0000_s1027" style="position:absolute;top:16431;width:14398;height:2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" fillcolor="#6c3f99" stroked="f"/>
              <v:shape id="Freeform 6" o:spid="_x0000_s1028" style="position:absolute;top:-212;width:121888;height:12963;visibility:visible;mso-wrap-style:square;v-text-anchor:top" coordsize="4841,4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" path="m4214,370v,87,,87,,87c3766,457,3766,457,3766,457v,-436,,-436,,-436c4214,21,4214,21,4214,21v,83,,83,,83c3864,104,3864,104,3864,104v,89,,89,,89c4151,194,4151,194,4151,194v,83,,83,,83c3864,277,3864,277,3864,277v,93,,93,,93l4214,370xm4345,21v,436,,436,,436c4442,457,4442,457,4442,457v,-313,,-313,,-313c4753,457,4753,457,4753,457v88,,88,,88,c4841,21,4841,21,4841,21v-96,,-96,,-96,c4745,319,4745,319,4745,319,4450,21,4450,21,4450,21r-105,xm196,283v179,,179,,179,c283,109,283,109,283,109l196,283xm341,21c572,457,572,457,572,457v-108,,-108,,-108,c418,365,418,365,418,365v-265,,-265,,-265,c107,457,107,457,107,457,,457,,457,,457,231,21,231,21,231,21r110,xm2456,283c2366,106,2366,106,2366,106v-90,177,-90,177,-90,177l2456,283xm2422,21v232,436,232,436,232,436c2546,457,2546,457,2546,457v-47,-92,-47,-92,-47,-92c2234,365,2234,365,2234,365v-46,92,-46,92,-46,92c2081,457,2081,457,2081,457,2312,21,2312,21,2312,21r110,xm1015,325v-22,28,-49,46,-83,53c886,388,841,387,796,372,762,360,735,339,719,306,707,280,704,254,705,226v4,-58,36,-101,92,-121c837,91,879,89,920,96v40,7,73,27,96,60c1018,158,1020,160,1022,163v30,-15,60,-30,91,-46c1106,108,1100,99,1092,92,1051,49,1000,24,942,13,874,,808,6,744,30,683,53,639,93,617,155v-18,49,-19,99,-6,149c630,375,676,422,745,449v65,25,133,28,201,15c998,454,1045,432,1084,395v11,-11,21,-22,30,-36c1083,344,1054,329,1023,314v-3,4,-5,8,-8,11m1582,371v,-350,,-350,,-350c1483,21,1483,21,1483,21v,436,,436,,436c1891,457,1891,457,1891,457v,-86,,-86,,-86l1582,371xm2845,370v,-349,,-349,,-349c2747,21,2747,21,2747,21v,436,,436,,436c3155,457,3155,457,3155,457v,-87,,-87,,-87l2845,370xm3350,370v,-349,,-349,,-349c3253,21,3253,21,3253,21v,436,,436,,436c3660,457,3660,457,3660,457v,-87,,-87,,-87l3350,370xm1233,457v102,,102,,102,c1335,21,1335,21,1335,21v-102,,-102,,-102,l1233,457xe" fillcolor="#000100" stroked="f">
                <v:path arrowok="t" o:connecttype="custom" o:connectlocs="10610144,1241977;9482156,57071;10610144,282638;9728903,524511;10451521,752795;9728903,1005539;10939980,57071;11184210,1241977;11967256,1241977;12188825,57071;11947113,866938;10939980,57071;944187,769101;493495,769101;1440200,1241977;1052454,991951;269408,1241977;581619,57071;6183796,769101;5730586,769101;6098189,57071;6410400,1241977;5624837,991951;5239609,1241977;6098189,57071;2346619,1027280;1810321,831608;2006712,285356;2558117,423957;2802347,317968;2371798,35330;1553502,421239;1875785,1220235;2729330,1073481;2575742,853349;3983210,1008257;3733945,57071;4761220,1241977;3983210,1008257;7163232,57071;6916485,1241977;7943760,1005539;8434737,1005539;8190508,57071;9215265,1241977;8434737,1005539;3361306,1241977;3104487,57071" o:connectangles="0,0,0,0,0,0,0,0,0,0,0,0,0,0,0,0,0,0,0,0,0,0,0,0,0,0,0,0,0,0,0,0,0,0,0,0,0,0,0,0,0,0,0,0,0,0,0,0"/>
                <o:lock v:ext="edit" verticies="t"/>
              </v:shape>
              <w10:wrap anchorx="page" anchory="page"/>
              <w10:anchorlock/>
            </v:group>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A90C1" w14:textId="77777777" w:rsidR="00676882" w:rsidRDefault="0067688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F2807" w14:textId="77777777" w:rsidR="00676882" w:rsidRDefault="0067688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8D3E6" w14:textId="77777777" w:rsidR="00676882" w:rsidRPr="008D7430" w:rsidRDefault="00676882" w:rsidP="008D74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D765D" w14:textId="77777777" w:rsidR="00676882" w:rsidRPr="008D7430" w:rsidRDefault="00676882" w:rsidP="008D74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03817" w14:textId="77777777" w:rsidR="00676882" w:rsidRPr="008D7430" w:rsidRDefault="00676882" w:rsidP="008D74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1B1D9" w14:textId="77777777" w:rsidR="00676882" w:rsidRPr="008D7430" w:rsidRDefault="00676882" w:rsidP="008D74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7E691" w14:textId="77777777" w:rsidR="00676882" w:rsidRPr="008D7430" w:rsidRDefault="00676882" w:rsidP="008D74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75D4A" w14:textId="77777777" w:rsidR="00676882" w:rsidRPr="008D7430" w:rsidRDefault="00676882" w:rsidP="008D743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75B2B" w14:textId="77777777" w:rsidR="00676882" w:rsidRPr="008D7430" w:rsidRDefault="00676882" w:rsidP="008D743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7646B" w14:textId="77777777" w:rsidR="00676882" w:rsidRPr="008D7430" w:rsidRDefault="00676882" w:rsidP="008D743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978B2" w14:textId="77777777" w:rsidR="00676882" w:rsidRPr="008D7430" w:rsidRDefault="00676882" w:rsidP="008D74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B1680" w14:textId="77777777" w:rsidR="00676882" w:rsidRPr="008D7430" w:rsidRDefault="00676882" w:rsidP="008D743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FA1E" w14:textId="77777777" w:rsidR="00676882" w:rsidRPr="008D7430" w:rsidRDefault="00676882" w:rsidP="008D743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80F3A" w14:textId="77777777" w:rsidR="00676882" w:rsidRPr="008D7430" w:rsidRDefault="00676882" w:rsidP="008D743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1AF87" w14:textId="77777777" w:rsidR="00676882" w:rsidRDefault="0067688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BC786" w14:textId="77777777" w:rsidR="00676882" w:rsidRDefault="0067688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FE4C0" w14:textId="77777777" w:rsidR="00676882" w:rsidRPr="008D7430" w:rsidRDefault="00676882" w:rsidP="008D7430">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50CDF" w14:textId="77777777" w:rsidR="00676882" w:rsidRPr="008D7430" w:rsidRDefault="00676882" w:rsidP="008D7430">
    <w:pPr>
      <w:pStyle w:val="tagpartBann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6EA8B" w14:textId="77777777" w:rsidR="00676882" w:rsidRPr="008D7430" w:rsidRDefault="00676882" w:rsidP="008D7430">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CCE20" w14:textId="77777777" w:rsidR="00676882" w:rsidRDefault="00676882">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0B036" w14:textId="77777777" w:rsidR="00676882" w:rsidRPr="008D7430" w:rsidRDefault="00676882" w:rsidP="008D7430">
    <w:pPr>
      <w:pStyle w:val="Header"/>
    </w:pPr>
    <w:r w:rsidRPr="000261B1">
      <w:rPr>
        <w:noProof/>
      </w:rPr>
      <mc:AlternateContent>
        <mc:Choice Requires="wpg">
          <w:drawing>
            <wp:anchor distT="0" distB="0" distL="114300" distR="114300" simplePos="0" relativeHeight="251659264" behindDoc="0" locked="1" layoutInCell="1" allowOverlap="1" wp14:anchorId="316FE07B" wp14:editId="2C039B69">
              <wp:simplePos x="0" y="0"/>
              <wp:positionH relativeFrom="page">
                <wp:posOffset>436245</wp:posOffset>
              </wp:positionH>
              <wp:positionV relativeFrom="page">
                <wp:posOffset>339090</wp:posOffset>
              </wp:positionV>
              <wp:extent cx="981075" cy="142875"/>
              <wp:effectExtent l="0" t="0" r="9525" b="9525"/>
              <wp:wrapNone/>
              <wp:docPr id="126" name="logo_AAC_Tand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81075" cy="142875"/>
                        <a:chOff x="0" y="-21209"/>
                        <a:chExt cx="12188825" cy="1878663"/>
                      </a:xfrm>
                    </wpg:grpSpPr>
                    <wps:wsp>
                      <wps:cNvPr id="127" name="Rectangle 13"/>
                      <wps:cNvSpPr>
                        <a:spLocks noChangeArrowheads="1"/>
                      </wps:cNvSpPr>
                      <wps:spPr bwMode="auto">
                        <a:xfrm>
                          <a:off x="0" y="1643143"/>
                          <a:ext cx="1439863" cy="214311"/>
                        </a:xfrm>
                        <a:prstGeom prst="rect">
                          <a:avLst/>
                        </a:prstGeom>
                        <a:solidFill>
                          <a:srgbClr val="6C3F99"/>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516" name="Freeform 6"/>
                      <wps:cNvSpPr>
                        <a:spLocks noEditPoints="1"/>
                      </wps:cNvSpPr>
                      <wps:spPr bwMode="auto">
                        <a:xfrm>
                          <a:off x="0" y="-21209"/>
                          <a:ext cx="12188825" cy="1296330"/>
                        </a:xfrm>
                        <a:custGeom>
                          <a:avLst/>
                          <a:gdLst>
                            <a:gd name="T0" fmla="*/ 4214 w 4841"/>
                            <a:gd name="T1" fmla="*/ 457 h 477"/>
                            <a:gd name="T2" fmla="*/ 3766 w 4841"/>
                            <a:gd name="T3" fmla="*/ 21 h 477"/>
                            <a:gd name="T4" fmla="*/ 4214 w 4841"/>
                            <a:gd name="T5" fmla="*/ 104 h 477"/>
                            <a:gd name="T6" fmla="*/ 3864 w 4841"/>
                            <a:gd name="T7" fmla="*/ 193 h 477"/>
                            <a:gd name="T8" fmla="*/ 4151 w 4841"/>
                            <a:gd name="T9" fmla="*/ 277 h 477"/>
                            <a:gd name="T10" fmla="*/ 3864 w 4841"/>
                            <a:gd name="T11" fmla="*/ 370 h 477"/>
                            <a:gd name="T12" fmla="*/ 4345 w 4841"/>
                            <a:gd name="T13" fmla="*/ 21 h 477"/>
                            <a:gd name="T14" fmla="*/ 4442 w 4841"/>
                            <a:gd name="T15" fmla="*/ 457 h 477"/>
                            <a:gd name="T16" fmla="*/ 4753 w 4841"/>
                            <a:gd name="T17" fmla="*/ 457 h 477"/>
                            <a:gd name="T18" fmla="*/ 4841 w 4841"/>
                            <a:gd name="T19" fmla="*/ 21 h 477"/>
                            <a:gd name="T20" fmla="*/ 4745 w 4841"/>
                            <a:gd name="T21" fmla="*/ 319 h 477"/>
                            <a:gd name="T22" fmla="*/ 4345 w 4841"/>
                            <a:gd name="T23" fmla="*/ 21 h 477"/>
                            <a:gd name="T24" fmla="*/ 375 w 4841"/>
                            <a:gd name="T25" fmla="*/ 283 h 477"/>
                            <a:gd name="T26" fmla="*/ 196 w 4841"/>
                            <a:gd name="T27" fmla="*/ 283 h 477"/>
                            <a:gd name="T28" fmla="*/ 572 w 4841"/>
                            <a:gd name="T29" fmla="*/ 457 h 477"/>
                            <a:gd name="T30" fmla="*/ 418 w 4841"/>
                            <a:gd name="T31" fmla="*/ 365 h 477"/>
                            <a:gd name="T32" fmla="*/ 107 w 4841"/>
                            <a:gd name="T33" fmla="*/ 457 h 477"/>
                            <a:gd name="T34" fmla="*/ 231 w 4841"/>
                            <a:gd name="T35" fmla="*/ 21 h 477"/>
                            <a:gd name="T36" fmla="*/ 2456 w 4841"/>
                            <a:gd name="T37" fmla="*/ 283 h 477"/>
                            <a:gd name="T38" fmla="*/ 2276 w 4841"/>
                            <a:gd name="T39" fmla="*/ 283 h 477"/>
                            <a:gd name="T40" fmla="*/ 2422 w 4841"/>
                            <a:gd name="T41" fmla="*/ 21 h 477"/>
                            <a:gd name="T42" fmla="*/ 2546 w 4841"/>
                            <a:gd name="T43" fmla="*/ 457 h 477"/>
                            <a:gd name="T44" fmla="*/ 2234 w 4841"/>
                            <a:gd name="T45" fmla="*/ 365 h 477"/>
                            <a:gd name="T46" fmla="*/ 2081 w 4841"/>
                            <a:gd name="T47" fmla="*/ 457 h 477"/>
                            <a:gd name="T48" fmla="*/ 2422 w 4841"/>
                            <a:gd name="T49" fmla="*/ 21 h 477"/>
                            <a:gd name="T50" fmla="*/ 932 w 4841"/>
                            <a:gd name="T51" fmla="*/ 378 h 477"/>
                            <a:gd name="T52" fmla="*/ 719 w 4841"/>
                            <a:gd name="T53" fmla="*/ 306 h 477"/>
                            <a:gd name="T54" fmla="*/ 797 w 4841"/>
                            <a:gd name="T55" fmla="*/ 105 h 477"/>
                            <a:gd name="T56" fmla="*/ 1016 w 4841"/>
                            <a:gd name="T57" fmla="*/ 156 h 477"/>
                            <a:gd name="T58" fmla="*/ 1113 w 4841"/>
                            <a:gd name="T59" fmla="*/ 117 h 477"/>
                            <a:gd name="T60" fmla="*/ 942 w 4841"/>
                            <a:gd name="T61" fmla="*/ 13 h 477"/>
                            <a:gd name="T62" fmla="*/ 617 w 4841"/>
                            <a:gd name="T63" fmla="*/ 155 h 477"/>
                            <a:gd name="T64" fmla="*/ 745 w 4841"/>
                            <a:gd name="T65" fmla="*/ 449 h 477"/>
                            <a:gd name="T66" fmla="*/ 1084 w 4841"/>
                            <a:gd name="T67" fmla="*/ 395 h 477"/>
                            <a:gd name="T68" fmla="*/ 1023 w 4841"/>
                            <a:gd name="T69" fmla="*/ 314 h 477"/>
                            <a:gd name="T70" fmla="*/ 1582 w 4841"/>
                            <a:gd name="T71" fmla="*/ 371 h 477"/>
                            <a:gd name="T72" fmla="*/ 1483 w 4841"/>
                            <a:gd name="T73" fmla="*/ 21 h 477"/>
                            <a:gd name="T74" fmla="*/ 1891 w 4841"/>
                            <a:gd name="T75" fmla="*/ 457 h 477"/>
                            <a:gd name="T76" fmla="*/ 1582 w 4841"/>
                            <a:gd name="T77" fmla="*/ 371 h 477"/>
                            <a:gd name="T78" fmla="*/ 2845 w 4841"/>
                            <a:gd name="T79" fmla="*/ 21 h 477"/>
                            <a:gd name="T80" fmla="*/ 2747 w 4841"/>
                            <a:gd name="T81" fmla="*/ 457 h 477"/>
                            <a:gd name="T82" fmla="*/ 3155 w 4841"/>
                            <a:gd name="T83" fmla="*/ 370 h 477"/>
                            <a:gd name="T84" fmla="*/ 3350 w 4841"/>
                            <a:gd name="T85" fmla="*/ 370 h 477"/>
                            <a:gd name="T86" fmla="*/ 3253 w 4841"/>
                            <a:gd name="T87" fmla="*/ 21 h 477"/>
                            <a:gd name="T88" fmla="*/ 3660 w 4841"/>
                            <a:gd name="T89" fmla="*/ 457 h 477"/>
                            <a:gd name="T90" fmla="*/ 3350 w 4841"/>
                            <a:gd name="T91" fmla="*/ 370 h 477"/>
                            <a:gd name="T92" fmla="*/ 1335 w 4841"/>
                            <a:gd name="T93" fmla="*/ 457 h 477"/>
                            <a:gd name="T94" fmla="*/ 1233 w 4841"/>
                            <a:gd name="T95" fmla="*/ 21 h 4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4841" h="477">
                              <a:moveTo>
                                <a:pt x="4214" y="370"/>
                              </a:moveTo>
                              <a:cubicBezTo>
                                <a:pt x="4214" y="457"/>
                                <a:pt x="4214" y="457"/>
                                <a:pt x="4214" y="457"/>
                              </a:cubicBezTo>
                              <a:cubicBezTo>
                                <a:pt x="3766" y="457"/>
                                <a:pt x="3766" y="457"/>
                                <a:pt x="3766" y="457"/>
                              </a:cubicBezTo>
                              <a:cubicBezTo>
                                <a:pt x="3766" y="21"/>
                                <a:pt x="3766" y="21"/>
                                <a:pt x="3766" y="21"/>
                              </a:cubicBezTo>
                              <a:cubicBezTo>
                                <a:pt x="4214" y="21"/>
                                <a:pt x="4214" y="21"/>
                                <a:pt x="4214" y="21"/>
                              </a:cubicBezTo>
                              <a:cubicBezTo>
                                <a:pt x="4214" y="104"/>
                                <a:pt x="4214" y="104"/>
                                <a:pt x="4214" y="104"/>
                              </a:cubicBezTo>
                              <a:cubicBezTo>
                                <a:pt x="3864" y="104"/>
                                <a:pt x="3864" y="104"/>
                                <a:pt x="3864" y="104"/>
                              </a:cubicBezTo>
                              <a:cubicBezTo>
                                <a:pt x="3864" y="193"/>
                                <a:pt x="3864" y="193"/>
                                <a:pt x="3864" y="193"/>
                              </a:cubicBezTo>
                              <a:cubicBezTo>
                                <a:pt x="4151" y="194"/>
                                <a:pt x="4151" y="194"/>
                                <a:pt x="4151" y="194"/>
                              </a:cubicBezTo>
                              <a:cubicBezTo>
                                <a:pt x="4151" y="277"/>
                                <a:pt x="4151" y="277"/>
                                <a:pt x="4151" y="277"/>
                              </a:cubicBezTo>
                              <a:cubicBezTo>
                                <a:pt x="3864" y="277"/>
                                <a:pt x="3864" y="277"/>
                                <a:pt x="3864" y="277"/>
                              </a:cubicBezTo>
                              <a:cubicBezTo>
                                <a:pt x="3864" y="370"/>
                                <a:pt x="3864" y="370"/>
                                <a:pt x="3864" y="370"/>
                              </a:cubicBezTo>
                              <a:lnTo>
                                <a:pt x="4214" y="370"/>
                              </a:lnTo>
                              <a:close/>
                              <a:moveTo>
                                <a:pt x="4345" y="21"/>
                              </a:moveTo>
                              <a:cubicBezTo>
                                <a:pt x="4345" y="457"/>
                                <a:pt x="4345" y="457"/>
                                <a:pt x="4345" y="457"/>
                              </a:cubicBezTo>
                              <a:cubicBezTo>
                                <a:pt x="4442" y="457"/>
                                <a:pt x="4442" y="457"/>
                                <a:pt x="4442" y="457"/>
                              </a:cubicBezTo>
                              <a:cubicBezTo>
                                <a:pt x="4442" y="144"/>
                                <a:pt x="4442" y="144"/>
                                <a:pt x="4442" y="144"/>
                              </a:cubicBezTo>
                              <a:cubicBezTo>
                                <a:pt x="4753" y="457"/>
                                <a:pt x="4753" y="457"/>
                                <a:pt x="4753" y="457"/>
                              </a:cubicBezTo>
                              <a:cubicBezTo>
                                <a:pt x="4841" y="457"/>
                                <a:pt x="4841" y="457"/>
                                <a:pt x="4841" y="457"/>
                              </a:cubicBezTo>
                              <a:cubicBezTo>
                                <a:pt x="4841" y="21"/>
                                <a:pt x="4841" y="21"/>
                                <a:pt x="4841" y="21"/>
                              </a:cubicBezTo>
                              <a:cubicBezTo>
                                <a:pt x="4745" y="21"/>
                                <a:pt x="4745" y="21"/>
                                <a:pt x="4745" y="21"/>
                              </a:cubicBezTo>
                              <a:cubicBezTo>
                                <a:pt x="4745" y="319"/>
                                <a:pt x="4745" y="319"/>
                                <a:pt x="4745" y="319"/>
                              </a:cubicBezTo>
                              <a:cubicBezTo>
                                <a:pt x="4450" y="21"/>
                                <a:pt x="4450" y="21"/>
                                <a:pt x="4450" y="21"/>
                              </a:cubicBezTo>
                              <a:lnTo>
                                <a:pt x="4345" y="21"/>
                              </a:lnTo>
                              <a:close/>
                              <a:moveTo>
                                <a:pt x="196" y="283"/>
                              </a:moveTo>
                              <a:cubicBezTo>
                                <a:pt x="375" y="283"/>
                                <a:pt x="375" y="283"/>
                                <a:pt x="375" y="283"/>
                              </a:cubicBezTo>
                              <a:cubicBezTo>
                                <a:pt x="283" y="109"/>
                                <a:pt x="283" y="109"/>
                                <a:pt x="283" y="109"/>
                              </a:cubicBezTo>
                              <a:lnTo>
                                <a:pt x="196" y="283"/>
                              </a:lnTo>
                              <a:close/>
                              <a:moveTo>
                                <a:pt x="341" y="21"/>
                              </a:moveTo>
                              <a:cubicBezTo>
                                <a:pt x="572" y="457"/>
                                <a:pt x="572" y="457"/>
                                <a:pt x="572" y="457"/>
                              </a:cubicBezTo>
                              <a:cubicBezTo>
                                <a:pt x="464" y="457"/>
                                <a:pt x="464" y="457"/>
                                <a:pt x="464" y="457"/>
                              </a:cubicBezTo>
                              <a:cubicBezTo>
                                <a:pt x="418" y="365"/>
                                <a:pt x="418" y="365"/>
                                <a:pt x="418" y="365"/>
                              </a:cubicBezTo>
                              <a:cubicBezTo>
                                <a:pt x="153" y="365"/>
                                <a:pt x="153" y="365"/>
                                <a:pt x="153" y="365"/>
                              </a:cubicBezTo>
                              <a:cubicBezTo>
                                <a:pt x="107" y="457"/>
                                <a:pt x="107" y="457"/>
                                <a:pt x="107" y="457"/>
                              </a:cubicBezTo>
                              <a:cubicBezTo>
                                <a:pt x="0" y="457"/>
                                <a:pt x="0" y="457"/>
                                <a:pt x="0" y="457"/>
                              </a:cubicBezTo>
                              <a:cubicBezTo>
                                <a:pt x="231" y="21"/>
                                <a:pt x="231" y="21"/>
                                <a:pt x="231" y="21"/>
                              </a:cubicBezTo>
                              <a:lnTo>
                                <a:pt x="341" y="21"/>
                              </a:lnTo>
                              <a:close/>
                              <a:moveTo>
                                <a:pt x="2456" y="283"/>
                              </a:moveTo>
                              <a:cubicBezTo>
                                <a:pt x="2366" y="106"/>
                                <a:pt x="2366" y="106"/>
                                <a:pt x="2366" y="106"/>
                              </a:cubicBezTo>
                              <a:cubicBezTo>
                                <a:pt x="2276" y="283"/>
                                <a:pt x="2276" y="283"/>
                                <a:pt x="2276" y="283"/>
                              </a:cubicBezTo>
                              <a:lnTo>
                                <a:pt x="2456" y="283"/>
                              </a:lnTo>
                              <a:close/>
                              <a:moveTo>
                                <a:pt x="2422" y="21"/>
                              </a:moveTo>
                              <a:cubicBezTo>
                                <a:pt x="2654" y="457"/>
                                <a:pt x="2654" y="457"/>
                                <a:pt x="2654" y="457"/>
                              </a:cubicBezTo>
                              <a:cubicBezTo>
                                <a:pt x="2546" y="457"/>
                                <a:pt x="2546" y="457"/>
                                <a:pt x="2546" y="457"/>
                              </a:cubicBezTo>
                              <a:cubicBezTo>
                                <a:pt x="2499" y="365"/>
                                <a:pt x="2499" y="365"/>
                                <a:pt x="2499" y="365"/>
                              </a:cubicBezTo>
                              <a:cubicBezTo>
                                <a:pt x="2234" y="365"/>
                                <a:pt x="2234" y="365"/>
                                <a:pt x="2234" y="365"/>
                              </a:cubicBezTo>
                              <a:cubicBezTo>
                                <a:pt x="2188" y="457"/>
                                <a:pt x="2188" y="457"/>
                                <a:pt x="2188" y="457"/>
                              </a:cubicBezTo>
                              <a:cubicBezTo>
                                <a:pt x="2081" y="457"/>
                                <a:pt x="2081" y="457"/>
                                <a:pt x="2081" y="457"/>
                              </a:cubicBezTo>
                              <a:cubicBezTo>
                                <a:pt x="2312" y="21"/>
                                <a:pt x="2312" y="21"/>
                                <a:pt x="2312" y="21"/>
                              </a:cubicBezTo>
                              <a:lnTo>
                                <a:pt x="2422" y="21"/>
                              </a:lnTo>
                              <a:close/>
                              <a:moveTo>
                                <a:pt x="1015" y="325"/>
                              </a:moveTo>
                              <a:cubicBezTo>
                                <a:pt x="993" y="353"/>
                                <a:pt x="966" y="371"/>
                                <a:pt x="932" y="378"/>
                              </a:cubicBezTo>
                              <a:cubicBezTo>
                                <a:pt x="886" y="388"/>
                                <a:pt x="841" y="387"/>
                                <a:pt x="796" y="372"/>
                              </a:cubicBezTo>
                              <a:cubicBezTo>
                                <a:pt x="762" y="360"/>
                                <a:pt x="735" y="339"/>
                                <a:pt x="719" y="306"/>
                              </a:cubicBezTo>
                              <a:cubicBezTo>
                                <a:pt x="707" y="280"/>
                                <a:pt x="704" y="254"/>
                                <a:pt x="705" y="226"/>
                              </a:cubicBezTo>
                              <a:cubicBezTo>
                                <a:pt x="709" y="168"/>
                                <a:pt x="741" y="125"/>
                                <a:pt x="797" y="105"/>
                              </a:cubicBezTo>
                              <a:cubicBezTo>
                                <a:pt x="837" y="91"/>
                                <a:pt x="879" y="89"/>
                                <a:pt x="920" y="96"/>
                              </a:cubicBezTo>
                              <a:cubicBezTo>
                                <a:pt x="960" y="103"/>
                                <a:pt x="993" y="123"/>
                                <a:pt x="1016" y="156"/>
                              </a:cubicBezTo>
                              <a:cubicBezTo>
                                <a:pt x="1018" y="158"/>
                                <a:pt x="1020" y="160"/>
                                <a:pt x="1022" y="163"/>
                              </a:cubicBezTo>
                              <a:cubicBezTo>
                                <a:pt x="1052" y="148"/>
                                <a:pt x="1082" y="133"/>
                                <a:pt x="1113" y="117"/>
                              </a:cubicBezTo>
                              <a:cubicBezTo>
                                <a:pt x="1106" y="108"/>
                                <a:pt x="1100" y="99"/>
                                <a:pt x="1092" y="92"/>
                              </a:cubicBezTo>
                              <a:cubicBezTo>
                                <a:pt x="1051" y="49"/>
                                <a:pt x="1000" y="24"/>
                                <a:pt x="942" y="13"/>
                              </a:cubicBezTo>
                              <a:cubicBezTo>
                                <a:pt x="874" y="0"/>
                                <a:pt x="808" y="6"/>
                                <a:pt x="744" y="30"/>
                              </a:cubicBezTo>
                              <a:cubicBezTo>
                                <a:pt x="683" y="53"/>
                                <a:pt x="639" y="93"/>
                                <a:pt x="617" y="155"/>
                              </a:cubicBezTo>
                              <a:cubicBezTo>
                                <a:pt x="599" y="204"/>
                                <a:pt x="598" y="254"/>
                                <a:pt x="611" y="304"/>
                              </a:cubicBezTo>
                              <a:cubicBezTo>
                                <a:pt x="630" y="375"/>
                                <a:pt x="676" y="422"/>
                                <a:pt x="745" y="449"/>
                              </a:cubicBezTo>
                              <a:cubicBezTo>
                                <a:pt x="810" y="474"/>
                                <a:pt x="878" y="477"/>
                                <a:pt x="946" y="464"/>
                              </a:cubicBezTo>
                              <a:cubicBezTo>
                                <a:pt x="998" y="454"/>
                                <a:pt x="1045" y="432"/>
                                <a:pt x="1084" y="395"/>
                              </a:cubicBezTo>
                              <a:cubicBezTo>
                                <a:pt x="1095" y="384"/>
                                <a:pt x="1105" y="373"/>
                                <a:pt x="1114" y="359"/>
                              </a:cubicBezTo>
                              <a:cubicBezTo>
                                <a:pt x="1083" y="344"/>
                                <a:pt x="1054" y="329"/>
                                <a:pt x="1023" y="314"/>
                              </a:cubicBezTo>
                              <a:cubicBezTo>
                                <a:pt x="1020" y="318"/>
                                <a:pt x="1018" y="322"/>
                                <a:pt x="1015" y="325"/>
                              </a:cubicBezTo>
                              <a:moveTo>
                                <a:pt x="1582" y="371"/>
                              </a:moveTo>
                              <a:cubicBezTo>
                                <a:pt x="1582" y="21"/>
                                <a:pt x="1582" y="21"/>
                                <a:pt x="1582" y="21"/>
                              </a:cubicBezTo>
                              <a:cubicBezTo>
                                <a:pt x="1483" y="21"/>
                                <a:pt x="1483" y="21"/>
                                <a:pt x="1483" y="21"/>
                              </a:cubicBezTo>
                              <a:cubicBezTo>
                                <a:pt x="1483" y="457"/>
                                <a:pt x="1483" y="457"/>
                                <a:pt x="1483" y="457"/>
                              </a:cubicBezTo>
                              <a:cubicBezTo>
                                <a:pt x="1891" y="457"/>
                                <a:pt x="1891" y="457"/>
                                <a:pt x="1891" y="457"/>
                              </a:cubicBezTo>
                              <a:cubicBezTo>
                                <a:pt x="1891" y="371"/>
                                <a:pt x="1891" y="371"/>
                                <a:pt x="1891" y="371"/>
                              </a:cubicBezTo>
                              <a:lnTo>
                                <a:pt x="1582" y="371"/>
                              </a:lnTo>
                              <a:close/>
                              <a:moveTo>
                                <a:pt x="2845" y="370"/>
                              </a:moveTo>
                              <a:cubicBezTo>
                                <a:pt x="2845" y="21"/>
                                <a:pt x="2845" y="21"/>
                                <a:pt x="2845" y="21"/>
                              </a:cubicBezTo>
                              <a:cubicBezTo>
                                <a:pt x="2747" y="21"/>
                                <a:pt x="2747" y="21"/>
                                <a:pt x="2747" y="21"/>
                              </a:cubicBezTo>
                              <a:cubicBezTo>
                                <a:pt x="2747" y="457"/>
                                <a:pt x="2747" y="457"/>
                                <a:pt x="2747" y="457"/>
                              </a:cubicBezTo>
                              <a:cubicBezTo>
                                <a:pt x="3155" y="457"/>
                                <a:pt x="3155" y="457"/>
                                <a:pt x="3155" y="457"/>
                              </a:cubicBezTo>
                              <a:cubicBezTo>
                                <a:pt x="3155" y="370"/>
                                <a:pt x="3155" y="370"/>
                                <a:pt x="3155" y="370"/>
                              </a:cubicBezTo>
                              <a:lnTo>
                                <a:pt x="2845" y="370"/>
                              </a:lnTo>
                              <a:close/>
                              <a:moveTo>
                                <a:pt x="3350" y="370"/>
                              </a:moveTo>
                              <a:cubicBezTo>
                                <a:pt x="3350" y="21"/>
                                <a:pt x="3350" y="21"/>
                                <a:pt x="3350" y="21"/>
                              </a:cubicBezTo>
                              <a:cubicBezTo>
                                <a:pt x="3253" y="21"/>
                                <a:pt x="3253" y="21"/>
                                <a:pt x="3253" y="21"/>
                              </a:cubicBezTo>
                              <a:cubicBezTo>
                                <a:pt x="3253" y="457"/>
                                <a:pt x="3253" y="457"/>
                                <a:pt x="3253" y="457"/>
                              </a:cubicBezTo>
                              <a:cubicBezTo>
                                <a:pt x="3660" y="457"/>
                                <a:pt x="3660" y="457"/>
                                <a:pt x="3660" y="457"/>
                              </a:cubicBezTo>
                              <a:cubicBezTo>
                                <a:pt x="3660" y="370"/>
                                <a:pt x="3660" y="370"/>
                                <a:pt x="3660" y="370"/>
                              </a:cubicBezTo>
                              <a:lnTo>
                                <a:pt x="3350" y="370"/>
                              </a:lnTo>
                              <a:close/>
                              <a:moveTo>
                                <a:pt x="1233" y="457"/>
                              </a:moveTo>
                              <a:cubicBezTo>
                                <a:pt x="1335" y="457"/>
                                <a:pt x="1335" y="457"/>
                                <a:pt x="1335" y="457"/>
                              </a:cubicBezTo>
                              <a:cubicBezTo>
                                <a:pt x="1335" y="21"/>
                                <a:pt x="1335" y="21"/>
                                <a:pt x="1335" y="21"/>
                              </a:cubicBezTo>
                              <a:cubicBezTo>
                                <a:pt x="1233" y="21"/>
                                <a:pt x="1233" y="21"/>
                                <a:pt x="1233" y="21"/>
                              </a:cubicBezTo>
                              <a:lnTo>
                                <a:pt x="1233" y="457"/>
                              </a:lnTo>
                              <a:close/>
                            </a:path>
                          </a:pathLst>
                        </a:custGeom>
                        <a:solidFill>
                          <a:srgbClr val="000100"/>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margin">
                <wp14:pctWidth>0</wp14:pctWidth>
              </wp14:sizeRelH>
              <wp14:sizeRelV relativeFrom="margin">
                <wp14:pctHeight>0</wp14:pctHeight>
              </wp14:sizeRelV>
            </wp:anchor>
          </w:drawing>
        </mc:Choice>
        <mc:Fallback>
          <w:pict>
            <v:group w14:anchorId="2D9BFBB4" id="logo_AAC_TandG" o:spid="_x0000_s1026" alt="&quot;&quot;" style="position:absolute;margin-left:34.35pt;margin-top:26.7pt;width:77.25pt;height:11.25pt;z-index:251659264;mso-position-horizontal-relative:page;mso-position-vertical-relative:page;mso-width-relative:margin;mso-height-relative:margin" coordorigin=",-212" coordsize="121888,187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">
              <o:lock v:ext="edit" aspectratio="t"/>
              <v:rect id="Rectangle 13" o:spid="_x0000_s1027" style="position:absolute;top:16431;width:14398;height:2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" fillcolor="#6c3f99" stroked="f"/>
              <v:shape id="Freeform 6" o:spid="_x0000_s1028" style="position:absolute;top:-212;width:121888;height:12963;visibility:visible;mso-wrap-style:square;v-text-anchor:top" coordsize="4841,4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" path="m4214,370v,87,,87,,87c3766,457,3766,457,3766,457v,-436,,-436,,-436c4214,21,4214,21,4214,21v,83,,83,,83c3864,104,3864,104,3864,104v,89,,89,,89c4151,194,4151,194,4151,194v,83,,83,,83c3864,277,3864,277,3864,277v,93,,93,,93l4214,370xm4345,21v,436,,436,,436c4442,457,4442,457,4442,457v,-313,,-313,,-313c4753,457,4753,457,4753,457v88,,88,,88,c4841,21,4841,21,4841,21v-96,,-96,,-96,c4745,319,4745,319,4745,319,4450,21,4450,21,4450,21r-105,xm196,283v179,,179,,179,c283,109,283,109,283,109l196,283xm341,21c572,457,572,457,572,457v-108,,-108,,-108,c418,365,418,365,418,365v-265,,-265,,-265,c107,457,107,457,107,457,,457,,457,,457,231,21,231,21,231,21r110,xm2456,283c2366,106,2366,106,2366,106v-90,177,-90,177,-90,177l2456,283xm2422,21v232,436,232,436,232,436c2546,457,2546,457,2546,457v-47,-92,-47,-92,-47,-92c2234,365,2234,365,2234,365v-46,92,-46,92,-46,92c2081,457,2081,457,2081,457,2312,21,2312,21,2312,21r110,xm1015,325v-22,28,-49,46,-83,53c886,388,841,387,796,372,762,360,735,339,719,306,707,280,704,254,705,226v4,-58,36,-101,92,-121c837,91,879,89,920,96v40,7,73,27,96,60c1018,158,1020,160,1022,163v30,-15,60,-30,91,-46c1106,108,1100,99,1092,92,1051,49,1000,24,942,13,874,,808,6,744,30,683,53,639,93,617,155v-18,49,-19,99,-6,149c630,375,676,422,745,449v65,25,133,28,201,15c998,454,1045,432,1084,395v11,-11,21,-22,30,-36c1083,344,1054,329,1023,314v-3,4,-5,8,-8,11m1582,371v,-350,,-350,,-350c1483,21,1483,21,1483,21v,436,,436,,436c1891,457,1891,457,1891,457v,-86,,-86,,-86l1582,371xm2845,370v,-349,,-349,,-349c2747,21,2747,21,2747,21v,436,,436,,436c3155,457,3155,457,3155,457v,-87,,-87,,-87l2845,370xm3350,370v,-349,,-349,,-349c3253,21,3253,21,3253,21v,436,,436,,436c3660,457,3660,457,3660,457v,-87,,-87,,-87l3350,370xm1233,457v102,,102,,102,c1335,21,1335,21,1335,21v-102,,-102,,-102,l1233,457xe" fillcolor="#000100" stroked="f">
                <v:path arrowok="t" o:connecttype="custom" o:connectlocs="10610144,1241977;9482156,57071;10610144,282638;9728903,524511;10451521,752795;9728903,1005539;10939980,57071;11184210,1241977;11967256,1241977;12188825,57071;11947113,866938;10939980,57071;944187,769101;493495,769101;1440200,1241977;1052454,991951;269408,1241977;581619,57071;6183796,769101;5730586,769101;6098189,57071;6410400,1241977;5624837,991951;5239609,1241977;6098189,57071;2346619,1027280;1810321,831608;2006712,285356;2558117,423957;2802347,317968;2371798,35330;1553502,421239;1875785,1220235;2729330,1073481;2575742,853349;3983210,1008257;3733945,57071;4761220,1241977;3983210,1008257;7163232,57071;6916485,1241977;7943760,1005539;8434737,1005539;8190508,57071;9215265,1241977;8434737,1005539;3361306,1241977;3104487,57071" o:connectangles="0,0,0,0,0,0,0,0,0,0,0,0,0,0,0,0,0,0,0,0,0,0,0,0,0,0,0,0,0,0,0,0,0,0,0,0,0,0,0,0,0,0,0,0,0,0,0,0"/>
                <o:lock v:ext="edit" verticies="t"/>
              </v:shape>
              <w10:wrap anchorx="page" anchory="page"/>
              <w10:anchorlock/>
            </v:group>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CCE3A" w14:textId="77777777" w:rsidR="00676882" w:rsidRDefault="00676882">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46665" w14:textId="77777777" w:rsidR="00676882" w:rsidRPr="00133892" w:rsidRDefault="00676882" w:rsidP="0013389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5C950" w14:textId="77777777" w:rsidR="00676882" w:rsidRPr="00133892" w:rsidRDefault="00676882" w:rsidP="0013389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1E042" w14:textId="77777777" w:rsidR="00676882" w:rsidRPr="00133892" w:rsidRDefault="00676882" w:rsidP="00133892">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A28DC" w14:textId="77777777" w:rsidR="00676882" w:rsidRPr="00577966" w:rsidRDefault="00676882" w:rsidP="0044570B">
    <w:pPr>
      <w:pStyle w:val="Header"/>
      <w:ind w:left="-1134"/>
    </w:pPr>
    <w:r w:rsidRPr="000261B1">
      <w:rPr>
        <w:noProof/>
      </w:rPr>
      <mc:AlternateContent>
        <mc:Choice Requires="wpg">
          <w:drawing>
            <wp:anchor distT="0" distB="0" distL="114300" distR="114300" simplePos="0" relativeHeight="251661312" behindDoc="0" locked="1" layoutInCell="1" allowOverlap="1" wp14:anchorId="216DE4FC" wp14:editId="0FF66939">
              <wp:simplePos x="0" y="0"/>
              <wp:positionH relativeFrom="page">
                <wp:posOffset>734695</wp:posOffset>
              </wp:positionH>
              <wp:positionV relativeFrom="page">
                <wp:posOffset>419100</wp:posOffset>
              </wp:positionV>
              <wp:extent cx="981075" cy="142875"/>
              <wp:effectExtent l="0" t="0" r="9525" b="9525"/>
              <wp:wrapNone/>
              <wp:docPr id="23" name="logo_AAC_Tand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81075" cy="142875"/>
                        <a:chOff x="0" y="-21209"/>
                        <a:chExt cx="12188825" cy="1878663"/>
                      </a:xfrm>
                    </wpg:grpSpPr>
                    <wps:wsp>
                      <wps:cNvPr id="24" name="Rectangle 13"/>
                      <wps:cNvSpPr>
                        <a:spLocks noChangeArrowheads="1"/>
                      </wps:cNvSpPr>
                      <wps:spPr bwMode="auto">
                        <a:xfrm>
                          <a:off x="0" y="1643143"/>
                          <a:ext cx="1439863" cy="214311"/>
                        </a:xfrm>
                        <a:prstGeom prst="rect">
                          <a:avLst/>
                        </a:prstGeom>
                        <a:solidFill>
                          <a:srgbClr val="6C3F99"/>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29" name="Freeform 6"/>
                      <wps:cNvSpPr>
                        <a:spLocks noEditPoints="1"/>
                      </wps:cNvSpPr>
                      <wps:spPr bwMode="auto">
                        <a:xfrm>
                          <a:off x="0" y="-21209"/>
                          <a:ext cx="12188825" cy="1296330"/>
                        </a:xfrm>
                        <a:custGeom>
                          <a:avLst/>
                          <a:gdLst>
                            <a:gd name="T0" fmla="*/ 4214 w 4841"/>
                            <a:gd name="T1" fmla="*/ 457 h 477"/>
                            <a:gd name="T2" fmla="*/ 3766 w 4841"/>
                            <a:gd name="T3" fmla="*/ 21 h 477"/>
                            <a:gd name="T4" fmla="*/ 4214 w 4841"/>
                            <a:gd name="T5" fmla="*/ 104 h 477"/>
                            <a:gd name="T6" fmla="*/ 3864 w 4841"/>
                            <a:gd name="T7" fmla="*/ 193 h 477"/>
                            <a:gd name="T8" fmla="*/ 4151 w 4841"/>
                            <a:gd name="T9" fmla="*/ 277 h 477"/>
                            <a:gd name="T10" fmla="*/ 3864 w 4841"/>
                            <a:gd name="T11" fmla="*/ 370 h 477"/>
                            <a:gd name="T12" fmla="*/ 4345 w 4841"/>
                            <a:gd name="T13" fmla="*/ 21 h 477"/>
                            <a:gd name="T14" fmla="*/ 4442 w 4841"/>
                            <a:gd name="T15" fmla="*/ 457 h 477"/>
                            <a:gd name="T16" fmla="*/ 4753 w 4841"/>
                            <a:gd name="T17" fmla="*/ 457 h 477"/>
                            <a:gd name="T18" fmla="*/ 4841 w 4841"/>
                            <a:gd name="T19" fmla="*/ 21 h 477"/>
                            <a:gd name="T20" fmla="*/ 4745 w 4841"/>
                            <a:gd name="T21" fmla="*/ 319 h 477"/>
                            <a:gd name="T22" fmla="*/ 4345 w 4841"/>
                            <a:gd name="T23" fmla="*/ 21 h 477"/>
                            <a:gd name="T24" fmla="*/ 375 w 4841"/>
                            <a:gd name="T25" fmla="*/ 283 h 477"/>
                            <a:gd name="T26" fmla="*/ 196 w 4841"/>
                            <a:gd name="T27" fmla="*/ 283 h 477"/>
                            <a:gd name="T28" fmla="*/ 572 w 4841"/>
                            <a:gd name="T29" fmla="*/ 457 h 477"/>
                            <a:gd name="T30" fmla="*/ 418 w 4841"/>
                            <a:gd name="T31" fmla="*/ 365 h 477"/>
                            <a:gd name="T32" fmla="*/ 107 w 4841"/>
                            <a:gd name="T33" fmla="*/ 457 h 477"/>
                            <a:gd name="T34" fmla="*/ 231 w 4841"/>
                            <a:gd name="T35" fmla="*/ 21 h 477"/>
                            <a:gd name="T36" fmla="*/ 2456 w 4841"/>
                            <a:gd name="T37" fmla="*/ 283 h 477"/>
                            <a:gd name="T38" fmla="*/ 2276 w 4841"/>
                            <a:gd name="T39" fmla="*/ 283 h 477"/>
                            <a:gd name="T40" fmla="*/ 2422 w 4841"/>
                            <a:gd name="T41" fmla="*/ 21 h 477"/>
                            <a:gd name="T42" fmla="*/ 2546 w 4841"/>
                            <a:gd name="T43" fmla="*/ 457 h 477"/>
                            <a:gd name="T44" fmla="*/ 2234 w 4841"/>
                            <a:gd name="T45" fmla="*/ 365 h 477"/>
                            <a:gd name="T46" fmla="*/ 2081 w 4841"/>
                            <a:gd name="T47" fmla="*/ 457 h 477"/>
                            <a:gd name="T48" fmla="*/ 2422 w 4841"/>
                            <a:gd name="T49" fmla="*/ 21 h 477"/>
                            <a:gd name="T50" fmla="*/ 932 w 4841"/>
                            <a:gd name="T51" fmla="*/ 378 h 477"/>
                            <a:gd name="T52" fmla="*/ 719 w 4841"/>
                            <a:gd name="T53" fmla="*/ 306 h 477"/>
                            <a:gd name="T54" fmla="*/ 797 w 4841"/>
                            <a:gd name="T55" fmla="*/ 105 h 477"/>
                            <a:gd name="T56" fmla="*/ 1016 w 4841"/>
                            <a:gd name="T57" fmla="*/ 156 h 477"/>
                            <a:gd name="T58" fmla="*/ 1113 w 4841"/>
                            <a:gd name="T59" fmla="*/ 117 h 477"/>
                            <a:gd name="T60" fmla="*/ 942 w 4841"/>
                            <a:gd name="T61" fmla="*/ 13 h 477"/>
                            <a:gd name="T62" fmla="*/ 617 w 4841"/>
                            <a:gd name="T63" fmla="*/ 155 h 477"/>
                            <a:gd name="T64" fmla="*/ 745 w 4841"/>
                            <a:gd name="T65" fmla="*/ 449 h 477"/>
                            <a:gd name="T66" fmla="*/ 1084 w 4841"/>
                            <a:gd name="T67" fmla="*/ 395 h 477"/>
                            <a:gd name="T68" fmla="*/ 1023 w 4841"/>
                            <a:gd name="T69" fmla="*/ 314 h 477"/>
                            <a:gd name="T70" fmla="*/ 1582 w 4841"/>
                            <a:gd name="T71" fmla="*/ 371 h 477"/>
                            <a:gd name="T72" fmla="*/ 1483 w 4841"/>
                            <a:gd name="T73" fmla="*/ 21 h 477"/>
                            <a:gd name="T74" fmla="*/ 1891 w 4841"/>
                            <a:gd name="T75" fmla="*/ 457 h 477"/>
                            <a:gd name="T76" fmla="*/ 1582 w 4841"/>
                            <a:gd name="T77" fmla="*/ 371 h 477"/>
                            <a:gd name="T78" fmla="*/ 2845 w 4841"/>
                            <a:gd name="T79" fmla="*/ 21 h 477"/>
                            <a:gd name="T80" fmla="*/ 2747 w 4841"/>
                            <a:gd name="T81" fmla="*/ 457 h 477"/>
                            <a:gd name="T82" fmla="*/ 3155 w 4841"/>
                            <a:gd name="T83" fmla="*/ 370 h 477"/>
                            <a:gd name="T84" fmla="*/ 3350 w 4841"/>
                            <a:gd name="T85" fmla="*/ 370 h 477"/>
                            <a:gd name="T86" fmla="*/ 3253 w 4841"/>
                            <a:gd name="T87" fmla="*/ 21 h 477"/>
                            <a:gd name="T88" fmla="*/ 3660 w 4841"/>
                            <a:gd name="T89" fmla="*/ 457 h 477"/>
                            <a:gd name="T90" fmla="*/ 3350 w 4841"/>
                            <a:gd name="T91" fmla="*/ 370 h 477"/>
                            <a:gd name="T92" fmla="*/ 1335 w 4841"/>
                            <a:gd name="T93" fmla="*/ 457 h 477"/>
                            <a:gd name="T94" fmla="*/ 1233 w 4841"/>
                            <a:gd name="T95" fmla="*/ 21 h 4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4841" h="477">
                              <a:moveTo>
                                <a:pt x="4214" y="370"/>
                              </a:moveTo>
                              <a:cubicBezTo>
                                <a:pt x="4214" y="457"/>
                                <a:pt x="4214" y="457"/>
                                <a:pt x="4214" y="457"/>
                              </a:cubicBezTo>
                              <a:cubicBezTo>
                                <a:pt x="3766" y="457"/>
                                <a:pt x="3766" y="457"/>
                                <a:pt x="3766" y="457"/>
                              </a:cubicBezTo>
                              <a:cubicBezTo>
                                <a:pt x="3766" y="21"/>
                                <a:pt x="3766" y="21"/>
                                <a:pt x="3766" y="21"/>
                              </a:cubicBezTo>
                              <a:cubicBezTo>
                                <a:pt x="4214" y="21"/>
                                <a:pt x="4214" y="21"/>
                                <a:pt x="4214" y="21"/>
                              </a:cubicBezTo>
                              <a:cubicBezTo>
                                <a:pt x="4214" y="104"/>
                                <a:pt x="4214" y="104"/>
                                <a:pt x="4214" y="104"/>
                              </a:cubicBezTo>
                              <a:cubicBezTo>
                                <a:pt x="3864" y="104"/>
                                <a:pt x="3864" y="104"/>
                                <a:pt x="3864" y="104"/>
                              </a:cubicBezTo>
                              <a:cubicBezTo>
                                <a:pt x="3864" y="193"/>
                                <a:pt x="3864" y="193"/>
                                <a:pt x="3864" y="193"/>
                              </a:cubicBezTo>
                              <a:cubicBezTo>
                                <a:pt x="4151" y="194"/>
                                <a:pt x="4151" y="194"/>
                                <a:pt x="4151" y="194"/>
                              </a:cubicBezTo>
                              <a:cubicBezTo>
                                <a:pt x="4151" y="277"/>
                                <a:pt x="4151" y="277"/>
                                <a:pt x="4151" y="277"/>
                              </a:cubicBezTo>
                              <a:cubicBezTo>
                                <a:pt x="3864" y="277"/>
                                <a:pt x="3864" y="277"/>
                                <a:pt x="3864" y="277"/>
                              </a:cubicBezTo>
                              <a:cubicBezTo>
                                <a:pt x="3864" y="370"/>
                                <a:pt x="3864" y="370"/>
                                <a:pt x="3864" y="370"/>
                              </a:cubicBezTo>
                              <a:lnTo>
                                <a:pt x="4214" y="370"/>
                              </a:lnTo>
                              <a:close/>
                              <a:moveTo>
                                <a:pt x="4345" y="21"/>
                              </a:moveTo>
                              <a:cubicBezTo>
                                <a:pt x="4345" y="457"/>
                                <a:pt x="4345" y="457"/>
                                <a:pt x="4345" y="457"/>
                              </a:cubicBezTo>
                              <a:cubicBezTo>
                                <a:pt x="4442" y="457"/>
                                <a:pt x="4442" y="457"/>
                                <a:pt x="4442" y="457"/>
                              </a:cubicBezTo>
                              <a:cubicBezTo>
                                <a:pt x="4442" y="144"/>
                                <a:pt x="4442" y="144"/>
                                <a:pt x="4442" y="144"/>
                              </a:cubicBezTo>
                              <a:cubicBezTo>
                                <a:pt x="4753" y="457"/>
                                <a:pt x="4753" y="457"/>
                                <a:pt x="4753" y="457"/>
                              </a:cubicBezTo>
                              <a:cubicBezTo>
                                <a:pt x="4841" y="457"/>
                                <a:pt x="4841" y="457"/>
                                <a:pt x="4841" y="457"/>
                              </a:cubicBezTo>
                              <a:cubicBezTo>
                                <a:pt x="4841" y="21"/>
                                <a:pt x="4841" y="21"/>
                                <a:pt x="4841" y="21"/>
                              </a:cubicBezTo>
                              <a:cubicBezTo>
                                <a:pt x="4745" y="21"/>
                                <a:pt x="4745" y="21"/>
                                <a:pt x="4745" y="21"/>
                              </a:cubicBezTo>
                              <a:cubicBezTo>
                                <a:pt x="4745" y="319"/>
                                <a:pt x="4745" y="319"/>
                                <a:pt x="4745" y="319"/>
                              </a:cubicBezTo>
                              <a:cubicBezTo>
                                <a:pt x="4450" y="21"/>
                                <a:pt x="4450" y="21"/>
                                <a:pt x="4450" y="21"/>
                              </a:cubicBezTo>
                              <a:lnTo>
                                <a:pt x="4345" y="21"/>
                              </a:lnTo>
                              <a:close/>
                              <a:moveTo>
                                <a:pt x="196" y="283"/>
                              </a:moveTo>
                              <a:cubicBezTo>
                                <a:pt x="375" y="283"/>
                                <a:pt x="375" y="283"/>
                                <a:pt x="375" y="283"/>
                              </a:cubicBezTo>
                              <a:cubicBezTo>
                                <a:pt x="283" y="109"/>
                                <a:pt x="283" y="109"/>
                                <a:pt x="283" y="109"/>
                              </a:cubicBezTo>
                              <a:lnTo>
                                <a:pt x="196" y="283"/>
                              </a:lnTo>
                              <a:close/>
                              <a:moveTo>
                                <a:pt x="341" y="21"/>
                              </a:moveTo>
                              <a:cubicBezTo>
                                <a:pt x="572" y="457"/>
                                <a:pt x="572" y="457"/>
                                <a:pt x="572" y="457"/>
                              </a:cubicBezTo>
                              <a:cubicBezTo>
                                <a:pt x="464" y="457"/>
                                <a:pt x="464" y="457"/>
                                <a:pt x="464" y="457"/>
                              </a:cubicBezTo>
                              <a:cubicBezTo>
                                <a:pt x="418" y="365"/>
                                <a:pt x="418" y="365"/>
                                <a:pt x="418" y="365"/>
                              </a:cubicBezTo>
                              <a:cubicBezTo>
                                <a:pt x="153" y="365"/>
                                <a:pt x="153" y="365"/>
                                <a:pt x="153" y="365"/>
                              </a:cubicBezTo>
                              <a:cubicBezTo>
                                <a:pt x="107" y="457"/>
                                <a:pt x="107" y="457"/>
                                <a:pt x="107" y="457"/>
                              </a:cubicBezTo>
                              <a:cubicBezTo>
                                <a:pt x="0" y="457"/>
                                <a:pt x="0" y="457"/>
                                <a:pt x="0" y="457"/>
                              </a:cubicBezTo>
                              <a:cubicBezTo>
                                <a:pt x="231" y="21"/>
                                <a:pt x="231" y="21"/>
                                <a:pt x="231" y="21"/>
                              </a:cubicBezTo>
                              <a:lnTo>
                                <a:pt x="341" y="21"/>
                              </a:lnTo>
                              <a:close/>
                              <a:moveTo>
                                <a:pt x="2456" y="283"/>
                              </a:moveTo>
                              <a:cubicBezTo>
                                <a:pt x="2366" y="106"/>
                                <a:pt x="2366" y="106"/>
                                <a:pt x="2366" y="106"/>
                              </a:cubicBezTo>
                              <a:cubicBezTo>
                                <a:pt x="2276" y="283"/>
                                <a:pt x="2276" y="283"/>
                                <a:pt x="2276" y="283"/>
                              </a:cubicBezTo>
                              <a:lnTo>
                                <a:pt x="2456" y="283"/>
                              </a:lnTo>
                              <a:close/>
                              <a:moveTo>
                                <a:pt x="2422" y="21"/>
                              </a:moveTo>
                              <a:cubicBezTo>
                                <a:pt x="2654" y="457"/>
                                <a:pt x="2654" y="457"/>
                                <a:pt x="2654" y="457"/>
                              </a:cubicBezTo>
                              <a:cubicBezTo>
                                <a:pt x="2546" y="457"/>
                                <a:pt x="2546" y="457"/>
                                <a:pt x="2546" y="457"/>
                              </a:cubicBezTo>
                              <a:cubicBezTo>
                                <a:pt x="2499" y="365"/>
                                <a:pt x="2499" y="365"/>
                                <a:pt x="2499" y="365"/>
                              </a:cubicBezTo>
                              <a:cubicBezTo>
                                <a:pt x="2234" y="365"/>
                                <a:pt x="2234" y="365"/>
                                <a:pt x="2234" y="365"/>
                              </a:cubicBezTo>
                              <a:cubicBezTo>
                                <a:pt x="2188" y="457"/>
                                <a:pt x="2188" y="457"/>
                                <a:pt x="2188" y="457"/>
                              </a:cubicBezTo>
                              <a:cubicBezTo>
                                <a:pt x="2081" y="457"/>
                                <a:pt x="2081" y="457"/>
                                <a:pt x="2081" y="457"/>
                              </a:cubicBezTo>
                              <a:cubicBezTo>
                                <a:pt x="2312" y="21"/>
                                <a:pt x="2312" y="21"/>
                                <a:pt x="2312" y="21"/>
                              </a:cubicBezTo>
                              <a:lnTo>
                                <a:pt x="2422" y="21"/>
                              </a:lnTo>
                              <a:close/>
                              <a:moveTo>
                                <a:pt x="1015" y="325"/>
                              </a:moveTo>
                              <a:cubicBezTo>
                                <a:pt x="993" y="353"/>
                                <a:pt x="966" y="371"/>
                                <a:pt x="932" y="378"/>
                              </a:cubicBezTo>
                              <a:cubicBezTo>
                                <a:pt x="886" y="388"/>
                                <a:pt x="841" y="387"/>
                                <a:pt x="796" y="372"/>
                              </a:cubicBezTo>
                              <a:cubicBezTo>
                                <a:pt x="762" y="360"/>
                                <a:pt x="735" y="339"/>
                                <a:pt x="719" y="306"/>
                              </a:cubicBezTo>
                              <a:cubicBezTo>
                                <a:pt x="707" y="280"/>
                                <a:pt x="704" y="254"/>
                                <a:pt x="705" y="226"/>
                              </a:cubicBezTo>
                              <a:cubicBezTo>
                                <a:pt x="709" y="168"/>
                                <a:pt x="741" y="125"/>
                                <a:pt x="797" y="105"/>
                              </a:cubicBezTo>
                              <a:cubicBezTo>
                                <a:pt x="837" y="91"/>
                                <a:pt x="879" y="89"/>
                                <a:pt x="920" y="96"/>
                              </a:cubicBezTo>
                              <a:cubicBezTo>
                                <a:pt x="960" y="103"/>
                                <a:pt x="993" y="123"/>
                                <a:pt x="1016" y="156"/>
                              </a:cubicBezTo>
                              <a:cubicBezTo>
                                <a:pt x="1018" y="158"/>
                                <a:pt x="1020" y="160"/>
                                <a:pt x="1022" y="163"/>
                              </a:cubicBezTo>
                              <a:cubicBezTo>
                                <a:pt x="1052" y="148"/>
                                <a:pt x="1082" y="133"/>
                                <a:pt x="1113" y="117"/>
                              </a:cubicBezTo>
                              <a:cubicBezTo>
                                <a:pt x="1106" y="108"/>
                                <a:pt x="1100" y="99"/>
                                <a:pt x="1092" y="92"/>
                              </a:cubicBezTo>
                              <a:cubicBezTo>
                                <a:pt x="1051" y="49"/>
                                <a:pt x="1000" y="24"/>
                                <a:pt x="942" y="13"/>
                              </a:cubicBezTo>
                              <a:cubicBezTo>
                                <a:pt x="874" y="0"/>
                                <a:pt x="808" y="6"/>
                                <a:pt x="744" y="30"/>
                              </a:cubicBezTo>
                              <a:cubicBezTo>
                                <a:pt x="683" y="53"/>
                                <a:pt x="639" y="93"/>
                                <a:pt x="617" y="155"/>
                              </a:cubicBezTo>
                              <a:cubicBezTo>
                                <a:pt x="599" y="204"/>
                                <a:pt x="598" y="254"/>
                                <a:pt x="611" y="304"/>
                              </a:cubicBezTo>
                              <a:cubicBezTo>
                                <a:pt x="630" y="375"/>
                                <a:pt x="676" y="422"/>
                                <a:pt x="745" y="449"/>
                              </a:cubicBezTo>
                              <a:cubicBezTo>
                                <a:pt x="810" y="474"/>
                                <a:pt x="878" y="477"/>
                                <a:pt x="946" y="464"/>
                              </a:cubicBezTo>
                              <a:cubicBezTo>
                                <a:pt x="998" y="454"/>
                                <a:pt x="1045" y="432"/>
                                <a:pt x="1084" y="395"/>
                              </a:cubicBezTo>
                              <a:cubicBezTo>
                                <a:pt x="1095" y="384"/>
                                <a:pt x="1105" y="373"/>
                                <a:pt x="1114" y="359"/>
                              </a:cubicBezTo>
                              <a:cubicBezTo>
                                <a:pt x="1083" y="344"/>
                                <a:pt x="1054" y="329"/>
                                <a:pt x="1023" y="314"/>
                              </a:cubicBezTo>
                              <a:cubicBezTo>
                                <a:pt x="1020" y="318"/>
                                <a:pt x="1018" y="322"/>
                                <a:pt x="1015" y="325"/>
                              </a:cubicBezTo>
                              <a:moveTo>
                                <a:pt x="1582" y="371"/>
                              </a:moveTo>
                              <a:cubicBezTo>
                                <a:pt x="1582" y="21"/>
                                <a:pt x="1582" y="21"/>
                                <a:pt x="1582" y="21"/>
                              </a:cubicBezTo>
                              <a:cubicBezTo>
                                <a:pt x="1483" y="21"/>
                                <a:pt x="1483" y="21"/>
                                <a:pt x="1483" y="21"/>
                              </a:cubicBezTo>
                              <a:cubicBezTo>
                                <a:pt x="1483" y="457"/>
                                <a:pt x="1483" y="457"/>
                                <a:pt x="1483" y="457"/>
                              </a:cubicBezTo>
                              <a:cubicBezTo>
                                <a:pt x="1891" y="457"/>
                                <a:pt x="1891" y="457"/>
                                <a:pt x="1891" y="457"/>
                              </a:cubicBezTo>
                              <a:cubicBezTo>
                                <a:pt x="1891" y="371"/>
                                <a:pt x="1891" y="371"/>
                                <a:pt x="1891" y="371"/>
                              </a:cubicBezTo>
                              <a:lnTo>
                                <a:pt x="1582" y="371"/>
                              </a:lnTo>
                              <a:close/>
                              <a:moveTo>
                                <a:pt x="2845" y="370"/>
                              </a:moveTo>
                              <a:cubicBezTo>
                                <a:pt x="2845" y="21"/>
                                <a:pt x="2845" y="21"/>
                                <a:pt x="2845" y="21"/>
                              </a:cubicBezTo>
                              <a:cubicBezTo>
                                <a:pt x="2747" y="21"/>
                                <a:pt x="2747" y="21"/>
                                <a:pt x="2747" y="21"/>
                              </a:cubicBezTo>
                              <a:cubicBezTo>
                                <a:pt x="2747" y="457"/>
                                <a:pt x="2747" y="457"/>
                                <a:pt x="2747" y="457"/>
                              </a:cubicBezTo>
                              <a:cubicBezTo>
                                <a:pt x="3155" y="457"/>
                                <a:pt x="3155" y="457"/>
                                <a:pt x="3155" y="457"/>
                              </a:cubicBezTo>
                              <a:cubicBezTo>
                                <a:pt x="3155" y="370"/>
                                <a:pt x="3155" y="370"/>
                                <a:pt x="3155" y="370"/>
                              </a:cubicBezTo>
                              <a:lnTo>
                                <a:pt x="2845" y="370"/>
                              </a:lnTo>
                              <a:close/>
                              <a:moveTo>
                                <a:pt x="3350" y="370"/>
                              </a:moveTo>
                              <a:cubicBezTo>
                                <a:pt x="3350" y="21"/>
                                <a:pt x="3350" y="21"/>
                                <a:pt x="3350" y="21"/>
                              </a:cubicBezTo>
                              <a:cubicBezTo>
                                <a:pt x="3253" y="21"/>
                                <a:pt x="3253" y="21"/>
                                <a:pt x="3253" y="21"/>
                              </a:cubicBezTo>
                              <a:cubicBezTo>
                                <a:pt x="3253" y="457"/>
                                <a:pt x="3253" y="457"/>
                                <a:pt x="3253" y="457"/>
                              </a:cubicBezTo>
                              <a:cubicBezTo>
                                <a:pt x="3660" y="457"/>
                                <a:pt x="3660" y="457"/>
                                <a:pt x="3660" y="457"/>
                              </a:cubicBezTo>
                              <a:cubicBezTo>
                                <a:pt x="3660" y="370"/>
                                <a:pt x="3660" y="370"/>
                                <a:pt x="3660" y="370"/>
                              </a:cubicBezTo>
                              <a:lnTo>
                                <a:pt x="3350" y="370"/>
                              </a:lnTo>
                              <a:close/>
                              <a:moveTo>
                                <a:pt x="1233" y="457"/>
                              </a:moveTo>
                              <a:cubicBezTo>
                                <a:pt x="1335" y="457"/>
                                <a:pt x="1335" y="457"/>
                                <a:pt x="1335" y="457"/>
                              </a:cubicBezTo>
                              <a:cubicBezTo>
                                <a:pt x="1335" y="21"/>
                                <a:pt x="1335" y="21"/>
                                <a:pt x="1335" y="21"/>
                              </a:cubicBezTo>
                              <a:cubicBezTo>
                                <a:pt x="1233" y="21"/>
                                <a:pt x="1233" y="21"/>
                                <a:pt x="1233" y="21"/>
                              </a:cubicBezTo>
                              <a:lnTo>
                                <a:pt x="1233" y="457"/>
                              </a:lnTo>
                              <a:close/>
                            </a:path>
                          </a:pathLst>
                        </a:custGeom>
                        <a:solidFill>
                          <a:srgbClr val="000100"/>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margin">
                <wp14:pctWidth>0</wp14:pctWidth>
              </wp14:sizeRelH>
              <wp14:sizeRelV relativeFrom="margin">
                <wp14:pctHeight>0</wp14:pctHeight>
              </wp14:sizeRelV>
            </wp:anchor>
          </w:drawing>
        </mc:Choice>
        <mc:Fallback>
          <w:pict>
            <v:group w14:anchorId="4A63729D" id="logo_AAC_TandG" o:spid="_x0000_s1026" alt="&quot;&quot;" style="position:absolute;margin-left:57.85pt;margin-top:33pt;width:77.25pt;height:11.25pt;z-index:251661312;mso-position-horizontal-relative:page;mso-position-vertical-relative:page;mso-width-relative:margin;mso-height-relative:margin" coordorigin=",-212" coordsize="121888,187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">
              <o:lock v:ext="edit" aspectratio="t"/>
              <v:rect id="Rectangle 13" o:spid="_x0000_s1027" style="position:absolute;top:16431;width:14398;height:2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" fillcolor="#6c3f99" stroked="f"/>
              <v:shape id="Freeform 6" o:spid="_x0000_s1028" style="position:absolute;top:-212;width:121888;height:12963;visibility:visible;mso-wrap-style:square;v-text-anchor:top" coordsize="4841,4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" path="m4214,370v,87,,87,,87c3766,457,3766,457,3766,457v,-436,,-436,,-436c4214,21,4214,21,4214,21v,83,,83,,83c3864,104,3864,104,3864,104v,89,,89,,89c4151,194,4151,194,4151,194v,83,,83,,83c3864,277,3864,277,3864,277v,93,,93,,93l4214,370xm4345,21v,436,,436,,436c4442,457,4442,457,4442,457v,-313,,-313,,-313c4753,457,4753,457,4753,457v88,,88,,88,c4841,21,4841,21,4841,21v-96,,-96,,-96,c4745,319,4745,319,4745,319,4450,21,4450,21,4450,21r-105,xm196,283v179,,179,,179,c283,109,283,109,283,109l196,283xm341,21c572,457,572,457,572,457v-108,,-108,,-108,c418,365,418,365,418,365v-265,,-265,,-265,c107,457,107,457,107,457,,457,,457,,457,231,21,231,21,231,21r110,xm2456,283c2366,106,2366,106,2366,106v-90,177,-90,177,-90,177l2456,283xm2422,21v232,436,232,436,232,436c2546,457,2546,457,2546,457v-47,-92,-47,-92,-47,-92c2234,365,2234,365,2234,365v-46,92,-46,92,-46,92c2081,457,2081,457,2081,457,2312,21,2312,21,2312,21r110,xm1015,325v-22,28,-49,46,-83,53c886,388,841,387,796,372,762,360,735,339,719,306,707,280,704,254,705,226v4,-58,36,-101,92,-121c837,91,879,89,920,96v40,7,73,27,96,60c1018,158,1020,160,1022,163v30,-15,60,-30,91,-46c1106,108,1100,99,1092,92,1051,49,1000,24,942,13,874,,808,6,744,30,683,53,639,93,617,155v-18,49,-19,99,-6,149c630,375,676,422,745,449v65,25,133,28,201,15c998,454,1045,432,1084,395v11,-11,21,-22,30,-36c1083,344,1054,329,1023,314v-3,4,-5,8,-8,11m1582,371v,-350,,-350,,-350c1483,21,1483,21,1483,21v,436,,436,,436c1891,457,1891,457,1891,457v,-86,,-86,,-86l1582,371xm2845,370v,-349,,-349,,-349c2747,21,2747,21,2747,21v,436,,436,,436c3155,457,3155,457,3155,457v,-87,,-87,,-87l2845,370xm3350,370v,-349,,-349,,-349c3253,21,3253,21,3253,21v,436,,436,,436c3660,457,3660,457,3660,457v,-87,,-87,,-87l3350,370xm1233,457v102,,102,,102,c1335,21,1335,21,1335,21v-102,,-102,,-102,l1233,457xe" fillcolor="#000100" stroked="f">
                <v:path arrowok="t" o:connecttype="custom" o:connectlocs="10610144,1241977;9482156,57071;10610144,282638;9728903,524511;10451521,752795;9728903,1005539;10939980,57071;11184210,1241977;11967256,1241977;12188825,57071;11947113,866938;10939980,57071;944187,769101;493495,769101;1440200,1241977;1052454,991951;269408,1241977;581619,57071;6183796,769101;5730586,769101;6098189,57071;6410400,1241977;5624837,991951;5239609,1241977;6098189,57071;2346619,1027280;1810321,831608;2006712,285356;2558117,423957;2802347,317968;2371798,35330;1553502,421239;1875785,1220235;2729330,1073481;2575742,853349;3983210,1008257;3733945,57071;4761220,1241977;3983210,1008257;7163232,57071;6916485,1241977;7943760,1005539;8434737,1005539;8190508,57071;9215265,1241977;8434737,1005539;3361306,1241977;3104487,57071" o:connectangles="0,0,0,0,0,0,0,0,0,0,0,0,0,0,0,0,0,0,0,0,0,0,0,0,0,0,0,0,0,0,0,0,0,0,0,0,0,0,0,0,0,0,0,0,0,0,0,0"/>
                <o:lock v:ext="edit" verticies="t"/>
              </v:shape>
              <w10:wrap anchorx="page" anchory="page"/>
              <w10:anchorlock/>
            </v:group>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DC47" w14:textId="77777777" w:rsidR="00676882" w:rsidRPr="00133892" w:rsidRDefault="00676882" w:rsidP="00133892">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730AE" w14:textId="77777777" w:rsidR="00676882" w:rsidRPr="00133892" w:rsidRDefault="00676882" w:rsidP="00133892">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42BC" w14:textId="77777777" w:rsidR="00676882" w:rsidRPr="00133892" w:rsidRDefault="00676882" w:rsidP="003E20A1">
    <w:pPr>
      <w:pStyle w:val="Header"/>
      <w:ind w:left="-2127"/>
    </w:pPr>
    <w:r>
      <w:rPr>
        <w:noProof/>
      </w:rPr>
      <w:drawing>
        <wp:inline distT="0" distB="0" distL="0" distR="0" wp14:anchorId="7B2F62BB" wp14:editId="63EB9485">
          <wp:extent cx="981710" cy="140335"/>
          <wp:effectExtent l="0" t="0" r="8890" b="0"/>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1710" cy="140335"/>
                  </a:xfrm>
                  <a:prstGeom prst="rect">
                    <a:avLst/>
                  </a:prstGeom>
                  <a:noFill/>
                </pic:spPr>
              </pic:pic>
            </a:graphicData>
          </a:graphic>
        </wp:inline>
      </w:drawing>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8C571" w14:textId="77777777" w:rsidR="00676882" w:rsidRPr="00133892" w:rsidRDefault="00676882" w:rsidP="00133892">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8F7B5" w14:textId="77777777" w:rsidR="00676882" w:rsidRPr="00FF33F6" w:rsidRDefault="00676882" w:rsidP="00FF33F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AE568" w14:textId="77777777" w:rsidR="00676882" w:rsidRPr="00FF33F6" w:rsidRDefault="00676882" w:rsidP="00FF33F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5AE0" w14:textId="77777777" w:rsidR="00676882" w:rsidRPr="00133892" w:rsidRDefault="00676882" w:rsidP="00133892">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CCF56" w14:textId="77777777" w:rsidR="00676882" w:rsidRPr="00133892" w:rsidRDefault="00676882" w:rsidP="00133892">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E4445" w14:textId="77777777" w:rsidR="00676882" w:rsidRDefault="00676882">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81615" w14:textId="77777777" w:rsidR="00676882" w:rsidRDefault="00676882">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14F66" w14:textId="77777777" w:rsidR="00416753" w:rsidRDefault="00676882">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52" w:type="dxa"/>
      <w:tblLayout w:type="fixed"/>
      <w:tblCellMar>
        <w:left w:w="0" w:type="dxa"/>
        <w:right w:w="0" w:type="dxa"/>
      </w:tblCellMar>
      <w:tblLook w:val="0000" w:firstRow="0" w:lastRow="0" w:firstColumn="0" w:lastColumn="0" w:noHBand="0" w:noVBand="0"/>
    </w:tblPr>
    <w:tblGrid>
      <w:gridCol w:w="5026"/>
      <w:gridCol w:w="5026"/>
    </w:tblGrid>
    <w:tr w:rsidR="00416753" w14:paraId="51068CFB" w14:textId="77777777" w:rsidTr="008D7430">
      <w:trPr>
        <w:trHeight w:hRule="exact" w:val="356"/>
      </w:trPr>
      <w:tc>
        <w:tcPr>
          <w:tcW w:w="5026" w:type="dxa"/>
          <w:shd w:val="clear" w:color="auto" w:fill="auto"/>
        </w:tcPr>
        <w:p w14:paraId="414DDAE2" w14:textId="77777777" w:rsidR="00416753" w:rsidRDefault="00676882" w:rsidP="008D7430">
          <w:pPr>
            <w:pStyle w:val="spacer"/>
          </w:pPr>
        </w:p>
      </w:tc>
      <w:tc>
        <w:tcPr>
          <w:tcW w:w="5026" w:type="dxa"/>
          <w:shd w:val="clear" w:color="auto" w:fill="auto"/>
          <w:vAlign w:val="center"/>
        </w:tcPr>
        <w:p w14:paraId="62D2EE23" w14:textId="77777777" w:rsidR="00416753" w:rsidRDefault="00676882" w:rsidP="008D7430">
          <w:pPr>
            <w:pStyle w:val="Header-CompanyName"/>
          </w:pPr>
        </w:p>
      </w:tc>
    </w:tr>
  </w:tbl>
  <w:p w14:paraId="035B51FA" w14:textId="77777777" w:rsidR="00416753" w:rsidRPr="008D7430" w:rsidRDefault="00676882" w:rsidP="008D7430">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B5573" w14:textId="77777777" w:rsidR="00416753" w:rsidRPr="008D7430" w:rsidRDefault="00676882" w:rsidP="008D7430">
    <w:pPr>
      <w:pStyle w:val="tagcontactsPage-Bac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666E3A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DD8699E"/>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AA04D6F2"/>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A0E27DFA"/>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0000000B"/>
    <w:multiLevelType w:val="singleLevel"/>
    <w:tmpl w:val="03F672B8"/>
    <w:lvl w:ilvl="0">
      <w:start w:val="1"/>
      <w:numFmt w:val="bullet"/>
      <w:pStyle w:val="TextDashPoint"/>
      <w:lvlText w:val="–"/>
      <w:lvlJc w:val="left"/>
      <w:pPr>
        <w:tabs>
          <w:tab w:val="num" w:pos="357"/>
        </w:tabs>
        <w:ind w:left="357" w:firstLine="0"/>
      </w:pPr>
      <w:rPr>
        <w:rFonts w:ascii="Times New Roman" w:hAnsi="Times New Roman" w:hint="default"/>
        <w:sz w:val="20"/>
      </w:rPr>
    </w:lvl>
  </w:abstractNum>
  <w:abstractNum w:abstractNumId="5" w15:restartNumberingAfterBreak="0">
    <w:nsid w:val="01F01497"/>
    <w:multiLevelType w:val="multilevel"/>
    <w:tmpl w:val="55DAED7E"/>
    <w:lvl w:ilvl="0">
      <w:start w:val="1"/>
      <w:numFmt w:val="bullet"/>
      <w:lvlText w:val="–"/>
      <w:lvlJc w:val="left"/>
      <w:pPr>
        <w:ind w:left="280" w:hanging="280"/>
      </w:pPr>
      <w:rPr>
        <w:rFonts w:ascii="Arial Narrow" w:hAnsi="Arial Narrow" w:hint="default"/>
      </w:rPr>
    </w:lvl>
    <w:lvl w:ilvl="1">
      <w:start w:val="1"/>
      <w:numFmt w:val="bullet"/>
      <w:lvlText w:val="–"/>
      <w:lvlJc w:val="left"/>
      <w:pPr>
        <w:ind w:left="520" w:hanging="240"/>
      </w:pPr>
      <w:rPr>
        <w:rFonts w:ascii="Arial Narrow" w:hAnsi="Arial Narrow" w:hint="default"/>
        <w:color w:val="000100"/>
      </w:rPr>
    </w:lvl>
    <w:lvl w:ilvl="2">
      <w:start w:val="1"/>
      <w:numFmt w:val="bullet"/>
      <w:lvlText w:val="–"/>
      <w:lvlJc w:val="left"/>
      <w:pPr>
        <w:ind w:left="760" w:hanging="240"/>
      </w:pPr>
      <w:rPr>
        <w:rFonts w:ascii="Arial Narrow" w:hAnsi="Arial Narrow" w:hint="default"/>
      </w:rPr>
    </w:lvl>
    <w:lvl w:ilvl="3">
      <w:start w:val="1"/>
      <w:numFmt w:val="decimal"/>
      <w:lvlText w:val="(%4)"/>
      <w:lvlJc w:val="left"/>
      <w:pPr>
        <w:ind w:left="960" w:hanging="240"/>
      </w:pPr>
      <w:rPr>
        <w:rFonts w:ascii="Arial Narrow" w:hAnsi="Arial Narrow" w:hint="default"/>
      </w:rPr>
    </w:lvl>
    <w:lvl w:ilvl="4">
      <w:start w:val="1"/>
      <w:numFmt w:val="lowerLetter"/>
      <w:lvlText w:val="(%5)"/>
      <w:lvlJc w:val="left"/>
      <w:pPr>
        <w:ind w:left="1200" w:hanging="240"/>
      </w:pPr>
    </w:lvl>
    <w:lvl w:ilvl="5">
      <w:start w:val="1"/>
      <w:numFmt w:val="lowerRoman"/>
      <w:lvlText w:val="(%6)"/>
      <w:lvlJc w:val="left"/>
      <w:pPr>
        <w:ind w:left="1440" w:hanging="240"/>
      </w:pPr>
    </w:lvl>
    <w:lvl w:ilvl="6">
      <w:start w:val="1"/>
      <w:numFmt w:val="decimal"/>
      <w:lvlText w:val="%7."/>
      <w:lvlJc w:val="left"/>
      <w:pPr>
        <w:ind w:left="1680" w:hanging="240"/>
      </w:pPr>
    </w:lvl>
    <w:lvl w:ilvl="7">
      <w:start w:val="1"/>
      <w:numFmt w:val="lowerLetter"/>
      <w:lvlText w:val="%8."/>
      <w:lvlJc w:val="left"/>
      <w:pPr>
        <w:ind w:left="1920" w:hanging="240"/>
      </w:pPr>
    </w:lvl>
    <w:lvl w:ilvl="8">
      <w:start w:val="1"/>
      <w:numFmt w:val="lowerRoman"/>
      <w:lvlText w:val="%9."/>
      <w:lvlJc w:val="left"/>
      <w:pPr>
        <w:ind w:left="2160" w:hanging="240"/>
      </w:pPr>
    </w:lvl>
  </w:abstractNum>
  <w:abstractNum w:abstractNumId="6" w15:restartNumberingAfterBreak="0">
    <w:nsid w:val="05177354"/>
    <w:multiLevelType w:val="multilevel"/>
    <w:tmpl w:val="5DA053E4"/>
    <w:styleLink w:val="aaclstStyleAppendices"/>
    <w:lvl w:ilvl="0">
      <w:start w:val="1"/>
      <w:numFmt w:val="upperLetter"/>
      <w:pStyle w:val="Heading9"/>
      <w:lvlText w:val="%1"/>
      <w:lvlJc w:val="right"/>
      <w:pPr>
        <w:ind w:left="0" w:hanging="136"/>
      </w:pPr>
      <w:rPr>
        <w:rFonts w:ascii="Yu Gothic Medium" w:eastAsia="Yu Gothic Medium" w:hAnsi="Yu Gothic Medium" w:hint="eastAsia"/>
      </w:rPr>
    </w:lvl>
    <w:lvl w:ilvl="1">
      <w:start w:val="1"/>
      <w:numFmt w:val="none"/>
      <w:lvlText w:val=""/>
      <w:lvlJc w:val="right"/>
      <w:pPr>
        <w:ind w:left="0" w:hanging="136"/>
      </w:pPr>
      <w:rPr>
        <w:rFonts w:ascii="Arial Narrow" w:hAnsi="Arial Narrow" w:hint="default"/>
      </w:rPr>
    </w:lvl>
    <w:lvl w:ilvl="2">
      <w:start w:val="1"/>
      <w:numFmt w:val="none"/>
      <w:lvlText w:val=""/>
      <w:lvlJc w:val="left"/>
      <w:pPr>
        <w:ind w:left="320" w:hanging="320"/>
      </w:pPr>
      <w:rPr>
        <w:rFonts w:ascii="Arial Narrow" w:hAnsi="Arial Narrow"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7" w15:restartNumberingAfterBreak="0">
    <w:nsid w:val="06D55B15"/>
    <w:multiLevelType w:val="multilevel"/>
    <w:tmpl w:val="C1127ADE"/>
    <w:styleLink w:val="aaHeadingnonumberList"/>
    <w:lvl w:ilvl="0">
      <w:start w:val="1"/>
      <w:numFmt w:val="none"/>
      <w:suff w:val="nothing"/>
      <w:lvlText w:val="%1"/>
      <w:lvlJc w:val="left"/>
      <w:pPr>
        <w:ind w:left="0" w:firstLine="0"/>
      </w:pPr>
      <w:rPr>
        <w:rFonts w:hint="default"/>
      </w:rPr>
    </w:lvl>
    <w:lvl w:ilvl="1">
      <w:start w:val="1"/>
      <w:numFmt w:val="none"/>
      <w:suff w:val="nothing"/>
      <w:lvlText w:val="%2"/>
      <w:lvlJc w:val="left"/>
      <w:pPr>
        <w:ind w:left="0" w:firstLine="0"/>
      </w:pPr>
      <w:rPr>
        <w:rFonts w:hint="default"/>
      </w:rPr>
    </w:lvl>
    <w:lvl w:ilvl="2">
      <w:start w:val="1"/>
      <w:numFmt w:val="none"/>
      <w:suff w:val="nothing"/>
      <w:lvlText w:val="%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8" w15:restartNumberingAfterBreak="0">
    <w:nsid w:val="07877F50"/>
    <w:multiLevelType w:val="multilevel"/>
    <w:tmpl w:val="C958DAD4"/>
    <w:styleLink w:val="aaAppendixNumbering"/>
    <w:lvl w:ilvl="0">
      <w:start w:val="1"/>
      <w:numFmt w:val="upperLetter"/>
      <w:lvlText w:val="%1."/>
      <w:lvlJc w:val="right"/>
      <w:pPr>
        <w:tabs>
          <w:tab w:val="num" w:pos="248"/>
        </w:tabs>
        <w:ind w:left="248" w:hanging="384"/>
      </w:pPr>
      <w:rPr>
        <w:rFonts w:hint="default"/>
      </w:rPr>
    </w:lvl>
    <w:lvl w:ilvl="1">
      <w:start w:val="1"/>
      <w:numFmt w:val="decimal"/>
      <w:lvlText w:val="%1.%2"/>
      <w:lvlJc w:val="right"/>
      <w:pPr>
        <w:tabs>
          <w:tab w:val="num" w:pos="0"/>
        </w:tabs>
        <w:ind w:left="0" w:hanging="136"/>
      </w:pPr>
      <w:rPr>
        <w:rFonts w:hint="default"/>
      </w:rPr>
    </w:lvl>
    <w:lvl w:ilvl="2">
      <w:start w:val="1"/>
      <w:numFmt w:val="decimal"/>
      <w:lvlText w:val="%1.%2.%3"/>
      <w:lvlJc w:val="left"/>
      <w:pPr>
        <w:tabs>
          <w:tab w:val="num" w:pos="320"/>
        </w:tabs>
        <w:ind w:left="320" w:hanging="32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9" w15:restartNumberingAfterBreak="0">
    <w:nsid w:val="088509EA"/>
    <w:multiLevelType w:val="multilevel"/>
    <w:tmpl w:val="9DB25304"/>
    <w:styleLink w:val="ACILAllenTableListNumbering"/>
    <w:lvl w:ilvl="0">
      <w:start w:val="1"/>
      <w:numFmt w:val="decimal"/>
      <w:lvlText w:val="%1."/>
      <w:lvlJc w:val="left"/>
      <w:pPr>
        <w:ind w:left="284" w:hanging="284"/>
      </w:pPr>
      <w:rPr>
        <w:rFonts w:asciiTheme="minorHAnsi" w:hAnsiTheme="minorHAnsi" w:hint="default"/>
        <w:caps w:val="0"/>
        <w:strike w:val="0"/>
        <w:dstrike w:val="0"/>
        <w:vanish w:val="0"/>
        <w:color w:val="auto"/>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567" w:hanging="283"/>
      </w:pPr>
      <w:rPr>
        <w:rFonts w:hint="default"/>
      </w:rPr>
    </w:lvl>
    <w:lvl w:ilvl="2">
      <w:start w:val="1"/>
      <w:numFmt w:val="lowerRoman"/>
      <w:lvlText w:val="%3)"/>
      <w:lvlJc w:val="left"/>
      <w:pPr>
        <w:ind w:left="851" w:hanging="284"/>
      </w:pPr>
      <w:rPr>
        <w:rFonts w:hint="default"/>
      </w:rPr>
    </w:lvl>
    <w:lvl w:ilvl="3">
      <w:start w:val="1"/>
      <w:numFmt w:val="none"/>
      <w:suff w:val="nothing"/>
      <w:lvlText w:val=""/>
      <w:lvlJc w:val="left"/>
      <w:pPr>
        <w:ind w:left="1134" w:firstLine="0"/>
      </w:pPr>
      <w:rPr>
        <w:rFonts w:hint="default"/>
      </w:rPr>
    </w:lvl>
    <w:lvl w:ilvl="4">
      <w:start w:val="1"/>
      <w:numFmt w:val="none"/>
      <w:suff w:val="nothing"/>
      <w:lvlText w:val=""/>
      <w:lvlJc w:val="left"/>
      <w:pPr>
        <w:ind w:left="-32767" w:firstLine="0"/>
      </w:pPr>
      <w:rPr>
        <w:rFonts w:hint="default"/>
      </w:rPr>
    </w:lvl>
    <w:lvl w:ilvl="5">
      <w:start w:val="1"/>
      <w:numFmt w:val="none"/>
      <w:suff w:val="nothing"/>
      <w:lvlText w:val=""/>
      <w:lvlJc w:val="left"/>
      <w:pPr>
        <w:ind w:left="-32767" w:firstLine="0"/>
      </w:pPr>
      <w:rPr>
        <w:rFonts w:hint="default"/>
      </w:rPr>
    </w:lvl>
    <w:lvl w:ilvl="6">
      <w:start w:val="1"/>
      <w:numFmt w:val="none"/>
      <w:suff w:val="nothing"/>
      <w:lvlText w:val=""/>
      <w:lvlJc w:val="left"/>
      <w:pPr>
        <w:ind w:left="-32767" w:firstLine="0"/>
      </w:pPr>
      <w:rPr>
        <w:rFonts w:hint="default"/>
      </w:rPr>
    </w:lvl>
    <w:lvl w:ilvl="7">
      <w:start w:val="1"/>
      <w:numFmt w:val="none"/>
      <w:suff w:val="nothing"/>
      <w:lvlText w:val=""/>
      <w:lvlJc w:val="left"/>
      <w:pPr>
        <w:ind w:left="-32767" w:firstLine="0"/>
      </w:pPr>
      <w:rPr>
        <w:rFonts w:hint="default"/>
      </w:rPr>
    </w:lvl>
    <w:lvl w:ilvl="8">
      <w:start w:val="1"/>
      <w:numFmt w:val="none"/>
      <w:suff w:val="nothing"/>
      <w:lvlText w:val=""/>
      <w:lvlJc w:val="left"/>
      <w:pPr>
        <w:ind w:left="-32767" w:firstLine="0"/>
      </w:pPr>
      <w:rPr>
        <w:rFonts w:hint="default"/>
      </w:rPr>
    </w:lvl>
  </w:abstractNum>
  <w:abstractNum w:abstractNumId="10" w15:restartNumberingAfterBreak="0">
    <w:nsid w:val="0FBC535B"/>
    <w:multiLevelType w:val="multilevel"/>
    <w:tmpl w:val="CC5C7C98"/>
    <w:styleLink w:val="ACILAllenDashedList"/>
    <w:lvl w:ilvl="0">
      <w:start w:val="1"/>
      <w:numFmt w:val="bullet"/>
      <w:lvlText w:val=""/>
      <w:lvlJc w:val="left"/>
      <w:pPr>
        <w:ind w:left="1702" w:hanging="284"/>
      </w:pPr>
      <w:rPr>
        <w:rFonts w:ascii="Symbol" w:hAnsi="Symbol" w:hint="default"/>
      </w:rPr>
    </w:lvl>
    <w:lvl w:ilvl="1">
      <w:start w:val="1"/>
      <w:numFmt w:val="bullet"/>
      <w:lvlText w:val=""/>
      <w:lvlJc w:val="left"/>
      <w:pPr>
        <w:ind w:left="426" w:hanging="284"/>
      </w:pPr>
      <w:rPr>
        <w:rFonts w:ascii="Symbol" w:hAnsi="Symbol" w:hint="default"/>
      </w:rPr>
    </w:lvl>
    <w:lvl w:ilvl="2">
      <w:start w:val="1"/>
      <w:numFmt w:val="bullet"/>
      <w:lvlText w:val=""/>
      <w:lvlJc w:val="left"/>
      <w:pPr>
        <w:ind w:left="1418" w:hanging="284"/>
      </w:pPr>
      <w:rPr>
        <w:rFonts w:ascii="Symbol" w:hAnsi="Symbol" w:hint="default"/>
      </w:rPr>
    </w:lvl>
    <w:lvl w:ilvl="3">
      <w:start w:val="1"/>
      <w:numFmt w:val="none"/>
      <w:suff w:val="nothing"/>
      <w:lvlText w:val=""/>
      <w:lvlJc w:val="left"/>
      <w:pPr>
        <w:ind w:left="4320" w:hanging="360"/>
      </w:pPr>
      <w:rPr>
        <w:rFonts w:hint="default"/>
      </w:rPr>
    </w:lvl>
    <w:lvl w:ilvl="4">
      <w:start w:val="1"/>
      <w:numFmt w:val="none"/>
      <w:suff w:val="nothing"/>
      <w:lvlText w:val=""/>
      <w:lvlJc w:val="left"/>
      <w:pPr>
        <w:ind w:left="5040" w:hanging="360"/>
      </w:pPr>
      <w:rPr>
        <w:rFonts w:hint="default"/>
      </w:rPr>
    </w:lvl>
    <w:lvl w:ilvl="5">
      <w:start w:val="1"/>
      <w:numFmt w:val="none"/>
      <w:suff w:val="nothing"/>
      <w:lvlText w:val=""/>
      <w:lvlJc w:val="left"/>
      <w:pPr>
        <w:ind w:left="5760" w:hanging="360"/>
      </w:pPr>
      <w:rPr>
        <w:rFonts w:hint="default"/>
      </w:rPr>
    </w:lvl>
    <w:lvl w:ilvl="6">
      <w:start w:val="1"/>
      <w:numFmt w:val="none"/>
      <w:suff w:val="nothing"/>
      <w:lvlText w:val=""/>
      <w:lvlJc w:val="left"/>
      <w:pPr>
        <w:ind w:left="6480" w:hanging="360"/>
      </w:pPr>
      <w:rPr>
        <w:rFonts w:hint="default"/>
      </w:rPr>
    </w:lvl>
    <w:lvl w:ilvl="7">
      <w:start w:val="1"/>
      <w:numFmt w:val="none"/>
      <w:suff w:val="nothing"/>
      <w:lvlText w:val=""/>
      <w:lvlJc w:val="left"/>
      <w:pPr>
        <w:ind w:left="7200" w:hanging="360"/>
      </w:pPr>
      <w:rPr>
        <w:rFonts w:hint="default"/>
      </w:rPr>
    </w:lvl>
    <w:lvl w:ilvl="8">
      <w:start w:val="1"/>
      <w:numFmt w:val="none"/>
      <w:suff w:val="nothing"/>
      <w:lvlText w:val=""/>
      <w:lvlJc w:val="left"/>
      <w:pPr>
        <w:ind w:left="7920" w:hanging="360"/>
      </w:pPr>
      <w:rPr>
        <w:rFonts w:hint="default"/>
      </w:rPr>
    </w:lvl>
  </w:abstractNum>
  <w:abstractNum w:abstractNumId="11" w15:restartNumberingAfterBreak="0">
    <w:nsid w:val="10D03EFD"/>
    <w:multiLevelType w:val="hybridMultilevel"/>
    <w:tmpl w:val="B7CED5C8"/>
    <w:lvl w:ilvl="0" w:tplc="AA028F0E">
      <w:start w:val="1"/>
      <w:numFmt w:val="decimal"/>
      <w:pStyle w:val="TableTextBold"/>
      <w:lvlText w:val="%1."/>
      <w:lvlJc w:val="left"/>
      <w:pPr>
        <w:tabs>
          <w:tab w:val="num" w:pos="851"/>
        </w:tabs>
        <w:ind w:left="851" w:hanging="851"/>
      </w:pPr>
      <w:rPr>
        <w:rFonts w:ascii="Arial" w:hAnsi="Arial" w:hint="default"/>
        <w:sz w:val="20"/>
        <w:szCs w:val="2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12E04B43"/>
    <w:multiLevelType w:val="multilevel"/>
    <w:tmpl w:val="298403DA"/>
    <w:lvl w:ilvl="0">
      <w:start w:val="1"/>
      <w:numFmt w:val="none"/>
      <w:lvlText w:val="%1"/>
      <w:lvlJc w:val="left"/>
      <w:pPr>
        <w:ind w:left="0" w:firstLine="0"/>
      </w:pPr>
      <w:rPr>
        <w:rFonts w:ascii="Yu Gothic Medium" w:hAnsi="Yu Gothic Medium" w:hint="default"/>
        <w:sz w:val="20"/>
      </w:rPr>
    </w:lvl>
    <w:lvl w:ilvl="1">
      <w:start w:val="1"/>
      <w:numFmt w:val="none"/>
      <w:suff w:val="nothing"/>
      <w:lvlText w:val="%2"/>
      <w:lvlJc w:val="right"/>
      <w:pPr>
        <w:ind w:left="567" w:hanging="567"/>
      </w:pPr>
      <w:rPr>
        <w:rFonts w:hint="default"/>
      </w:rPr>
    </w:lvl>
    <w:lvl w:ilvl="2">
      <w:start w:val="1"/>
      <w:numFmt w:val="none"/>
      <w:suff w:val="nothing"/>
      <w:lvlText w:val="%3"/>
      <w:lvlJc w:val="right"/>
      <w:pPr>
        <w:ind w:left="1134" w:hanging="567"/>
      </w:pPr>
      <w:rPr>
        <w:rFonts w:hint="default"/>
      </w:rPr>
    </w:lvl>
    <w:lvl w:ilvl="3">
      <w:start w:val="1"/>
      <w:numFmt w:val="none"/>
      <w:lvlText w:val=""/>
      <w:lvlJc w:val="left"/>
      <w:pPr>
        <w:ind w:left="1701" w:hanging="567"/>
      </w:pPr>
      <w:rPr>
        <w:rFonts w:hint="default"/>
      </w:rPr>
    </w:lvl>
    <w:lvl w:ilvl="4">
      <w:start w:val="1"/>
      <w:numFmt w:val="lowerLetter"/>
      <w:lvlText w:val="(%5)"/>
      <w:lvlJc w:val="left"/>
      <w:pPr>
        <w:ind w:left="336" w:hanging="336"/>
      </w:pPr>
      <w:rPr>
        <w:rFonts w:hint="default"/>
      </w:rPr>
    </w:lvl>
    <w:lvl w:ilvl="5">
      <w:start w:val="1"/>
      <w:numFmt w:val="none"/>
      <w:pStyle w:val="TOC6"/>
      <w:lvlText w:val=""/>
      <w:lvlJc w:val="left"/>
      <w:pPr>
        <w:ind w:left="336" w:hanging="336"/>
      </w:pPr>
      <w:rPr>
        <w:rFonts w:hint="default"/>
      </w:rPr>
    </w:lvl>
    <w:lvl w:ilvl="6">
      <w:start w:val="1"/>
      <w:numFmt w:val="none"/>
      <w:pStyle w:val="TOC7"/>
      <w:lvlText w:val="%7"/>
      <w:lvlJc w:val="left"/>
      <w:pPr>
        <w:ind w:left="0" w:firstLine="0"/>
      </w:pPr>
      <w:rPr>
        <w:rFonts w:hint="default"/>
        <w:color w:val="FFFEFF"/>
      </w:rPr>
    </w:lvl>
    <w:lvl w:ilvl="7">
      <w:start w:val="1"/>
      <w:numFmt w:val="lowerLetter"/>
      <w:lvlText w:val="%8."/>
      <w:lvlJc w:val="left"/>
      <w:pPr>
        <w:ind w:left="336" w:hanging="336"/>
      </w:pPr>
      <w:rPr>
        <w:rFonts w:hint="default"/>
      </w:rPr>
    </w:lvl>
    <w:lvl w:ilvl="8">
      <w:start w:val="1"/>
      <w:numFmt w:val="lowerRoman"/>
      <w:lvlText w:val="%9."/>
      <w:lvlJc w:val="left"/>
      <w:pPr>
        <w:ind w:left="336" w:hanging="336"/>
      </w:pPr>
      <w:rPr>
        <w:rFonts w:hint="default"/>
      </w:rPr>
    </w:lvl>
  </w:abstractNum>
  <w:abstractNum w:abstractNumId="13" w15:restartNumberingAfterBreak="0">
    <w:nsid w:val="132B14F7"/>
    <w:multiLevelType w:val="multilevel"/>
    <w:tmpl w:val="4D96EFB6"/>
    <w:styleLink w:val="aacTableListBulletssmall"/>
    <w:lvl w:ilvl="0">
      <w:start w:val="1"/>
      <w:numFmt w:val="bullet"/>
      <w:pStyle w:val="Tablelistbulletsmall"/>
      <w:lvlText w:val="–"/>
      <w:lvlJc w:val="left"/>
      <w:pPr>
        <w:ind w:left="278" w:hanging="278"/>
      </w:pPr>
      <w:rPr>
        <w:rFonts w:ascii="Arial Narrow" w:hAnsi="Arial Narrow" w:hint="default"/>
      </w:rPr>
    </w:lvl>
    <w:lvl w:ilvl="1">
      <w:start w:val="1"/>
      <w:numFmt w:val="bullet"/>
      <w:pStyle w:val="Tablelistbullet2small"/>
      <w:lvlText w:val="–"/>
      <w:lvlJc w:val="left"/>
      <w:pPr>
        <w:tabs>
          <w:tab w:val="num" w:pos="278"/>
        </w:tabs>
        <w:ind w:left="522" w:hanging="244"/>
      </w:pPr>
      <w:rPr>
        <w:rFonts w:ascii="Arial Narrow" w:hAnsi="Arial Narrow" w:hint="default"/>
      </w:rPr>
    </w:lvl>
    <w:lvl w:ilvl="2">
      <w:start w:val="1"/>
      <w:numFmt w:val="bullet"/>
      <w:pStyle w:val="Tablelistbullet3small"/>
      <w:lvlText w:val="–"/>
      <w:lvlJc w:val="left"/>
      <w:pPr>
        <w:ind w:left="760" w:hanging="238"/>
      </w:pPr>
      <w:rPr>
        <w:rFonts w:ascii="Arial Narrow" w:hAnsi="Arial Narrow"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15:restartNumberingAfterBreak="0">
    <w:nsid w:val="13E15023"/>
    <w:multiLevelType w:val="hybridMultilevel"/>
    <w:tmpl w:val="24FA0C9A"/>
    <w:lvl w:ilvl="0" w:tplc="72A8CF4E">
      <w:start w:val="1"/>
      <w:numFmt w:val="bullet"/>
      <w:pStyle w:val="TextDotPoin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68E676F"/>
    <w:multiLevelType w:val="multilevel"/>
    <w:tmpl w:val="E938B7C8"/>
    <w:styleLink w:val="aacTableListNumberssmall"/>
    <w:lvl w:ilvl="0">
      <w:start w:val="1"/>
      <w:numFmt w:val="decimal"/>
      <w:pStyle w:val="Tablelistnumbersmall"/>
      <w:lvlText w:val="%1."/>
      <w:lvlJc w:val="left"/>
      <w:pPr>
        <w:ind w:left="340" w:hanging="340"/>
      </w:pPr>
      <w:rPr>
        <w:rFonts w:hint="default"/>
      </w:rPr>
    </w:lvl>
    <w:lvl w:ilvl="1">
      <w:start w:val="1"/>
      <w:numFmt w:val="lowerLetter"/>
      <w:pStyle w:val="Tablelistnumber2small"/>
      <w:lvlText w:val="%2)"/>
      <w:lvlJc w:val="left"/>
      <w:pPr>
        <w:ind w:left="567" w:hanging="227"/>
      </w:pPr>
      <w:rPr>
        <w:rFonts w:ascii="Arial Narrow" w:hAnsi="Arial Narrow" w:hint="default"/>
      </w:rPr>
    </w:lvl>
    <w:lvl w:ilvl="2">
      <w:start w:val="1"/>
      <w:numFmt w:val="lowerRoman"/>
      <w:pStyle w:val="Tablelistnumber3small"/>
      <w:lvlText w:val="%3)"/>
      <w:lvlJc w:val="left"/>
      <w:pPr>
        <w:ind w:left="794" w:hanging="227"/>
      </w:pPr>
      <w:rPr>
        <w:rFonts w:ascii="Arial Narrow" w:hAnsi="Arial Narrow" w:hint="default"/>
      </w:rPr>
    </w:lvl>
    <w:lvl w:ilvl="3">
      <w:start w:val="1"/>
      <w:numFmt w:val="none"/>
      <w:lvlText w:val=""/>
      <w:lvlJc w:val="left"/>
      <w:pPr>
        <w:ind w:left="1021" w:hanging="340"/>
      </w:pPr>
      <w:rPr>
        <w:rFonts w:hint="default"/>
      </w:rPr>
    </w:lvl>
    <w:lvl w:ilvl="4">
      <w:start w:val="1"/>
      <w:numFmt w:val="none"/>
      <w:lvlText w:val=""/>
      <w:lvlJc w:val="left"/>
      <w:pPr>
        <w:ind w:left="1248" w:hanging="340"/>
      </w:pPr>
      <w:rPr>
        <w:rFonts w:hint="default"/>
      </w:rPr>
    </w:lvl>
    <w:lvl w:ilvl="5">
      <w:start w:val="1"/>
      <w:numFmt w:val="none"/>
      <w:lvlText w:val=""/>
      <w:lvlJc w:val="left"/>
      <w:pPr>
        <w:ind w:left="1475" w:hanging="340"/>
      </w:pPr>
      <w:rPr>
        <w:rFonts w:hint="default"/>
      </w:rPr>
    </w:lvl>
    <w:lvl w:ilvl="6">
      <w:start w:val="1"/>
      <w:numFmt w:val="none"/>
      <w:lvlText w:val=""/>
      <w:lvlJc w:val="left"/>
      <w:pPr>
        <w:ind w:left="1702" w:hanging="340"/>
      </w:pPr>
      <w:rPr>
        <w:rFonts w:hint="default"/>
      </w:rPr>
    </w:lvl>
    <w:lvl w:ilvl="7">
      <w:start w:val="1"/>
      <w:numFmt w:val="none"/>
      <w:lvlText w:val=""/>
      <w:lvlJc w:val="left"/>
      <w:pPr>
        <w:ind w:left="1929" w:hanging="340"/>
      </w:pPr>
      <w:rPr>
        <w:rFonts w:hint="default"/>
      </w:rPr>
    </w:lvl>
    <w:lvl w:ilvl="8">
      <w:start w:val="1"/>
      <w:numFmt w:val="none"/>
      <w:lvlText w:val=""/>
      <w:lvlJc w:val="left"/>
      <w:pPr>
        <w:ind w:left="2156" w:hanging="340"/>
      </w:pPr>
      <w:rPr>
        <w:rFonts w:hint="default"/>
      </w:rPr>
    </w:lvl>
  </w:abstractNum>
  <w:abstractNum w:abstractNumId="16" w15:restartNumberingAfterBreak="0">
    <w:nsid w:val="16CC3DFF"/>
    <w:multiLevelType w:val="multilevel"/>
    <w:tmpl w:val="AB0EE45E"/>
    <w:styleLink w:val="BoxListBullets"/>
    <w:lvl w:ilvl="0">
      <w:start w:val="1"/>
      <w:numFmt w:val="bullet"/>
      <w:lvlText w:val="—"/>
      <w:lvlJc w:val="left"/>
      <w:pPr>
        <w:ind w:left="446" w:hanging="446"/>
      </w:pPr>
      <w:rPr>
        <w:rFonts w:ascii="Arial Narrow" w:hAnsi="Arial Narrow" w:hint="default"/>
      </w:rPr>
    </w:lvl>
    <w:lvl w:ilvl="1">
      <w:start w:val="1"/>
      <w:numFmt w:val="bullet"/>
      <w:lvlText w:val="–"/>
      <w:lvlJc w:val="left"/>
      <w:pPr>
        <w:ind w:left="726" w:hanging="280"/>
      </w:pPr>
      <w:rPr>
        <w:rFonts w:ascii="Arial Narrow" w:hAnsi="Arial Narrow" w:hint="default"/>
        <w:sz w:val="16"/>
      </w:rPr>
    </w:lvl>
    <w:lvl w:ilvl="2">
      <w:start w:val="1"/>
      <w:numFmt w:val="bullet"/>
      <w:lvlText w:val="–"/>
      <w:lvlJc w:val="left"/>
      <w:pPr>
        <w:ind w:left="966" w:hanging="240"/>
      </w:pPr>
      <w:rPr>
        <w:rFonts w:ascii="Arial Narrow" w:hAnsi="Arial Narrow" w:hint="default"/>
      </w:rPr>
    </w:lvl>
    <w:lvl w:ilvl="3">
      <w:start w:val="1"/>
      <w:numFmt w:val="decimal"/>
      <w:lvlText w:val="(%4)"/>
      <w:lvlJc w:val="left"/>
      <w:pPr>
        <w:ind w:left="1166" w:hanging="446"/>
      </w:pPr>
      <w:rPr>
        <w:rFonts w:hint="default"/>
      </w:rPr>
    </w:lvl>
    <w:lvl w:ilvl="4">
      <w:start w:val="1"/>
      <w:numFmt w:val="lowerLetter"/>
      <w:lvlText w:val="(%5)"/>
      <w:lvlJc w:val="left"/>
      <w:pPr>
        <w:ind w:left="1406" w:hanging="446"/>
      </w:pPr>
      <w:rPr>
        <w:rFonts w:hint="default"/>
      </w:rPr>
    </w:lvl>
    <w:lvl w:ilvl="5">
      <w:start w:val="1"/>
      <w:numFmt w:val="lowerRoman"/>
      <w:lvlText w:val="(%6)"/>
      <w:lvlJc w:val="left"/>
      <w:pPr>
        <w:ind w:left="1646" w:hanging="446"/>
      </w:pPr>
      <w:rPr>
        <w:rFonts w:hint="default"/>
      </w:rPr>
    </w:lvl>
    <w:lvl w:ilvl="6">
      <w:start w:val="1"/>
      <w:numFmt w:val="decimal"/>
      <w:lvlText w:val="%7."/>
      <w:lvlJc w:val="left"/>
      <w:pPr>
        <w:ind w:left="1886" w:hanging="446"/>
      </w:pPr>
      <w:rPr>
        <w:rFonts w:hint="default"/>
      </w:rPr>
    </w:lvl>
    <w:lvl w:ilvl="7">
      <w:start w:val="1"/>
      <w:numFmt w:val="lowerLetter"/>
      <w:lvlText w:val="%8."/>
      <w:lvlJc w:val="left"/>
      <w:pPr>
        <w:ind w:left="2126" w:hanging="446"/>
      </w:pPr>
      <w:rPr>
        <w:rFonts w:hint="default"/>
      </w:rPr>
    </w:lvl>
    <w:lvl w:ilvl="8">
      <w:start w:val="1"/>
      <w:numFmt w:val="lowerRoman"/>
      <w:lvlText w:val="%9."/>
      <w:lvlJc w:val="left"/>
      <w:pPr>
        <w:ind w:left="2366" w:hanging="446"/>
      </w:pPr>
      <w:rPr>
        <w:rFonts w:hint="default"/>
      </w:rPr>
    </w:lvl>
  </w:abstractNum>
  <w:abstractNum w:abstractNumId="17" w15:restartNumberingAfterBreak="0">
    <w:nsid w:val="1877449B"/>
    <w:multiLevelType w:val="multilevel"/>
    <w:tmpl w:val="145205FC"/>
    <w:styleLink w:val="aaReportListDash"/>
    <w:lvl w:ilvl="0">
      <w:start w:val="1"/>
      <w:numFmt w:val="bullet"/>
      <w:lvlText w:val="—"/>
      <w:lvlJc w:val="left"/>
      <w:pPr>
        <w:ind w:left="0" w:hanging="448"/>
      </w:pPr>
      <w:rPr>
        <w:rFonts w:ascii="Arial Narrow" w:hAnsi="Arial Narrow" w:hint="default"/>
      </w:rPr>
    </w:lvl>
    <w:lvl w:ilvl="1">
      <w:start w:val="1"/>
      <w:numFmt w:val="bullet"/>
      <w:lvlText w:val="–"/>
      <w:lvlJc w:val="left"/>
      <w:pPr>
        <w:ind w:left="238" w:hanging="238"/>
      </w:pPr>
      <w:rPr>
        <w:rFonts w:ascii="Arial Narrow" w:hAnsi="Arial Narrow" w:hint="default"/>
      </w:rPr>
    </w:lvl>
    <w:lvl w:ilvl="2">
      <w:start w:val="1"/>
      <w:numFmt w:val="bullet"/>
      <w:lvlText w:val="−"/>
      <w:lvlJc w:val="left"/>
      <w:pPr>
        <w:ind w:left="482" w:hanging="244"/>
      </w:pPr>
      <w:rPr>
        <w:rFonts w:ascii="Arial Narrow" w:hAnsi="Arial Narrow" w:hint="default"/>
        <w:position w:val="-2"/>
      </w:rPr>
    </w:lvl>
    <w:lvl w:ilvl="3">
      <w:start w:val="1"/>
      <w:numFmt w:val="bullet"/>
      <w:lvlText w:val="−"/>
      <w:lvlJc w:val="left"/>
      <w:pPr>
        <w:ind w:left="0" w:hanging="448"/>
      </w:pPr>
      <w:rPr>
        <w:rFonts w:ascii="Calibri" w:hAnsi="Calibri" w:hint="default"/>
      </w:rPr>
    </w:lvl>
    <w:lvl w:ilvl="4">
      <w:start w:val="1"/>
      <w:numFmt w:val="bullet"/>
      <w:lvlText w:val="−"/>
      <w:lvlJc w:val="left"/>
      <w:pPr>
        <w:ind w:left="0" w:hanging="448"/>
      </w:pPr>
      <w:rPr>
        <w:rFonts w:ascii="Calibri" w:hAnsi="Calibri" w:hint="default"/>
      </w:rPr>
    </w:lvl>
    <w:lvl w:ilvl="5">
      <w:start w:val="1"/>
      <w:numFmt w:val="bullet"/>
      <w:lvlText w:val="−"/>
      <w:lvlJc w:val="left"/>
      <w:pPr>
        <w:ind w:left="0" w:hanging="448"/>
      </w:pPr>
      <w:rPr>
        <w:rFonts w:ascii="Calibri" w:hAnsi="Calibri" w:hint="default"/>
      </w:rPr>
    </w:lvl>
    <w:lvl w:ilvl="6">
      <w:start w:val="1"/>
      <w:numFmt w:val="bullet"/>
      <w:lvlText w:val="−"/>
      <w:lvlJc w:val="left"/>
      <w:pPr>
        <w:ind w:left="0" w:hanging="448"/>
      </w:pPr>
      <w:rPr>
        <w:rFonts w:ascii="Calibri" w:hAnsi="Calibri" w:hint="default"/>
      </w:rPr>
    </w:lvl>
    <w:lvl w:ilvl="7">
      <w:start w:val="1"/>
      <w:numFmt w:val="bullet"/>
      <w:lvlText w:val="−"/>
      <w:lvlJc w:val="left"/>
      <w:pPr>
        <w:ind w:left="0" w:hanging="448"/>
      </w:pPr>
      <w:rPr>
        <w:rFonts w:ascii="Calibri" w:hAnsi="Calibri" w:hint="default"/>
      </w:rPr>
    </w:lvl>
    <w:lvl w:ilvl="8">
      <w:start w:val="1"/>
      <w:numFmt w:val="bullet"/>
      <w:lvlText w:val="−"/>
      <w:lvlJc w:val="left"/>
      <w:pPr>
        <w:ind w:left="0" w:hanging="448"/>
      </w:pPr>
      <w:rPr>
        <w:rFonts w:ascii="Calibri" w:hAnsi="Calibri" w:hint="default"/>
      </w:rPr>
    </w:lvl>
  </w:abstractNum>
  <w:abstractNum w:abstractNumId="18" w15:restartNumberingAfterBreak="0">
    <w:nsid w:val="1BB100B0"/>
    <w:multiLevelType w:val="multilevel"/>
    <w:tmpl w:val="75081F48"/>
    <w:styleLink w:val="aaSideNotesBullets"/>
    <w:lvl w:ilvl="0">
      <w:start w:val="1"/>
      <w:numFmt w:val="bullet"/>
      <w:lvlText w:val="–"/>
      <w:lvlJc w:val="left"/>
      <w:pPr>
        <w:tabs>
          <w:tab w:val="num" w:pos="60"/>
        </w:tabs>
        <w:ind w:left="220" w:hanging="220"/>
      </w:pPr>
      <w:rPr>
        <w:rFonts w:ascii="Arial Narrow" w:hAnsi="Arial Narrow" w:hint="default"/>
      </w:rPr>
    </w:lvl>
    <w:lvl w:ilvl="1">
      <w:start w:val="1"/>
      <w:numFmt w:val="bullet"/>
      <w:lvlText w:val="•"/>
      <w:lvlJc w:val="left"/>
      <w:pPr>
        <w:ind w:left="220" w:hanging="220"/>
      </w:pPr>
      <w:rPr>
        <w:rFonts w:ascii="Arial Narrow" w:hAnsi="Arial Narrow" w:hint="default"/>
        <w:sz w:val="16"/>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1C662060"/>
    <w:multiLevelType w:val="multilevel"/>
    <w:tmpl w:val="83E444BE"/>
    <w:styleLink w:val="aaclstStyleHeadingApp"/>
    <w:lvl w:ilvl="0">
      <w:start w:val="1"/>
      <w:numFmt w:val="upperLetter"/>
      <w:pStyle w:val="Heading1AP"/>
      <w:lvlText w:val="%1"/>
      <w:lvlJc w:val="right"/>
      <w:pPr>
        <w:ind w:left="248" w:hanging="384"/>
      </w:pPr>
      <w:rPr>
        <w:rFonts w:hint="default"/>
      </w:rPr>
    </w:lvl>
    <w:lvl w:ilvl="1">
      <w:start w:val="1"/>
      <w:numFmt w:val="decimal"/>
      <w:pStyle w:val="Heading2AP"/>
      <w:lvlText w:val="%1.%2"/>
      <w:lvlJc w:val="right"/>
      <w:pPr>
        <w:ind w:left="0" w:hanging="136"/>
      </w:pPr>
      <w:rPr>
        <w:rFonts w:hint="default"/>
      </w:rPr>
    </w:lvl>
    <w:lvl w:ilvl="2">
      <w:start w:val="1"/>
      <w:numFmt w:val="decimal"/>
      <w:pStyle w:val="Heading3AP"/>
      <w:lvlText w:val="%1.%2.%3"/>
      <w:lvlJc w:val="left"/>
      <w:pPr>
        <w:ind w:left="320" w:hanging="320"/>
      </w:pPr>
      <w:rPr>
        <w:rFonts w:hint="default"/>
      </w:rPr>
    </w:lvl>
    <w:lvl w:ilvl="3">
      <w:start w:val="1"/>
      <w:numFmt w:val="none"/>
      <w:pStyle w:val="Heading4AP"/>
      <w:lvlText w:val=""/>
      <w:lvlJc w:val="left"/>
      <w:pPr>
        <w:ind w:left="0" w:firstLine="0"/>
      </w:pPr>
      <w:rPr>
        <w:rFonts w:hint="default"/>
      </w:rPr>
    </w:lvl>
    <w:lvl w:ilvl="4">
      <w:start w:val="1"/>
      <w:numFmt w:val="none"/>
      <w:pStyle w:val="Heading5AP"/>
      <w:lvlText w:val=""/>
      <w:lvlJc w:val="left"/>
      <w:pPr>
        <w:ind w:left="0" w:firstLine="0"/>
      </w:pPr>
      <w:rPr>
        <w:rFonts w:hint="default"/>
      </w:rPr>
    </w:lvl>
    <w:lvl w:ilvl="5">
      <w:start w:val="1"/>
      <w:numFmt w:val="none"/>
      <w:pStyle w:val="Heading6AP"/>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0" w15:restartNumberingAfterBreak="0">
    <w:nsid w:val="1D1D2534"/>
    <w:multiLevelType w:val="hybridMultilevel"/>
    <w:tmpl w:val="AD32E70A"/>
    <w:lvl w:ilvl="0" w:tplc="6DACC398">
      <w:start w:val="1"/>
      <w:numFmt w:val="lowerLetter"/>
      <w:pStyle w:val="TableTexta"/>
      <w:lvlText w:val="(%1)"/>
      <w:lvlJc w:val="left"/>
      <w:pPr>
        <w:tabs>
          <w:tab w:val="num" w:pos="851"/>
        </w:tabs>
        <w:ind w:left="851" w:hanging="851"/>
      </w:pPr>
      <w:rPr>
        <w:rFonts w:ascii="Times New Roman" w:hAnsi="Times New Roman" w:hint="default"/>
        <w:sz w:val="22"/>
        <w:szCs w:val="2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1E833949"/>
    <w:multiLevelType w:val="multilevel"/>
    <w:tmpl w:val="0809001D"/>
    <w:styleLink w:val="1ai"/>
    <w:lvl w:ilvl="0">
      <w:start w:val="1"/>
      <w:numFmt w:val="decimal"/>
      <w:lvlText w:val="%1)"/>
      <w:lvlJc w:val="left"/>
      <w:pPr>
        <w:ind w:left="360" w:hanging="360"/>
      </w:pPr>
      <w:rPr>
        <w:rFonts w:cs="Times New Roman"/>
        <w:bCs w:val="0"/>
        <w:iCs w:val="0"/>
        <w:szCs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1F5A7EF8"/>
    <w:multiLevelType w:val="hybridMultilevel"/>
    <w:tmpl w:val="AA4C97A0"/>
    <w:lvl w:ilvl="0" w:tplc="82800CE2">
      <w:start w:val="1"/>
      <w:numFmt w:val="bullet"/>
      <w:pStyle w:val="TableQuoteBullet"/>
      <w:lvlText w:val="–"/>
      <w:lvlJc w:val="left"/>
      <w:pPr>
        <w:ind w:left="460" w:hanging="360"/>
      </w:pPr>
      <w:rPr>
        <w:rFonts w:ascii="Arial Narrow" w:hAnsi="Arial Narrow"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0010423"/>
    <w:multiLevelType w:val="multilevel"/>
    <w:tmpl w:val="29E0E8DA"/>
    <w:styleLink w:val="aaTableListNumbers"/>
    <w:lvl w:ilvl="0">
      <w:start w:val="1"/>
      <w:numFmt w:val="decimal"/>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907" w:hanging="227"/>
      </w:pPr>
      <w:rPr>
        <w:rFonts w:hint="default"/>
      </w:rPr>
    </w:lvl>
    <w:lvl w:ilvl="3">
      <w:start w:val="1"/>
      <w:numFmt w:val="decimal"/>
      <w:lvlText w:val="(%4)"/>
      <w:lvlJc w:val="left"/>
      <w:pPr>
        <w:ind w:left="960" w:hanging="240"/>
      </w:pPr>
      <w:rPr>
        <w:rFonts w:hint="default"/>
      </w:rPr>
    </w:lvl>
    <w:lvl w:ilvl="4">
      <w:start w:val="1"/>
      <w:numFmt w:val="lowerLetter"/>
      <w:lvlText w:val="(%5)"/>
      <w:lvlJc w:val="left"/>
      <w:pPr>
        <w:ind w:left="1200" w:hanging="240"/>
      </w:pPr>
      <w:rPr>
        <w:rFonts w:hint="default"/>
      </w:rPr>
    </w:lvl>
    <w:lvl w:ilvl="5">
      <w:start w:val="1"/>
      <w:numFmt w:val="lowerRoman"/>
      <w:lvlText w:val="(%6)"/>
      <w:lvlJc w:val="left"/>
      <w:pPr>
        <w:ind w:left="1440" w:hanging="240"/>
      </w:pPr>
      <w:rPr>
        <w:rFonts w:hint="default"/>
      </w:rPr>
    </w:lvl>
    <w:lvl w:ilvl="6">
      <w:start w:val="1"/>
      <w:numFmt w:val="decimal"/>
      <w:lvlText w:val="%7."/>
      <w:lvlJc w:val="left"/>
      <w:pPr>
        <w:ind w:left="1680" w:hanging="240"/>
      </w:pPr>
      <w:rPr>
        <w:rFonts w:hint="default"/>
      </w:rPr>
    </w:lvl>
    <w:lvl w:ilvl="7">
      <w:start w:val="1"/>
      <w:numFmt w:val="lowerLetter"/>
      <w:lvlText w:val="%8."/>
      <w:lvlJc w:val="left"/>
      <w:pPr>
        <w:ind w:left="1920" w:hanging="240"/>
      </w:pPr>
      <w:rPr>
        <w:rFonts w:hint="default"/>
      </w:rPr>
    </w:lvl>
    <w:lvl w:ilvl="8">
      <w:start w:val="1"/>
      <w:numFmt w:val="lowerRoman"/>
      <w:lvlText w:val="%9."/>
      <w:lvlJc w:val="left"/>
      <w:pPr>
        <w:ind w:left="2160" w:hanging="240"/>
      </w:pPr>
      <w:rPr>
        <w:rFonts w:hint="default"/>
      </w:rPr>
    </w:lvl>
  </w:abstractNum>
  <w:abstractNum w:abstractNumId="24" w15:restartNumberingAfterBreak="0">
    <w:nsid w:val="2073059B"/>
    <w:multiLevelType w:val="multilevel"/>
    <w:tmpl w:val="306ACCA8"/>
    <w:styleLink w:val="aaclstStyleBoxListNumbers"/>
    <w:lvl w:ilvl="0">
      <w:start w:val="1"/>
      <w:numFmt w:val="decimal"/>
      <w:pStyle w:val="BoxListNumber"/>
      <w:lvlText w:val="%1."/>
      <w:lvlJc w:val="left"/>
      <w:pPr>
        <w:ind w:left="564" w:hanging="312"/>
      </w:pPr>
      <w:rPr>
        <w:rFonts w:ascii="Arial Narrow" w:hAnsi="Arial Narrow" w:hint="default"/>
        <w:sz w:val="20"/>
      </w:rPr>
    </w:lvl>
    <w:lvl w:ilvl="1">
      <w:start w:val="1"/>
      <w:numFmt w:val="lowerLetter"/>
      <w:pStyle w:val="BoxListNumber2"/>
      <w:lvlText w:val="%2)"/>
      <w:lvlJc w:val="left"/>
      <w:pPr>
        <w:ind w:left="844" w:hanging="280"/>
      </w:pPr>
      <w:rPr>
        <w:rFonts w:ascii="Arial Narrow" w:hAnsi="Arial Narrow" w:hint="default"/>
      </w:rPr>
    </w:lvl>
    <w:lvl w:ilvl="2">
      <w:start w:val="1"/>
      <w:numFmt w:val="lowerRoman"/>
      <w:pStyle w:val="BoxListNumber3"/>
      <w:lvlText w:val="%3)"/>
      <w:lvlJc w:val="left"/>
      <w:pPr>
        <w:ind w:left="1084" w:hanging="240"/>
      </w:pPr>
      <w:rPr>
        <w:rFonts w:ascii="Arial Narrow" w:hAnsi="Arial Narrow"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226C33D2"/>
    <w:multiLevelType w:val="multilevel"/>
    <w:tmpl w:val="83E444BE"/>
    <w:numStyleLink w:val="aaclstStyleHeadingApp"/>
  </w:abstractNum>
  <w:abstractNum w:abstractNumId="26" w15:restartNumberingAfterBreak="0">
    <w:nsid w:val="23400BB4"/>
    <w:multiLevelType w:val="multilevel"/>
    <w:tmpl w:val="8D3234E2"/>
    <w:lvl w:ilvl="0">
      <w:start w:val="1"/>
      <w:numFmt w:val="decimal"/>
      <w:pStyle w:val="Clause1"/>
      <w:lvlText w:val=" %1."/>
      <w:lvlJc w:val="left"/>
      <w:pPr>
        <w:ind w:left="360" w:hanging="360"/>
      </w:pPr>
      <w:rPr>
        <w:rFonts w:cs="Times New Roman" w:hint="default"/>
        <w:b/>
        <w:bCs w:val="0"/>
        <w:i w:val="0"/>
        <w:iCs w:val="0"/>
        <w:caps w:val="0"/>
        <w:smallCaps w:val="0"/>
        <w:strike w:val="0"/>
        <w:dstrike w:val="0"/>
        <w:vanish w:val="0"/>
        <w:color w:val="4F6228"/>
        <w:spacing w:val="0"/>
        <w:kern w:val="0"/>
        <w:position w:val="0"/>
        <w:u w:val="none"/>
        <w:vertAlign w:val="baseline"/>
      </w:rPr>
    </w:lvl>
    <w:lvl w:ilvl="1">
      <w:start w:val="1"/>
      <w:numFmt w:val="decimal"/>
      <w:pStyle w:val="Clause2"/>
      <w:lvlText w:val=" %1.%2"/>
      <w:lvlJc w:val="left"/>
      <w:pPr>
        <w:tabs>
          <w:tab w:val="num" w:pos="851"/>
        </w:tabs>
        <w:ind w:left="851" w:hanging="851"/>
      </w:pPr>
      <w:rPr>
        <w:rFonts w:cs="Times New Roman" w:hint="default"/>
        <w:b/>
        <w:bCs w:val="0"/>
        <w:i w:val="0"/>
        <w:iCs w:val="0"/>
        <w:caps w:val="0"/>
        <w:smallCaps w:val="0"/>
        <w:strike w:val="0"/>
        <w:dstrike w:val="0"/>
        <w:vanish w:val="0"/>
        <w:color w:val="4F6228"/>
        <w:spacing w:val="0"/>
        <w:kern w:val="0"/>
        <w:position w:val="0"/>
        <w:u w:val="none"/>
        <w:vertAlign w:val="baseline"/>
      </w:rPr>
    </w:lvl>
    <w:lvl w:ilvl="2">
      <w:start w:val="1"/>
      <w:numFmt w:val="decimal"/>
      <w:lvlText w:val=" %1.%2.%3"/>
      <w:lvlJc w:val="left"/>
      <w:pPr>
        <w:tabs>
          <w:tab w:val="num" w:pos="851"/>
        </w:tabs>
        <w:ind w:left="851" w:hanging="851"/>
      </w:pPr>
      <w:rPr>
        <w:rFonts w:cs="Times New Roman" w:hint="default"/>
        <w:b/>
        <w:bCs w:val="0"/>
        <w:i w:val="0"/>
        <w:iCs w:val="0"/>
        <w:caps w:val="0"/>
        <w:smallCaps w:val="0"/>
        <w:strike w:val="0"/>
        <w:dstrike w:val="0"/>
        <w:vanish w:val="0"/>
        <w:color w:val="4F6228"/>
        <w:spacing w:val="0"/>
        <w:kern w:val="0"/>
        <w:position w:val="0"/>
        <w:u w:val="none"/>
        <w:vertAlign w:val="baseline"/>
      </w:rPr>
    </w:lvl>
    <w:lvl w:ilvl="3">
      <w:start w:val="1"/>
      <w:numFmt w:val="none"/>
      <w:pStyle w:val="ClauseNoFormat"/>
      <w:suff w:val="nothing"/>
      <w:lvlText w:val=""/>
      <w:lvlJc w:val="left"/>
      <w:pPr>
        <w:ind w:left="851"/>
      </w:pPr>
      <w:rPr>
        <w:rFonts w:ascii="Arial" w:hAnsi="Arial" w:cs="Times New Roman" w:hint="default"/>
        <w:b w:val="0"/>
        <w:i w:val="0"/>
        <w:caps w:val="0"/>
        <w:strike w:val="0"/>
        <w:dstrike w:val="0"/>
        <w:vanish w:val="0"/>
        <w:color w:val="auto"/>
        <w:sz w:val="20"/>
        <w:vertAlign w:val="baseline"/>
      </w:rPr>
    </w:lvl>
    <w:lvl w:ilvl="4">
      <w:start w:val="1"/>
      <w:numFmt w:val="lowerLetter"/>
      <w:pStyle w:val="Clause4"/>
      <w:lvlText w:val="(%5)"/>
      <w:lvlJc w:val="left"/>
      <w:pPr>
        <w:tabs>
          <w:tab w:val="num" w:pos="1418"/>
        </w:tabs>
        <w:ind w:left="1418" w:hanging="567"/>
      </w:pPr>
      <w:rPr>
        <w:rFonts w:cs="Times New Roman" w:hint="default"/>
        <w:b w:val="0"/>
        <w:bCs w:val="0"/>
        <w:i w:val="0"/>
        <w:iCs w:val="0"/>
        <w:caps w:val="0"/>
        <w:smallCaps w:val="0"/>
        <w:strike w:val="0"/>
        <w:dstrike w:val="0"/>
        <w:vanish w:val="0"/>
        <w:color w:val="auto"/>
        <w:spacing w:val="0"/>
        <w:kern w:val="0"/>
        <w:position w:val="0"/>
        <w:u w:val="none"/>
        <w:vertAlign w:val="baseline"/>
      </w:rPr>
    </w:lvl>
    <w:lvl w:ilvl="5">
      <w:start w:val="1"/>
      <w:numFmt w:val="lowerRoman"/>
      <w:pStyle w:val="Clause5"/>
      <w:lvlText w:val="(%6)"/>
      <w:lvlJc w:val="left"/>
      <w:pPr>
        <w:tabs>
          <w:tab w:val="num" w:pos="2138"/>
        </w:tabs>
        <w:ind w:left="1985" w:hanging="567"/>
      </w:pPr>
      <w:rPr>
        <w:rFonts w:cs="Times New Roman" w:hint="default"/>
        <w:b w:val="0"/>
        <w:bCs w:val="0"/>
        <w:i w:val="0"/>
        <w:iCs w:val="0"/>
        <w:caps w:val="0"/>
        <w:smallCaps w:val="0"/>
        <w:strike w:val="0"/>
        <w:dstrike w:val="0"/>
        <w:vanish w:val="0"/>
        <w:color w:val="4F6228"/>
        <w:spacing w:val="0"/>
        <w:kern w:val="0"/>
        <w:position w:val="0"/>
        <w:u w:val="none"/>
        <w:vertAlign w:val="baseline"/>
      </w:rPr>
    </w:lvl>
    <w:lvl w:ilvl="6">
      <w:start w:val="1"/>
      <w:numFmt w:val="decimal"/>
      <w:lvlRestart w:val="0"/>
      <w:lvlText w:val="Schedule %7"/>
      <w:lvlJc w:val="left"/>
      <w:pPr>
        <w:tabs>
          <w:tab w:val="num" w:pos="2268"/>
        </w:tabs>
        <w:ind w:left="2268" w:hanging="2268"/>
      </w:pPr>
      <w:rPr>
        <w:rFonts w:ascii="Arial Bold" w:hAnsi="Arial Bold" w:cs="Times New Roman" w:hint="default"/>
        <w:b/>
        <w:i w:val="0"/>
        <w:caps w:val="0"/>
        <w:strike w:val="0"/>
        <w:dstrike w:val="0"/>
        <w:vanish w:val="0"/>
        <w:color w:val="800000"/>
        <w:sz w:val="28"/>
        <w:vertAlign w:val="baseline"/>
      </w:rPr>
    </w:lvl>
    <w:lvl w:ilvl="7">
      <w:start w:val="1"/>
      <w:numFmt w:val="upperLetter"/>
      <w:lvlText w:val="%8."/>
      <w:lvlJc w:val="left"/>
      <w:pPr>
        <w:tabs>
          <w:tab w:val="num" w:pos="851"/>
        </w:tabs>
        <w:ind w:left="851" w:hanging="851"/>
      </w:pPr>
      <w:rPr>
        <w:rFonts w:hint="default"/>
        <w:b/>
        <w:i w:val="0"/>
        <w:caps w:val="0"/>
        <w:strike w:val="0"/>
        <w:dstrike w:val="0"/>
        <w:vanish w:val="0"/>
        <w:color w:val="000080"/>
        <w:sz w:val="24"/>
        <w:vertAlign w:val="baseline"/>
      </w:rPr>
    </w:lvl>
    <w:lvl w:ilvl="8">
      <w:start w:val="1"/>
      <w:numFmt w:val="decimal"/>
      <w:lvlRestart w:val="0"/>
      <w:lvlText w:val="%8.%9"/>
      <w:lvlJc w:val="left"/>
      <w:pPr>
        <w:tabs>
          <w:tab w:val="num" w:pos="851"/>
        </w:tabs>
        <w:ind w:left="851" w:hanging="851"/>
      </w:pPr>
      <w:rPr>
        <w:rFonts w:ascii="Arial Bold" w:hAnsi="Arial Bold" w:cs="Times New Roman" w:hint="default"/>
        <w:b/>
        <w:i w:val="0"/>
        <w:caps w:val="0"/>
        <w:strike w:val="0"/>
        <w:dstrike w:val="0"/>
        <w:vanish w:val="0"/>
        <w:color w:val="auto"/>
        <w:sz w:val="20"/>
        <w:vertAlign w:val="baseline"/>
      </w:rPr>
    </w:lvl>
  </w:abstractNum>
  <w:abstractNum w:abstractNumId="27" w15:restartNumberingAfterBreak="0">
    <w:nsid w:val="24103F2B"/>
    <w:multiLevelType w:val="multilevel"/>
    <w:tmpl w:val="475CFF34"/>
    <w:styleLink w:val="aaReportListBullets"/>
    <w:lvl w:ilvl="0">
      <w:start w:val="1"/>
      <w:numFmt w:val="bullet"/>
      <w:lvlText w:val="—"/>
      <w:lvlJc w:val="left"/>
      <w:pPr>
        <w:ind w:left="0" w:hanging="446"/>
      </w:pPr>
      <w:rPr>
        <w:rFonts w:ascii="Arial Narrow" w:hAnsi="Arial Narrow" w:hint="default"/>
        <w:sz w:val="20"/>
      </w:rPr>
    </w:lvl>
    <w:lvl w:ilvl="1">
      <w:start w:val="1"/>
      <w:numFmt w:val="bullet"/>
      <w:lvlText w:val="―"/>
      <w:lvlJc w:val="left"/>
      <w:pPr>
        <w:ind w:left="240" w:hanging="240"/>
      </w:pPr>
      <w:rPr>
        <w:rFonts w:ascii="Arial Narrow" w:hAnsi="Arial Narrow" w:hint="default"/>
        <w:sz w:val="16"/>
      </w:rPr>
    </w:lvl>
    <w:lvl w:ilvl="2">
      <w:start w:val="1"/>
      <w:numFmt w:val="bullet"/>
      <w:lvlText w:val="−"/>
      <w:lvlJc w:val="left"/>
      <w:pPr>
        <w:ind w:left="480" w:hanging="240"/>
      </w:pPr>
      <w:rPr>
        <w:rFonts w:ascii="Arial Narrow" w:hAnsi="Arial Narrow" w:hint="default"/>
        <w:position w:val="0"/>
        <w:sz w:val="16"/>
      </w:rPr>
    </w:lvl>
    <w:lvl w:ilvl="3">
      <w:start w:val="1"/>
      <w:numFmt w:val="bullet"/>
      <w:lvlText w:val="–"/>
      <w:lvlJc w:val="left"/>
      <w:pPr>
        <w:ind w:left="480" w:hanging="240"/>
      </w:pPr>
      <w:rPr>
        <w:rFonts w:ascii="HelveticaNeueLT Std Lt Cn" w:hAnsi="HelveticaNeueLT Std Lt Cn" w:hint="default"/>
      </w:rPr>
    </w:lvl>
    <w:lvl w:ilvl="4">
      <w:start w:val="1"/>
      <w:numFmt w:val="lowerLetter"/>
      <w:lvlText w:val="(%5)"/>
      <w:lvlJc w:val="left"/>
      <w:pPr>
        <w:ind w:left="960" w:hanging="446"/>
      </w:pPr>
      <w:rPr>
        <w:rFonts w:hint="default"/>
      </w:rPr>
    </w:lvl>
    <w:lvl w:ilvl="5">
      <w:start w:val="1"/>
      <w:numFmt w:val="lowerRoman"/>
      <w:lvlText w:val="(%6)"/>
      <w:lvlJc w:val="left"/>
      <w:pPr>
        <w:ind w:left="1200" w:hanging="446"/>
      </w:pPr>
      <w:rPr>
        <w:rFonts w:hint="default"/>
      </w:rPr>
    </w:lvl>
    <w:lvl w:ilvl="6">
      <w:start w:val="1"/>
      <w:numFmt w:val="decimal"/>
      <w:lvlText w:val="%7."/>
      <w:lvlJc w:val="left"/>
      <w:pPr>
        <w:ind w:left="1440" w:hanging="446"/>
      </w:pPr>
      <w:rPr>
        <w:rFonts w:hint="default"/>
      </w:rPr>
    </w:lvl>
    <w:lvl w:ilvl="7">
      <w:start w:val="1"/>
      <w:numFmt w:val="lowerLetter"/>
      <w:lvlText w:val="%8."/>
      <w:lvlJc w:val="left"/>
      <w:pPr>
        <w:ind w:left="1680" w:hanging="446"/>
      </w:pPr>
      <w:rPr>
        <w:rFonts w:hint="default"/>
      </w:rPr>
    </w:lvl>
    <w:lvl w:ilvl="8">
      <w:start w:val="1"/>
      <w:numFmt w:val="lowerRoman"/>
      <w:lvlText w:val="%9."/>
      <w:lvlJc w:val="left"/>
      <w:pPr>
        <w:ind w:left="1920" w:hanging="446"/>
      </w:pPr>
      <w:rPr>
        <w:rFonts w:hint="default"/>
      </w:rPr>
    </w:lvl>
  </w:abstractNum>
  <w:abstractNum w:abstractNumId="28" w15:restartNumberingAfterBreak="0">
    <w:nsid w:val="24340C3B"/>
    <w:multiLevelType w:val="multilevel"/>
    <w:tmpl w:val="656AE9C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pStyle w:val="HeadingNumber1"/>
      <w:lvlText w:val="%5."/>
      <w:lvlJc w:val="left"/>
      <w:pPr>
        <w:tabs>
          <w:tab w:val="num" w:pos="720"/>
        </w:tabs>
        <w:ind w:left="720" w:hanging="720"/>
      </w:pPr>
    </w:lvl>
    <w:lvl w:ilvl="5">
      <w:start w:val="1"/>
      <w:numFmt w:val="decimal"/>
      <w:pStyle w:val="HeadingNumber2"/>
      <w:lvlText w:val="%5.%6."/>
      <w:lvlJc w:val="left"/>
      <w:pPr>
        <w:tabs>
          <w:tab w:val="num" w:pos="720"/>
        </w:tabs>
        <w:ind w:left="720" w:hanging="720"/>
      </w:pPr>
    </w:lvl>
    <w:lvl w:ilvl="6">
      <w:start w:val="1"/>
      <w:numFmt w:val="decimal"/>
      <w:pStyle w:val="HeadingNumber3"/>
      <w:lvlText w:val="%5.%6.%7."/>
      <w:lvlJc w:val="left"/>
      <w:pPr>
        <w:tabs>
          <w:tab w:val="num" w:pos="720"/>
        </w:tabs>
        <w:ind w:left="720" w:hanging="720"/>
      </w:pPr>
    </w:lvl>
    <w:lvl w:ilvl="7">
      <w:start w:val="1"/>
      <w:numFmt w:val="decimal"/>
      <w:pStyle w:val="HeadingNumber4"/>
      <w:lvlText w:val="%5.%6.%7.%8."/>
      <w:lvlJc w:val="left"/>
      <w:pPr>
        <w:tabs>
          <w:tab w:val="num" w:pos="720"/>
        </w:tabs>
        <w:ind w:left="720" w:hanging="720"/>
      </w:pPr>
    </w:lvl>
    <w:lvl w:ilvl="8">
      <w:start w:val="1"/>
      <w:numFmt w:val="lowerRoman"/>
      <w:lvlText w:val="%9."/>
      <w:lvlJc w:val="left"/>
      <w:pPr>
        <w:tabs>
          <w:tab w:val="num" w:pos="3240"/>
        </w:tabs>
        <w:ind w:left="3240" w:hanging="360"/>
      </w:pPr>
    </w:lvl>
  </w:abstractNum>
  <w:abstractNum w:abstractNumId="29" w15:restartNumberingAfterBreak="0">
    <w:nsid w:val="24602A3A"/>
    <w:multiLevelType w:val="multilevel"/>
    <w:tmpl w:val="55DAED7E"/>
    <w:styleLink w:val="aaTableListBullets"/>
    <w:lvl w:ilvl="0">
      <w:start w:val="1"/>
      <w:numFmt w:val="bullet"/>
      <w:lvlText w:val="–"/>
      <w:lvlJc w:val="left"/>
      <w:pPr>
        <w:ind w:left="280" w:hanging="280"/>
      </w:pPr>
      <w:rPr>
        <w:rFonts w:ascii="Arial Narrow" w:hAnsi="Arial Narrow" w:hint="default"/>
      </w:rPr>
    </w:lvl>
    <w:lvl w:ilvl="1">
      <w:start w:val="1"/>
      <w:numFmt w:val="bullet"/>
      <w:lvlText w:val="–"/>
      <w:lvlJc w:val="left"/>
      <w:pPr>
        <w:ind w:left="520" w:hanging="240"/>
      </w:pPr>
      <w:rPr>
        <w:rFonts w:ascii="Arial Narrow" w:hAnsi="Arial Narrow" w:hint="default"/>
        <w:color w:val="000100"/>
      </w:rPr>
    </w:lvl>
    <w:lvl w:ilvl="2">
      <w:start w:val="1"/>
      <w:numFmt w:val="bullet"/>
      <w:lvlText w:val="–"/>
      <w:lvlJc w:val="left"/>
      <w:pPr>
        <w:ind w:left="760" w:hanging="240"/>
      </w:pPr>
      <w:rPr>
        <w:rFonts w:ascii="Arial Narrow" w:hAnsi="Arial Narrow" w:hint="default"/>
      </w:rPr>
    </w:lvl>
    <w:lvl w:ilvl="3">
      <w:start w:val="1"/>
      <w:numFmt w:val="decimal"/>
      <w:lvlText w:val="(%4)"/>
      <w:lvlJc w:val="left"/>
      <w:pPr>
        <w:ind w:left="960" w:hanging="240"/>
      </w:pPr>
      <w:rPr>
        <w:rFonts w:ascii="Arial Narrow" w:hAnsi="Arial Narrow" w:hint="default"/>
      </w:rPr>
    </w:lvl>
    <w:lvl w:ilvl="4">
      <w:start w:val="1"/>
      <w:numFmt w:val="lowerLetter"/>
      <w:lvlText w:val="(%5)"/>
      <w:lvlJc w:val="left"/>
      <w:pPr>
        <w:ind w:left="1200" w:hanging="240"/>
      </w:pPr>
      <w:rPr>
        <w:rFonts w:hint="default"/>
      </w:rPr>
    </w:lvl>
    <w:lvl w:ilvl="5">
      <w:start w:val="1"/>
      <w:numFmt w:val="lowerRoman"/>
      <w:lvlText w:val="(%6)"/>
      <w:lvlJc w:val="left"/>
      <w:pPr>
        <w:ind w:left="1440" w:hanging="240"/>
      </w:pPr>
      <w:rPr>
        <w:rFonts w:hint="default"/>
      </w:rPr>
    </w:lvl>
    <w:lvl w:ilvl="6">
      <w:start w:val="1"/>
      <w:numFmt w:val="decimal"/>
      <w:lvlText w:val="%7."/>
      <w:lvlJc w:val="left"/>
      <w:pPr>
        <w:ind w:left="1680" w:hanging="240"/>
      </w:pPr>
      <w:rPr>
        <w:rFonts w:hint="default"/>
      </w:rPr>
    </w:lvl>
    <w:lvl w:ilvl="7">
      <w:start w:val="1"/>
      <w:numFmt w:val="lowerLetter"/>
      <w:lvlText w:val="%8."/>
      <w:lvlJc w:val="left"/>
      <w:pPr>
        <w:ind w:left="1920" w:hanging="240"/>
      </w:pPr>
      <w:rPr>
        <w:rFonts w:hint="default"/>
      </w:rPr>
    </w:lvl>
    <w:lvl w:ilvl="8">
      <w:start w:val="1"/>
      <w:numFmt w:val="lowerRoman"/>
      <w:lvlText w:val="%9."/>
      <w:lvlJc w:val="left"/>
      <w:pPr>
        <w:ind w:left="2160" w:hanging="240"/>
      </w:pPr>
      <w:rPr>
        <w:rFonts w:hint="default"/>
      </w:rPr>
    </w:lvl>
  </w:abstractNum>
  <w:abstractNum w:abstractNumId="30" w15:restartNumberingAfterBreak="0">
    <w:nsid w:val="24FE551B"/>
    <w:multiLevelType w:val="multilevel"/>
    <w:tmpl w:val="55DAED7E"/>
    <w:numStyleLink w:val="aacTableListBullets"/>
  </w:abstractNum>
  <w:abstractNum w:abstractNumId="31" w15:restartNumberingAfterBreak="0">
    <w:nsid w:val="25124F0F"/>
    <w:multiLevelType w:val="multilevel"/>
    <w:tmpl w:val="29E0E8DA"/>
    <w:styleLink w:val="aacTableListNumbers"/>
    <w:lvl w:ilvl="0">
      <w:start w:val="1"/>
      <w:numFmt w:val="decimal"/>
      <w:pStyle w:val="Tablelistnumber"/>
      <w:lvlText w:val="%1."/>
      <w:lvlJc w:val="left"/>
      <w:pPr>
        <w:ind w:left="340" w:hanging="340"/>
      </w:pPr>
      <w:rPr>
        <w:rFonts w:hint="default"/>
      </w:rPr>
    </w:lvl>
    <w:lvl w:ilvl="1">
      <w:start w:val="1"/>
      <w:numFmt w:val="lowerLetter"/>
      <w:pStyle w:val="Tablelistnumber2"/>
      <w:lvlText w:val="%2)"/>
      <w:lvlJc w:val="left"/>
      <w:pPr>
        <w:ind w:left="680" w:hanging="340"/>
      </w:pPr>
      <w:rPr>
        <w:rFonts w:hint="default"/>
      </w:rPr>
    </w:lvl>
    <w:lvl w:ilvl="2">
      <w:start w:val="1"/>
      <w:numFmt w:val="lowerRoman"/>
      <w:pStyle w:val="Tablelistnumber3"/>
      <w:lvlText w:val="%3)"/>
      <w:lvlJc w:val="left"/>
      <w:pPr>
        <w:ind w:left="907" w:hanging="227"/>
      </w:pPr>
      <w:rPr>
        <w:rFonts w:hint="default"/>
      </w:rPr>
    </w:lvl>
    <w:lvl w:ilvl="3">
      <w:start w:val="1"/>
      <w:numFmt w:val="decimal"/>
      <w:lvlText w:val="(%4)"/>
      <w:lvlJc w:val="left"/>
      <w:pPr>
        <w:ind w:left="960" w:hanging="240"/>
      </w:pPr>
      <w:rPr>
        <w:rFonts w:hint="default"/>
      </w:rPr>
    </w:lvl>
    <w:lvl w:ilvl="4">
      <w:start w:val="1"/>
      <w:numFmt w:val="lowerLetter"/>
      <w:lvlText w:val="(%5)"/>
      <w:lvlJc w:val="left"/>
      <w:pPr>
        <w:ind w:left="1200" w:hanging="240"/>
      </w:pPr>
      <w:rPr>
        <w:rFonts w:hint="default"/>
      </w:rPr>
    </w:lvl>
    <w:lvl w:ilvl="5">
      <w:start w:val="1"/>
      <w:numFmt w:val="lowerRoman"/>
      <w:lvlText w:val="(%6)"/>
      <w:lvlJc w:val="left"/>
      <w:pPr>
        <w:ind w:left="1440" w:hanging="240"/>
      </w:pPr>
      <w:rPr>
        <w:rFonts w:hint="default"/>
      </w:rPr>
    </w:lvl>
    <w:lvl w:ilvl="6">
      <w:start w:val="1"/>
      <w:numFmt w:val="decimal"/>
      <w:lvlText w:val="%7."/>
      <w:lvlJc w:val="left"/>
      <w:pPr>
        <w:ind w:left="1680" w:hanging="240"/>
      </w:pPr>
      <w:rPr>
        <w:rFonts w:hint="default"/>
      </w:rPr>
    </w:lvl>
    <w:lvl w:ilvl="7">
      <w:start w:val="1"/>
      <w:numFmt w:val="lowerLetter"/>
      <w:lvlText w:val="%8."/>
      <w:lvlJc w:val="left"/>
      <w:pPr>
        <w:ind w:left="1920" w:hanging="240"/>
      </w:pPr>
      <w:rPr>
        <w:rFonts w:hint="default"/>
      </w:rPr>
    </w:lvl>
    <w:lvl w:ilvl="8">
      <w:start w:val="1"/>
      <w:numFmt w:val="lowerRoman"/>
      <w:lvlText w:val="%9."/>
      <w:lvlJc w:val="left"/>
      <w:pPr>
        <w:ind w:left="2160" w:hanging="240"/>
      </w:pPr>
      <w:rPr>
        <w:rFonts w:hint="default"/>
      </w:rPr>
    </w:lvl>
  </w:abstractNum>
  <w:abstractNum w:abstractNumId="32" w15:restartNumberingAfterBreak="0">
    <w:nsid w:val="264D0593"/>
    <w:multiLevelType w:val="multilevel"/>
    <w:tmpl w:val="CE66BE7A"/>
    <w:styleLink w:val="lstStyleListNumber"/>
    <w:lvl w:ilvl="0">
      <w:start w:val="1"/>
      <w:numFmt w:val="decimal"/>
      <w:lvlText w:val="%1."/>
      <w:lvlJc w:val="left"/>
      <w:pPr>
        <w:ind w:left="420" w:hanging="420"/>
      </w:pPr>
      <w:rPr>
        <w:rFonts w:ascii="Arial Narrow" w:hAnsi="Arial Narrow" w:cs="Arial" w:hint="default"/>
      </w:rPr>
    </w:lvl>
    <w:lvl w:ilvl="1">
      <w:start w:val="1"/>
      <w:numFmt w:val="lowerLetter"/>
      <w:lvlText w:val="%2)"/>
      <w:lvlJc w:val="left"/>
      <w:pPr>
        <w:ind w:left="780" w:hanging="360"/>
      </w:pPr>
      <w:rPr>
        <w:rFonts w:ascii="Arial Narrow" w:hAnsi="Arial Narrow" w:hint="default"/>
      </w:rPr>
    </w:lvl>
    <w:lvl w:ilvl="2">
      <w:start w:val="1"/>
      <w:numFmt w:val="lowerRoman"/>
      <w:lvlText w:val="%3)"/>
      <w:lvlJc w:val="left"/>
      <w:pPr>
        <w:ind w:left="1140" w:hanging="360"/>
      </w:pPr>
      <w:rPr>
        <w:rFonts w:ascii="Arial Narrow" w:hAnsi="Arial Narrow"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33" w15:restartNumberingAfterBreak="0">
    <w:nsid w:val="267D48F2"/>
    <w:multiLevelType w:val="multilevel"/>
    <w:tmpl w:val="3DD0AEC8"/>
    <w:styleLink w:val="aaclstStyleHeadingsES"/>
    <w:lvl w:ilvl="0">
      <w:start w:val="1"/>
      <w:numFmt w:val="none"/>
      <w:pStyle w:val="Heading1ES"/>
      <w:lvlText w:val=""/>
      <w:lvlJc w:val="left"/>
      <w:pPr>
        <w:ind w:left="248" w:firstLine="0"/>
      </w:pPr>
      <w:rPr>
        <w:rFonts w:ascii="Arial Narrow" w:hAnsi="Arial Narrow" w:hint="default"/>
      </w:rPr>
    </w:lvl>
    <w:lvl w:ilvl="1">
      <w:start w:val="1"/>
      <w:numFmt w:val="none"/>
      <w:pStyle w:val="Heading2ES"/>
      <w:lvlText w:val=""/>
      <w:lvlJc w:val="left"/>
      <w:pPr>
        <w:ind w:left="0" w:firstLine="0"/>
      </w:pPr>
      <w:rPr>
        <w:rFonts w:hint="default"/>
      </w:rPr>
    </w:lvl>
    <w:lvl w:ilvl="2">
      <w:start w:val="1"/>
      <w:numFmt w:val="none"/>
      <w:pStyle w:val="Heading3ES"/>
      <w:lvlText w:val=""/>
      <w:lvlJc w:val="left"/>
      <w:pPr>
        <w:ind w:left="0" w:firstLine="0"/>
      </w:pPr>
      <w:rPr>
        <w:rFonts w:hint="default"/>
      </w:rPr>
    </w:lvl>
    <w:lvl w:ilvl="3">
      <w:start w:val="1"/>
      <w:numFmt w:val="none"/>
      <w:pStyle w:val="Heading4ES"/>
      <w:lvlText w:val=""/>
      <w:lvlJc w:val="left"/>
      <w:pPr>
        <w:ind w:left="0" w:firstLine="0"/>
      </w:pPr>
      <w:rPr>
        <w:rFonts w:hint="default"/>
      </w:rPr>
    </w:lvl>
    <w:lvl w:ilvl="4">
      <w:start w:val="1"/>
      <w:numFmt w:val="none"/>
      <w:pStyle w:val="Heading5ES"/>
      <w:lvlText w:val=""/>
      <w:lvlJc w:val="left"/>
      <w:pPr>
        <w:ind w:left="0" w:firstLine="0"/>
      </w:pPr>
      <w:rPr>
        <w:rFonts w:hint="default"/>
      </w:rPr>
    </w:lvl>
    <w:lvl w:ilvl="5">
      <w:start w:val="1"/>
      <w:numFmt w:val="none"/>
      <w:lvlRestart w:val="0"/>
      <w:pStyle w:val="Heading6ES"/>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4" w15:restartNumberingAfterBreak="0">
    <w:nsid w:val="27843433"/>
    <w:multiLevelType w:val="multilevel"/>
    <w:tmpl w:val="165C0818"/>
    <w:numStyleLink w:val="aaclstStyleHeadingNumbered"/>
  </w:abstractNum>
  <w:abstractNum w:abstractNumId="35" w15:restartNumberingAfterBreak="0">
    <w:nsid w:val="297D6AEC"/>
    <w:multiLevelType w:val="multilevel"/>
    <w:tmpl w:val="5E28A05C"/>
    <w:lvl w:ilvl="0">
      <w:start w:val="1"/>
      <w:numFmt w:val="upperLetter"/>
      <w:pStyle w:val="App-Heading1"/>
      <w:suff w:val="nothing"/>
      <w:lvlText w:val="%1"/>
      <w:lvlJc w:val="left"/>
      <w:pPr>
        <w:ind w:left="1080" w:hanging="1080"/>
      </w:pPr>
      <w:rPr>
        <w:rFonts w:hint="default"/>
      </w:rPr>
    </w:lvl>
    <w:lvl w:ilvl="1">
      <w:start w:val="1"/>
      <w:numFmt w:val="decimal"/>
      <w:pStyle w:val="App-Heading2"/>
      <w:lvlText w:val="%1.%2"/>
      <w:lvlJc w:val="right"/>
      <w:pPr>
        <w:ind w:left="1361" w:hanging="119"/>
      </w:pPr>
      <w:rPr>
        <w:rFonts w:hint="default"/>
      </w:rPr>
    </w:lvl>
    <w:lvl w:ilvl="2">
      <w:start w:val="1"/>
      <w:numFmt w:val="decimal"/>
      <w:lvlText w:val="%1.%2.%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6" w15:restartNumberingAfterBreak="0">
    <w:nsid w:val="2AD9720E"/>
    <w:multiLevelType w:val="multilevel"/>
    <w:tmpl w:val="30BE6EB8"/>
    <w:styleLink w:val="aaTOCList"/>
    <w:lvl w:ilvl="0">
      <w:start w:val="1"/>
      <w:numFmt w:val="none"/>
      <w:lvlText w:val="%1"/>
      <w:lvlJc w:val="left"/>
      <w:pPr>
        <w:ind w:left="336" w:hanging="336"/>
      </w:pPr>
      <w:rPr>
        <w:rFonts w:ascii="Bodoni MT" w:hAnsi="Bodoni MT" w:hint="default"/>
        <w:sz w:val="20"/>
      </w:rPr>
    </w:lvl>
    <w:lvl w:ilvl="1">
      <w:start w:val="1"/>
      <w:numFmt w:val="none"/>
      <w:lvlText w:val="%2"/>
      <w:lvlJc w:val="left"/>
      <w:pPr>
        <w:ind w:left="336" w:hanging="336"/>
      </w:pPr>
      <w:rPr>
        <w:rFonts w:hint="default"/>
      </w:rPr>
    </w:lvl>
    <w:lvl w:ilvl="2">
      <w:start w:val="1"/>
      <w:numFmt w:val="none"/>
      <w:lvlText w:val="%3"/>
      <w:lvlJc w:val="left"/>
      <w:pPr>
        <w:tabs>
          <w:tab w:val="num" w:pos="336"/>
        </w:tabs>
        <w:ind w:left="336" w:hanging="336"/>
      </w:pPr>
      <w:rPr>
        <w:rFonts w:hint="default"/>
      </w:rPr>
    </w:lvl>
    <w:lvl w:ilvl="3">
      <w:start w:val="1"/>
      <w:numFmt w:val="none"/>
      <w:lvlText w:val=""/>
      <w:lvlJc w:val="left"/>
      <w:pPr>
        <w:tabs>
          <w:tab w:val="num" w:pos="454"/>
        </w:tabs>
        <w:ind w:left="454" w:hanging="454"/>
      </w:pPr>
      <w:rPr>
        <w:rFonts w:hint="default"/>
      </w:rPr>
    </w:lvl>
    <w:lvl w:ilvl="4">
      <w:start w:val="1"/>
      <w:numFmt w:val="lowerLetter"/>
      <w:lvlText w:val="(%5)"/>
      <w:lvlJc w:val="left"/>
      <w:pPr>
        <w:ind w:left="336" w:hanging="336"/>
      </w:pPr>
      <w:rPr>
        <w:rFonts w:hint="default"/>
      </w:rPr>
    </w:lvl>
    <w:lvl w:ilvl="5">
      <w:start w:val="1"/>
      <w:numFmt w:val="none"/>
      <w:lvlText w:val=""/>
      <w:lvlJc w:val="left"/>
      <w:pPr>
        <w:tabs>
          <w:tab w:val="num" w:pos="336"/>
        </w:tabs>
        <w:ind w:left="336" w:hanging="336"/>
      </w:pPr>
      <w:rPr>
        <w:rFonts w:hint="default"/>
      </w:rPr>
    </w:lvl>
    <w:lvl w:ilvl="6">
      <w:start w:val="1"/>
      <w:numFmt w:val="none"/>
      <w:lvlText w:val="%7"/>
      <w:lvlJc w:val="left"/>
      <w:pPr>
        <w:tabs>
          <w:tab w:val="num" w:pos="335"/>
        </w:tabs>
        <w:ind w:left="335" w:hanging="335"/>
      </w:pPr>
      <w:rPr>
        <w:rFonts w:hint="default"/>
        <w:color w:val="FFFEFF"/>
      </w:rPr>
    </w:lvl>
    <w:lvl w:ilvl="7">
      <w:start w:val="1"/>
      <w:numFmt w:val="lowerLetter"/>
      <w:lvlText w:val="%8."/>
      <w:lvlJc w:val="left"/>
      <w:pPr>
        <w:ind w:left="336" w:hanging="336"/>
      </w:pPr>
      <w:rPr>
        <w:rFonts w:hint="default"/>
      </w:rPr>
    </w:lvl>
    <w:lvl w:ilvl="8">
      <w:start w:val="1"/>
      <w:numFmt w:val="lowerRoman"/>
      <w:lvlText w:val="%9."/>
      <w:lvlJc w:val="left"/>
      <w:pPr>
        <w:ind w:left="336" w:hanging="336"/>
      </w:pPr>
      <w:rPr>
        <w:rFonts w:hint="default"/>
      </w:rPr>
    </w:lvl>
  </w:abstractNum>
  <w:abstractNum w:abstractNumId="37" w15:restartNumberingAfterBreak="0">
    <w:nsid w:val="2BA93FA8"/>
    <w:multiLevelType w:val="multilevel"/>
    <w:tmpl w:val="306ACCA8"/>
    <w:numStyleLink w:val="aaclstStyleBoxListNumbers"/>
  </w:abstractNum>
  <w:abstractNum w:abstractNumId="38" w15:restartNumberingAfterBreak="0">
    <w:nsid w:val="317814DA"/>
    <w:multiLevelType w:val="multilevel"/>
    <w:tmpl w:val="A712FE7C"/>
    <w:lvl w:ilvl="0">
      <w:start w:val="1"/>
      <w:numFmt w:val="decimal"/>
      <w:pStyle w:val="Exhibit"/>
      <w:lvlText w:val="Exhibit %1."/>
      <w:lvlJc w:val="left"/>
      <w:pPr>
        <w:tabs>
          <w:tab w:val="num" w:pos="0"/>
        </w:tabs>
        <w:ind w:left="1440" w:firstLine="0"/>
      </w:pPr>
      <w:rPr>
        <w:b w:val="0"/>
        <w:i/>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31AB2891"/>
    <w:multiLevelType w:val="multilevel"/>
    <w:tmpl w:val="6248E440"/>
    <w:styleLink w:val="TOCList"/>
    <w:lvl w:ilvl="0">
      <w:start w:val="1"/>
      <w:numFmt w:val="none"/>
      <w:suff w:val="nothing"/>
      <w:lvlText w:val="%1"/>
      <w:lvlJc w:val="left"/>
      <w:pPr>
        <w:ind w:left="0" w:firstLine="0"/>
      </w:pPr>
      <w:rPr>
        <w:rFonts w:ascii="Yu Gothic Medium" w:hAnsi="Yu Gothic Medium" w:hint="default"/>
        <w:sz w:val="20"/>
      </w:rPr>
    </w:lvl>
    <w:lvl w:ilvl="1">
      <w:start w:val="1"/>
      <w:numFmt w:val="none"/>
      <w:lvlRestart w:val="0"/>
      <w:suff w:val="nothing"/>
      <w:lvlText w:val="%2"/>
      <w:lvlJc w:val="left"/>
      <w:pPr>
        <w:ind w:left="560" w:hanging="560"/>
      </w:pPr>
      <w:rPr>
        <w:rFonts w:hint="default"/>
      </w:rPr>
    </w:lvl>
    <w:lvl w:ilvl="2">
      <w:start w:val="1"/>
      <w:numFmt w:val="none"/>
      <w:lvlRestart w:val="0"/>
      <w:suff w:val="nothing"/>
      <w:lvlText w:val="%3"/>
      <w:lvlJc w:val="left"/>
      <w:pPr>
        <w:ind w:left="1120" w:hanging="560"/>
      </w:pPr>
      <w:rPr>
        <w:rFonts w:hint="default"/>
      </w:rPr>
    </w:lvl>
    <w:lvl w:ilvl="3">
      <w:start w:val="1"/>
      <w:numFmt w:val="none"/>
      <w:lvlRestart w:val="0"/>
      <w:suff w:val="nothing"/>
      <w:lvlText w:val=""/>
      <w:lvlJc w:val="left"/>
      <w:pPr>
        <w:ind w:left="1680" w:hanging="560"/>
      </w:pPr>
      <w:rPr>
        <w:rFonts w:hint="default"/>
      </w:rPr>
    </w:lvl>
    <w:lvl w:ilvl="4">
      <w:start w:val="1"/>
      <w:numFmt w:val="none"/>
      <w:lvlRestart w:val="0"/>
      <w:suff w:val="nothing"/>
      <w:lvlText w:val=""/>
      <w:lvlJc w:val="left"/>
      <w:pPr>
        <w:ind w:left="0" w:firstLine="0"/>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40" w15:restartNumberingAfterBreak="0">
    <w:nsid w:val="3333768D"/>
    <w:multiLevelType w:val="multilevel"/>
    <w:tmpl w:val="65D86914"/>
    <w:styleLink w:val="BoxList"/>
    <w:lvl w:ilvl="0">
      <w:start w:val="1"/>
      <w:numFmt w:val="decimal"/>
      <w:lvlText w:val="%1."/>
      <w:lvlJc w:val="left"/>
      <w:pPr>
        <w:ind w:left="446" w:hanging="446"/>
      </w:pPr>
      <w:rPr>
        <w:rFonts w:ascii="Arial Narrow" w:hAnsi="Arial Narrow" w:hint="default"/>
        <w:sz w:val="20"/>
      </w:rPr>
    </w:lvl>
    <w:lvl w:ilvl="1">
      <w:start w:val="1"/>
      <w:numFmt w:val="lowerLetter"/>
      <w:lvlText w:val="%2)"/>
      <w:lvlJc w:val="left"/>
      <w:pPr>
        <w:ind w:left="800" w:hanging="354"/>
      </w:pPr>
      <w:rPr>
        <w:rFonts w:ascii="Arial Narrow" w:hAnsi="Arial Narrow" w:hint="default"/>
      </w:rPr>
    </w:lvl>
    <w:lvl w:ilvl="2">
      <w:start w:val="1"/>
      <w:numFmt w:val="lowerRoman"/>
      <w:lvlText w:val="%3)"/>
      <w:lvlJc w:val="left"/>
      <w:pPr>
        <w:ind w:left="1160" w:hanging="360"/>
      </w:pPr>
      <w:rPr>
        <w:rFonts w:ascii="Arial Narrow" w:hAnsi="Arial Narrow"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336313F1"/>
    <w:multiLevelType w:val="multilevel"/>
    <w:tmpl w:val="2D56811A"/>
    <w:numStyleLink w:val="aaclstStyleBoxListBullets"/>
  </w:abstractNum>
  <w:abstractNum w:abstractNumId="42" w15:restartNumberingAfterBreak="0">
    <w:nsid w:val="33DF3DD1"/>
    <w:multiLevelType w:val="multilevel"/>
    <w:tmpl w:val="4D96EFB6"/>
    <w:numStyleLink w:val="aacTableListBulletssmall"/>
  </w:abstractNum>
  <w:abstractNum w:abstractNumId="43" w15:restartNumberingAfterBreak="0">
    <w:nsid w:val="3B3E682E"/>
    <w:multiLevelType w:val="multilevel"/>
    <w:tmpl w:val="D4E4AEA8"/>
    <w:styleLink w:val="aaReportHeadings"/>
    <w:lvl w:ilvl="0">
      <w:start w:val="1"/>
      <w:numFmt w:val="decimal"/>
      <w:lvlText w:val="%1"/>
      <w:lvlJc w:val="right"/>
      <w:pPr>
        <w:tabs>
          <w:tab w:val="num" w:pos="248"/>
        </w:tabs>
        <w:ind w:left="248" w:hanging="384"/>
      </w:pPr>
      <w:rPr>
        <w:rFonts w:hint="default"/>
      </w:rPr>
    </w:lvl>
    <w:lvl w:ilvl="1">
      <w:start w:val="1"/>
      <w:numFmt w:val="decimal"/>
      <w:lvlText w:val="%1.%2"/>
      <w:lvlJc w:val="right"/>
      <w:pPr>
        <w:ind w:left="0" w:hanging="136"/>
      </w:pPr>
      <w:rPr>
        <w:rFonts w:hint="default"/>
      </w:rPr>
    </w:lvl>
    <w:lvl w:ilvl="2">
      <w:start w:val="1"/>
      <w:numFmt w:val="decimal"/>
      <w:lvlText w:val="%1.%2.%3"/>
      <w:lvlJc w:val="left"/>
      <w:pPr>
        <w:ind w:left="320" w:hanging="32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ind w:left="0" w:firstLine="0"/>
      </w:pPr>
      <w:rPr>
        <w:rFonts w:hint="default"/>
      </w:rPr>
    </w:lvl>
  </w:abstractNum>
  <w:abstractNum w:abstractNumId="44" w15:restartNumberingAfterBreak="0">
    <w:nsid w:val="3BE50AB2"/>
    <w:multiLevelType w:val="multilevel"/>
    <w:tmpl w:val="EF1ED99E"/>
    <w:styleLink w:val="BulletLists"/>
    <w:lvl w:ilvl="0">
      <w:start w:val="1"/>
      <w:numFmt w:val="bullet"/>
      <w:lvlText w:val=""/>
      <w:lvlJc w:val="left"/>
      <w:pPr>
        <w:ind w:left="360" w:hanging="360"/>
      </w:pPr>
      <w:rPr>
        <w:rFonts w:ascii="Symbol" w:hAnsi="Symbol" w:hint="default"/>
      </w:rPr>
    </w:lvl>
    <w:lvl w:ilvl="1">
      <w:start w:val="1"/>
      <w:numFmt w:val="bullet"/>
      <w:lvlText w:val="−"/>
      <w:lvlJc w:val="left"/>
      <w:pPr>
        <w:ind w:left="1440" w:hanging="360"/>
      </w:pPr>
      <w:rPr>
        <w:rFonts w:ascii="Times New Roman" w:hAnsi="Times New Roman" w:cs="Times New Roman" w:hint="default"/>
      </w:rPr>
    </w:lvl>
    <w:lvl w:ilvl="2">
      <w:start w:val="1"/>
      <w:numFmt w:val="bullet"/>
      <w:lvlText w:val="…"/>
      <w:lvlJc w:val="left"/>
      <w:pPr>
        <w:ind w:left="2160" w:hanging="360"/>
      </w:pPr>
      <w:rPr>
        <w:rFonts w:ascii="Arial" w:hAnsi="Arial"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32767" w:firstLine="0"/>
      </w:pPr>
      <w:rPr>
        <w:rFonts w:hint="default"/>
      </w:rPr>
    </w:lvl>
  </w:abstractNum>
  <w:abstractNum w:abstractNumId="45" w15:restartNumberingAfterBreak="0">
    <w:nsid w:val="3CD62D95"/>
    <w:multiLevelType w:val="multilevel"/>
    <w:tmpl w:val="55DAED7E"/>
    <w:styleLink w:val="aacTableListBullets"/>
    <w:lvl w:ilvl="0">
      <w:start w:val="1"/>
      <w:numFmt w:val="bullet"/>
      <w:pStyle w:val="Tablelistbullet"/>
      <w:lvlText w:val="–"/>
      <w:lvlJc w:val="left"/>
      <w:pPr>
        <w:ind w:left="280" w:hanging="280"/>
      </w:pPr>
      <w:rPr>
        <w:rFonts w:ascii="Arial Narrow" w:hAnsi="Arial Narrow" w:hint="default"/>
      </w:rPr>
    </w:lvl>
    <w:lvl w:ilvl="1">
      <w:start w:val="1"/>
      <w:numFmt w:val="bullet"/>
      <w:pStyle w:val="Tablelistbullet2"/>
      <w:lvlText w:val="–"/>
      <w:lvlJc w:val="left"/>
      <w:pPr>
        <w:ind w:left="520" w:hanging="240"/>
      </w:pPr>
      <w:rPr>
        <w:rFonts w:ascii="Arial Narrow" w:hAnsi="Arial Narrow" w:hint="default"/>
        <w:color w:val="000100"/>
      </w:rPr>
    </w:lvl>
    <w:lvl w:ilvl="2">
      <w:start w:val="1"/>
      <w:numFmt w:val="bullet"/>
      <w:pStyle w:val="Tablelistbullet3"/>
      <w:lvlText w:val="–"/>
      <w:lvlJc w:val="left"/>
      <w:pPr>
        <w:ind w:left="760" w:hanging="240"/>
      </w:pPr>
      <w:rPr>
        <w:rFonts w:ascii="Arial Narrow" w:hAnsi="Arial Narrow" w:hint="default"/>
      </w:rPr>
    </w:lvl>
    <w:lvl w:ilvl="3">
      <w:start w:val="1"/>
      <w:numFmt w:val="decimal"/>
      <w:lvlText w:val="(%4)"/>
      <w:lvlJc w:val="left"/>
      <w:pPr>
        <w:ind w:left="960" w:hanging="240"/>
      </w:pPr>
      <w:rPr>
        <w:rFonts w:ascii="Arial Narrow" w:hAnsi="Arial Narrow" w:hint="default"/>
      </w:rPr>
    </w:lvl>
    <w:lvl w:ilvl="4">
      <w:start w:val="1"/>
      <w:numFmt w:val="lowerLetter"/>
      <w:lvlText w:val="(%5)"/>
      <w:lvlJc w:val="left"/>
      <w:pPr>
        <w:ind w:left="1200" w:hanging="240"/>
      </w:pPr>
      <w:rPr>
        <w:rFonts w:hint="default"/>
      </w:rPr>
    </w:lvl>
    <w:lvl w:ilvl="5">
      <w:start w:val="1"/>
      <w:numFmt w:val="lowerRoman"/>
      <w:lvlText w:val="(%6)"/>
      <w:lvlJc w:val="left"/>
      <w:pPr>
        <w:ind w:left="1440" w:hanging="240"/>
      </w:pPr>
      <w:rPr>
        <w:rFonts w:hint="default"/>
      </w:rPr>
    </w:lvl>
    <w:lvl w:ilvl="6">
      <w:start w:val="1"/>
      <w:numFmt w:val="decimal"/>
      <w:lvlText w:val="%7."/>
      <w:lvlJc w:val="left"/>
      <w:pPr>
        <w:ind w:left="1680" w:hanging="240"/>
      </w:pPr>
      <w:rPr>
        <w:rFonts w:hint="default"/>
      </w:rPr>
    </w:lvl>
    <w:lvl w:ilvl="7">
      <w:start w:val="1"/>
      <w:numFmt w:val="lowerLetter"/>
      <w:lvlText w:val="%8."/>
      <w:lvlJc w:val="left"/>
      <w:pPr>
        <w:ind w:left="1920" w:hanging="240"/>
      </w:pPr>
      <w:rPr>
        <w:rFonts w:hint="default"/>
      </w:rPr>
    </w:lvl>
    <w:lvl w:ilvl="8">
      <w:start w:val="1"/>
      <w:numFmt w:val="lowerRoman"/>
      <w:lvlText w:val="%9."/>
      <w:lvlJc w:val="left"/>
      <w:pPr>
        <w:ind w:left="2160" w:hanging="240"/>
      </w:pPr>
      <w:rPr>
        <w:rFonts w:hint="default"/>
      </w:rPr>
    </w:lvl>
  </w:abstractNum>
  <w:abstractNum w:abstractNumId="46" w15:restartNumberingAfterBreak="0">
    <w:nsid w:val="3F6C5F04"/>
    <w:multiLevelType w:val="multilevel"/>
    <w:tmpl w:val="E938B7C8"/>
    <w:styleLink w:val="aaTableListNumberssmall"/>
    <w:lvl w:ilvl="0">
      <w:start w:val="1"/>
      <w:numFmt w:val="decimal"/>
      <w:lvlText w:val="%1."/>
      <w:lvlJc w:val="left"/>
      <w:pPr>
        <w:ind w:left="340" w:hanging="340"/>
      </w:pPr>
      <w:rPr>
        <w:rFonts w:hint="default"/>
      </w:rPr>
    </w:lvl>
    <w:lvl w:ilvl="1">
      <w:start w:val="1"/>
      <w:numFmt w:val="lowerLetter"/>
      <w:lvlText w:val="%2)"/>
      <w:lvlJc w:val="left"/>
      <w:pPr>
        <w:ind w:left="567" w:hanging="227"/>
      </w:pPr>
      <w:rPr>
        <w:rFonts w:ascii="Arial Narrow" w:hAnsi="Arial Narrow" w:hint="default"/>
      </w:rPr>
    </w:lvl>
    <w:lvl w:ilvl="2">
      <w:start w:val="1"/>
      <w:numFmt w:val="lowerRoman"/>
      <w:lvlText w:val="%3)"/>
      <w:lvlJc w:val="left"/>
      <w:pPr>
        <w:ind w:left="794" w:hanging="227"/>
      </w:pPr>
      <w:rPr>
        <w:rFonts w:ascii="Arial Narrow" w:hAnsi="Arial Narrow" w:hint="default"/>
      </w:rPr>
    </w:lvl>
    <w:lvl w:ilvl="3">
      <w:start w:val="1"/>
      <w:numFmt w:val="none"/>
      <w:lvlText w:val=""/>
      <w:lvlJc w:val="left"/>
      <w:pPr>
        <w:ind w:left="1021" w:hanging="340"/>
      </w:pPr>
      <w:rPr>
        <w:rFonts w:hint="default"/>
      </w:rPr>
    </w:lvl>
    <w:lvl w:ilvl="4">
      <w:start w:val="1"/>
      <w:numFmt w:val="none"/>
      <w:lvlText w:val=""/>
      <w:lvlJc w:val="left"/>
      <w:pPr>
        <w:ind w:left="1248" w:hanging="340"/>
      </w:pPr>
      <w:rPr>
        <w:rFonts w:hint="default"/>
      </w:rPr>
    </w:lvl>
    <w:lvl w:ilvl="5">
      <w:start w:val="1"/>
      <w:numFmt w:val="none"/>
      <w:lvlText w:val=""/>
      <w:lvlJc w:val="left"/>
      <w:pPr>
        <w:ind w:left="1475" w:hanging="340"/>
      </w:pPr>
      <w:rPr>
        <w:rFonts w:hint="default"/>
      </w:rPr>
    </w:lvl>
    <w:lvl w:ilvl="6">
      <w:start w:val="1"/>
      <w:numFmt w:val="none"/>
      <w:lvlText w:val=""/>
      <w:lvlJc w:val="left"/>
      <w:pPr>
        <w:ind w:left="1702" w:hanging="340"/>
      </w:pPr>
      <w:rPr>
        <w:rFonts w:hint="default"/>
      </w:rPr>
    </w:lvl>
    <w:lvl w:ilvl="7">
      <w:start w:val="1"/>
      <w:numFmt w:val="none"/>
      <w:lvlText w:val=""/>
      <w:lvlJc w:val="left"/>
      <w:pPr>
        <w:ind w:left="1929" w:hanging="340"/>
      </w:pPr>
      <w:rPr>
        <w:rFonts w:hint="default"/>
      </w:rPr>
    </w:lvl>
    <w:lvl w:ilvl="8">
      <w:start w:val="1"/>
      <w:numFmt w:val="none"/>
      <w:lvlText w:val=""/>
      <w:lvlJc w:val="left"/>
      <w:pPr>
        <w:ind w:left="2156" w:hanging="340"/>
      </w:pPr>
      <w:rPr>
        <w:rFonts w:hint="default"/>
      </w:rPr>
    </w:lvl>
  </w:abstractNum>
  <w:abstractNum w:abstractNumId="47" w15:restartNumberingAfterBreak="0">
    <w:nsid w:val="44083225"/>
    <w:multiLevelType w:val="multilevel"/>
    <w:tmpl w:val="2D56811A"/>
    <w:styleLink w:val="aaclstStyleBoxListBullets"/>
    <w:lvl w:ilvl="0">
      <w:start w:val="1"/>
      <w:numFmt w:val="bullet"/>
      <w:pStyle w:val="BoxListBullet"/>
      <w:lvlText w:val="—"/>
      <w:lvlJc w:val="left"/>
      <w:pPr>
        <w:ind w:left="564" w:hanging="312"/>
      </w:pPr>
      <w:rPr>
        <w:rFonts w:ascii="Arial Narrow" w:hAnsi="Arial Narrow" w:hint="default"/>
      </w:rPr>
    </w:lvl>
    <w:lvl w:ilvl="1">
      <w:start w:val="1"/>
      <w:numFmt w:val="bullet"/>
      <w:pStyle w:val="BoxListBullet2"/>
      <w:lvlText w:val="―"/>
      <w:lvlJc w:val="left"/>
      <w:pPr>
        <w:ind w:left="844" w:hanging="280"/>
      </w:pPr>
      <w:rPr>
        <w:rFonts w:ascii="Arial Narrow" w:hAnsi="Arial Narrow" w:hint="default"/>
        <w:sz w:val="16"/>
      </w:rPr>
    </w:lvl>
    <w:lvl w:ilvl="2">
      <w:start w:val="1"/>
      <w:numFmt w:val="bullet"/>
      <w:pStyle w:val="BoxListBullet3"/>
      <w:lvlText w:val="–"/>
      <w:lvlJc w:val="left"/>
      <w:pPr>
        <w:ind w:left="1084" w:hanging="240"/>
      </w:pPr>
      <w:rPr>
        <w:rFonts w:ascii="Arial Narrow" w:hAnsi="Arial Narrow" w:hint="default"/>
      </w:rPr>
    </w:lvl>
    <w:lvl w:ilvl="3">
      <w:start w:val="1"/>
      <w:numFmt w:val="none"/>
      <w:pStyle w:val="BoxQuote"/>
      <w:suff w:val="nothing"/>
      <w:lvlText w:val=""/>
      <w:lvlJc w:val="left"/>
      <w:pPr>
        <w:ind w:left="564" w:hanging="312"/>
      </w:pPr>
      <w:rPr>
        <w:rFonts w:hint="default"/>
      </w:rPr>
    </w:lvl>
    <w:lvl w:ilvl="4">
      <w:start w:val="1"/>
      <w:numFmt w:val="bullet"/>
      <w:pStyle w:val="BoxQuoteListBullet"/>
      <w:lvlText w:val="–"/>
      <w:lvlJc w:val="left"/>
      <w:pPr>
        <w:ind w:left="564" w:hanging="312"/>
      </w:pPr>
      <w:rPr>
        <w:rFonts w:ascii="Arial Narrow" w:hAnsi="Arial Narrow" w:hint="default"/>
      </w:rPr>
    </w:lvl>
    <w:lvl w:ilvl="5">
      <w:start w:val="1"/>
      <w:numFmt w:val="none"/>
      <w:lvlText w:val=""/>
      <w:lvlJc w:val="left"/>
      <w:pPr>
        <w:ind w:left="1646" w:hanging="446"/>
      </w:pPr>
      <w:rPr>
        <w:rFonts w:hint="default"/>
      </w:rPr>
    </w:lvl>
    <w:lvl w:ilvl="6">
      <w:start w:val="1"/>
      <w:numFmt w:val="none"/>
      <w:lvlText w:val=""/>
      <w:lvlJc w:val="left"/>
      <w:pPr>
        <w:ind w:left="1886" w:hanging="446"/>
      </w:pPr>
      <w:rPr>
        <w:rFonts w:hint="default"/>
      </w:rPr>
    </w:lvl>
    <w:lvl w:ilvl="7">
      <w:start w:val="1"/>
      <w:numFmt w:val="none"/>
      <w:lvlText w:val=""/>
      <w:lvlJc w:val="left"/>
      <w:pPr>
        <w:ind w:left="2126" w:hanging="446"/>
      </w:pPr>
      <w:rPr>
        <w:rFonts w:hint="default"/>
      </w:rPr>
    </w:lvl>
    <w:lvl w:ilvl="8">
      <w:start w:val="1"/>
      <w:numFmt w:val="none"/>
      <w:lvlText w:val=""/>
      <w:lvlJc w:val="left"/>
      <w:pPr>
        <w:ind w:left="2366" w:hanging="446"/>
      </w:pPr>
      <w:rPr>
        <w:rFonts w:hint="default"/>
      </w:rPr>
    </w:lvl>
  </w:abstractNum>
  <w:abstractNum w:abstractNumId="48" w15:restartNumberingAfterBreak="0">
    <w:nsid w:val="45201D61"/>
    <w:multiLevelType w:val="multilevel"/>
    <w:tmpl w:val="3CAABC44"/>
    <w:lvl w:ilvl="0">
      <w:start w:val="1"/>
      <w:numFmt w:val="decimal"/>
      <w:lvlText w:val="%1."/>
      <w:lvlJc w:val="left"/>
      <w:pPr>
        <w:tabs>
          <w:tab w:val="num" w:pos="851"/>
        </w:tabs>
        <w:ind w:left="851" w:hanging="851"/>
      </w:pPr>
      <w:rPr>
        <w:rFonts w:ascii="Arial" w:hAnsi="Arial" w:hint="default"/>
        <w:b/>
        <w:sz w:val="32"/>
      </w:rPr>
    </w:lvl>
    <w:lvl w:ilvl="1">
      <w:start w:val="1"/>
      <w:numFmt w:val="decimal"/>
      <w:lvlText w:val="%1.%2"/>
      <w:lvlJc w:val="left"/>
      <w:pPr>
        <w:tabs>
          <w:tab w:val="num" w:pos="851"/>
        </w:tabs>
        <w:ind w:left="851" w:hanging="851"/>
      </w:pPr>
      <w:rPr>
        <w:rFonts w:ascii="Arial" w:hAnsi="Arial" w:hint="default"/>
        <w:b/>
        <w:i w:val="0"/>
        <w:sz w:val="24"/>
      </w:rPr>
    </w:lvl>
    <w:lvl w:ilvl="2">
      <w:start w:val="1"/>
      <w:numFmt w:val="lowerLetter"/>
      <w:lvlText w:val="(%3)"/>
      <w:lvlJc w:val="left"/>
      <w:pPr>
        <w:tabs>
          <w:tab w:val="num" w:pos="1418"/>
        </w:tabs>
        <w:ind w:left="1418" w:hanging="567"/>
      </w:pPr>
      <w:rPr>
        <w:rFonts w:ascii="Arial" w:hAnsi="Arial" w:hint="default"/>
        <w:b w:val="0"/>
        <w:i w:val="0"/>
        <w:sz w:val="20"/>
      </w:rPr>
    </w:lvl>
    <w:lvl w:ilvl="3">
      <w:start w:val="1"/>
      <w:numFmt w:val="lowerRoman"/>
      <w:lvlText w:val="(%4)"/>
      <w:lvlJc w:val="left"/>
      <w:pPr>
        <w:tabs>
          <w:tab w:val="num" w:pos="1985"/>
        </w:tabs>
        <w:ind w:left="1985" w:hanging="567"/>
      </w:pPr>
      <w:rPr>
        <w:rFonts w:hint="default"/>
        <w:b w:val="0"/>
        <w:i w:val="0"/>
        <w:color w:val="auto"/>
        <w:sz w:val="22"/>
      </w:rPr>
    </w:lvl>
    <w:lvl w:ilvl="4">
      <w:start w:val="1"/>
      <w:numFmt w:val="upperLetter"/>
      <w:pStyle w:val="LegalClauseLevel5"/>
      <w:lvlText w:val="(%5)"/>
      <w:lvlJc w:val="left"/>
      <w:pPr>
        <w:tabs>
          <w:tab w:val="num" w:pos="2552"/>
        </w:tabs>
        <w:ind w:left="2552" w:hanging="567"/>
      </w:pPr>
      <w:rPr>
        <w:rFonts w:ascii="Arial" w:hAnsi="Arial" w:hint="default"/>
        <w:b w:val="0"/>
        <w:i w:val="0"/>
        <w:sz w:val="22"/>
      </w:rPr>
    </w:lvl>
    <w:lvl w:ilvl="5">
      <w:start w:val="1"/>
      <w:numFmt w:val="lowerLetter"/>
      <w:lvlText w:val="(%6)"/>
      <w:lvlJc w:val="left"/>
      <w:pPr>
        <w:ind w:left="2160" w:hanging="360"/>
      </w:pPr>
      <w:rPr>
        <w:rFonts w:ascii="Arial" w:eastAsia="Calibri" w:hAnsi="Arial" w:cs="Arial" w:hint="default"/>
      </w:rPr>
    </w:lvl>
    <w:lvl w:ilvl="6">
      <w:start w:val="1"/>
      <w:numFmt w:val="decimal"/>
      <w:lvlText w:val="%7."/>
      <w:lvlJc w:val="left"/>
      <w:pPr>
        <w:ind w:left="2520" w:hanging="360"/>
      </w:pPr>
      <w:rPr>
        <w:rFonts w:hint="default"/>
      </w:rPr>
    </w:lvl>
    <w:lvl w:ilvl="7">
      <w:start w:val="1"/>
      <w:numFmt w:val="lowerLetter"/>
      <w:pStyle w:val="LegalScheduleLevel6"/>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45767BA0"/>
    <w:multiLevelType w:val="multilevel"/>
    <w:tmpl w:val="75081F48"/>
    <w:lvl w:ilvl="0">
      <w:start w:val="1"/>
      <w:numFmt w:val="bullet"/>
      <w:pStyle w:val="SideNoteDash"/>
      <w:lvlText w:val="–"/>
      <w:lvlJc w:val="left"/>
      <w:pPr>
        <w:tabs>
          <w:tab w:val="num" w:pos="60"/>
        </w:tabs>
        <w:ind w:left="220" w:hanging="220"/>
      </w:pPr>
      <w:rPr>
        <w:rFonts w:ascii="Arial Narrow" w:hAnsi="Arial Narrow" w:hint="default"/>
      </w:rPr>
    </w:lvl>
    <w:lvl w:ilvl="1">
      <w:start w:val="1"/>
      <w:numFmt w:val="bullet"/>
      <w:pStyle w:val="SideNoteBullet"/>
      <w:lvlText w:val="•"/>
      <w:lvlJc w:val="left"/>
      <w:pPr>
        <w:ind w:left="220" w:hanging="220"/>
      </w:pPr>
      <w:rPr>
        <w:rFonts w:ascii="Arial Narrow" w:hAnsi="Arial Narrow" w:hint="default"/>
        <w:sz w:val="16"/>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460F67E9"/>
    <w:multiLevelType w:val="multilevel"/>
    <w:tmpl w:val="30CC873A"/>
    <w:numStyleLink w:val="aaclstStyleBullets"/>
  </w:abstractNum>
  <w:abstractNum w:abstractNumId="51" w15:restartNumberingAfterBreak="0">
    <w:nsid w:val="4702487E"/>
    <w:multiLevelType w:val="multilevel"/>
    <w:tmpl w:val="30CC873A"/>
    <w:lvl w:ilvl="0">
      <w:start w:val="1"/>
      <w:numFmt w:val="bullet"/>
      <w:lvlText w:val="—"/>
      <w:lvlJc w:val="left"/>
      <w:pPr>
        <w:ind w:left="420" w:hanging="420"/>
      </w:pPr>
      <w:rPr>
        <w:rFonts w:ascii="Arial Narrow" w:hAnsi="Arial Narrow" w:hint="default"/>
      </w:rPr>
    </w:lvl>
    <w:lvl w:ilvl="1">
      <w:start w:val="1"/>
      <w:numFmt w:val="bullet"/>
      <w:lvlText w:val="―"/>
      <w:lvlJc w:val="left"/>
      <w:pPr>
        <w:ind w:left="780" w:hanging="360"/>
      </w:pPr>
      <w:rPr>
        <w:rFonts w:ascii="Arial Narrow" w:hAnsi="Arial Narrow" w:hint="default"/>
      </w:rPr>
    </w:lvl>
    <w:lvl w:ilvl="2">
      <w:start w:val="1"/>
      <w:numFmt w:val="bullet"/>
      <w:lvlText w:val="−"/>
      <w:lvlJc w:val="left"/>
      <w:pPr>
        <w:ind w:left="1140" w:hanging="360"/>
      </w:pPr>
      <w:rPr>
        <w:rFonts w:ascii="Arial Narrow" w:hAnsi="Arial Narrow" w:hint="default"/>
      </w:rPr>
    </w:lvl>
    <w:lvl w:ilvl="3">
      <w:start w:val="1"/>
      <w:numFmt w:val="none"/>
      <w:lvlText w:val=""/>
      <w:lvlJc w:val="left"/>
      <w:pPr>
        <w:ind w:left="1428" w:hanging="357"/>
      </w:pPr>
    </w:lvl>
    <w:lvl w:ilvl="4">
      <w:start w:val="1"/>
      <w:numFmt w:val="none"/>
      <w:lvlText w:val=""/>
      <w:lvlJc w:val="left"/>
      <w:pPr>
        <w:ind w:left="1785" w:hanging="357"/>
      </w:pPr>
    </w:lvl>
    <w:lvl w:ilvl="5">
      <w:start w:val="1"/>
      <w:numFmt w:val="none"/>
      <w:lvlText w:val=""/>
      <w:lvlJc w:val="left"/>
      <w:pPr>
        <w:ind w:left="2142" w:hanging="357"/>
      </w:pPr>
    </w:lvl>
    <w:lvl w:ilvl="6">
      <w:start w:val="1"/>
      <w:numFmt w:val="none"/>
      <w:lvlText w:val=""/>
      <w:lvlJc w:val="left"/>
      <w:pPr>
        <w:ind w:left="2499" w:hanging="357"/>
      </w:pPr>
    </w:lvl>
    <w:lvl w:ilvl="7">
      <w:start w:val="1"/>
      <w:numFmt w:val="none"/>
      <w:lvlText w:val=""/>
      <w:lvlJc w:val="left"/>
      <w:pPr>
        <w:ind w:left="2856" w:hanging="357"/>
      </w:pPr>
    </w:lvl>
    <w:lvl w:ilvl="8">
      <w:start w:val="1"/>
      <w:numFmt w:val="none"/>
      <w:lvlText w:val=""/>
      <w:lvlJc w:val="left"/>
      <w:pPr>
        <w:ind w:left="3213" w:hanging="357"/>
      </w:pPr>
    </w:lvl>
  </w:abstractNum>
  <w:abstractNum w:abstractNumId="52" w15:restartNumberingAfterBreak="0">
    <w:nsid w:val="49C129F8"/>
    <w:multiLevelType w:val="multilevel"/>
    <w:tmpl w:val="5BEE486A"/>
    <w:name w:val="HeadingsList"/>
    <w:styleLink w:val="HeadingsList"/>
    <w:lvl w:ilvl="0">
      <w:start w:val="1"/>
      <w:numFmt w:val="decimal"/>
      <w:lvlText w:val="%1."/>
      <w:lvlJc w:val="left"/>
      <w:pPr>
        <w:ind w:left="936" w:hanging="936"/>
      </w:pPr>
      <w:rPr>
        <w:rFonts w:asciiTheme="majorHAnsi" w:eastAsiaTheme="majorEastAsia" w:hAnsiTheme="majorHAnsi" w:cstheme="majorBidi" w:hint="default"/>
        <w:b/>
        <w:bCs/>
        <w:i w:val="0"/>
        <w:iCs w:val="0"/>
        <w:sz w:val="28"/>
        <w:szCs w:val="28"/>
      </w:rPr>
    </w:lvl>
    <w:lvl w:ilvl="1">
      <w:start w:val="1"/>
      <w:numFmt w:val="decimal"/>
      <w:lvlText w:val="%1.%2."/>
      <w:lvlJc w:val="left"/>
      <w:pPr>
        <w:ind w:left="936" w:hanging="936"/>
      </w:pPr>
      <w:rPr>
        <w:rFonts w:asciiTheme="majorHAnsi" w:eastAsiaTheme="majorEastAsia" w:hAnsiTheme="majorHAnsi" w:cstheme="majorBidi" w:hint="default"/>
        <w:b/>
        <w:bCs/>
        <w:i w:val="0"/>
        <w:iCs w:val="0"/>
        <w:sz w:val="26"/>
        <w:szCs w:val="26"/>
      </w:rPr>
    </w:lvl>
    <w:lvl w:ilvl="2">
      <w:start w:val="1"/>
      <w:numFmt w:val="decimal"/>
      <w:lvlText w:val="%1.%2.%3."/>
      <w:lvlJc w:val="left"/>
      <w:pPr>
        <w:ind w:left="936" w:hanging="936"/>
      </w:pPr>
      <w:rPr>
        <w:rFonts w:asciiTheme="majorHAnsi" w:eastAsiaTheme="majorEastAsia" w:hAnsiTheme="majorHAnsi" w:cstheme="majorBidi" w:hint="default"/>
        <w:b/>
        <w:bCs/>
        <w:i w:val="0"/>
        <w:iCs w:val="0"/>
        <w:sz w:val="24"/>
        <w:szCs w:val="24"/>
      </w:rPr>
    </w:lvl>
    <w:lvl w:ilvl="3">
      <w:start w:val="1"/>
      <w:numFmt w:val="decimal"/>
      <w:lvlText w:val="%1.%2.%3.%4."/>
      <w:lvlJc w:val="left"/>
      <w:pPr>
        <w:ind w:left="1296" w:hanging="1296"/>
      </w:pPr>
      <w:rPr>
        <w:rFonts w:asciiTheme="majorHAnsi" w:eastAsiaTheme="majorEastAsia" w:hAnsiTheme="majorHAnsi" w:cstheme="majorBidi" w:hint="default"/>
        <w:b w:val="0"/>
        <w:bCs w:val="0"/>
        <w:i w:val="0"/>
        <w:iCs w:val="0"/>
        <w:sz w:val="24"/>
        <w:szCs w:val="24"/>
      </w:rPr>
    </w:lvl>
    <w:lvl w:ilvl="4">
      <w:start w:val="1"/>
      <w:numFmt w:val="decimal"/>
      <w:lvlText w:val="%1.%2.%3.%4.%5."/>
      <w:lvlJc w:val="left"/>
      <w:pPr>
        <w:ind w:left="1296" w:hanging="1296"/>
      </w:pPr>
      <w:rPr>
        <w:rFonts w:asciiTheme="majorHAnsi" w:eastAsiaTheme="majorEastAsia" w:hAnsiTheme="majorHAnsi" w:cstheme="majorBidi" w:hint="default"/>
        <w:b w:val="0"/>
        <w:bCs w:val="0"/>
        <w:i/>
        <w:iCs/>
        <w:sz w:val="24"/>
        <w:szCs w:val="24"/>
      </w:rPr>
    </w:lvl>
    <w:lvl w:ilvl="5">
      <w:start w:val="1"/>
      <w:numFmt w:val="decimal"/>
      <w:lvlText w:val="%1.%2.%3.%4.%5.%6."/>
      <w:lvlJc w:val="left"/>
      <w:pPr>
        <w:ind w:left="1296" w:hanging="1296"/>
      </w:pPr>
      <w:rPr>
        <w:b w:val="0"/>
        <w:bCs w:val="0"/>
        <w:i w:val="0"/>
        <w:iCs/>
        <w:sz w:val="24"/>
        <w:szCs w:val="24"/>
      </w:rPr>
    </w:lvl>
    <w:lvl w:ilvl="6">
      <w:start w:val="1"/>
      <w:numFmt w:val="decimal"/>
      <w:lvlText w:val="%1.%2.%3.%4.%5.%6.%7."/>
      <w:lvlJc w:val="left"/>
      <w:pPr>
        <w:ind w:left="1296" w:hanging="1296"/>
      </w:pPr>
      <w:rPr>
        <w:b w:val="0"/>
        <w:bCs w:val="0"/>
        <w:i w:val="0"/>
        <w:iCs/>
        <w:sz w:val="24"/>
        <w:szCs w:val="24"/>
      </w:rPr>
    </w:lvl>
    <w:lvl w:ilvl="7">
      <w:start w:val="1"/>
      <w:numFmt w:val="decimal"/>
      <w:lvlText w:val="%1.%2.%3.%4.%5.%6.%7.%8."/>
      <w:lvlJc w:val="left"/>
      <w:pPr>
        <w:ind w:left="1296" w:hanging="1296"/>
      </w:pPr>
      <w:rPr>
        <w:b w:val="0"/>
        <w:bCs w:val="0"/>
        <w:i w:val="0"/>
        <w:iCs w:val="0"/>
        <w:sz w:val="20"/>
        <w:szCs w:val="24"/>
      </w:rPr>
    </w:lvl>
    <w:lvl w:ilvl="8">
      <w:start w:val="1"/>
      <w:numFmt w:val="decimal"/>
      <w:lvlText w:val="%1.%2.%3.%4.%5.%6.%7.%8.%9."/>
      <w:lvlJc w:val="left"/>
      <w:pPr>
        <w:ind w:left="1296" w:hanging="1296"/>
      </w:pPr>
      <w:rPr>
        <w:b w:val="0"/>
        <w:bCs w:val="0"/>
        <w:i w:val="0"/>
        <w:iCs/>
        <w:sz w:val="20"/>
        <w:szCs w:val="24"/>
      </w:rPr>
    </w:lvl>
  </w:abstractNum>
  <w:abstractNum w:abstractNumId="53" w15:restartNumberingAfterBreak="0">
    <w:nsid w:val="4A740E0E"/>
    <w:multiLevelType w:val="multilevel"/>
    <w:tmpl w:val="2758A874"/>
    <w:lvl w:ilvl="0">
      <w:start w:val="1"/>
      <w:numFmt w:val="decimal"/>
      <w:pStyle w:val="MELegal1"/>
      <w:lvlText w:val="%1."/>
      <w:lvlJc w:val="left"/>
      <w:pPr>
        <w:tabs>
          <w:tab w:val="num" w:pos="1230"/>
        </w:tabs>
        <w:ind w:left="1230" w:hanging="680"/>
      </w:pPr>
      <w:rPr>
        <w:rFonts w:hint="default"/>
      </w:rPr>
    </w:lvl>
    <w:lvl w:ilvl="1">
      <w:start w:val="1"/>
      <w:numFmt w:val="decimal"/>
      <w:pStyle w:val="MELegal2"/>
      <w:lvlText w:val="%1.%2"/>
      <w:lvlJc w:val="left"/>
      <w:pPr>
        <w:tabs>
          <w:tab w:val="num" w:pos="680"/>
        </w:tabs>
        <w:ind w:left="680" w:hanging="680"/>
      </w:pPr>
      <w:rPr>
        <w:rFonts w:hint="default"/>
      </w:rPr>
    </w:lvl>
    <w:lvl w:ilvl="2">
      <w:start w:val="1"/>
      <w:numFmt w:val="lowerLetter"/>
      <w:pStyle w:val="MELegal3"/>
      <w:lvlText w:val="(%3)"/>
      <w:lvlJc w:val="left"/>
      <w:pPr>
        <w:tabs>
          <w:tab w:val="num" w:pos="1249"/>
        </w:tabs>
        <w:ind w:left="1249" w:hanging="681"/>
      </w:pPr>
      <w:rPr>
        <w:rFonts w:hint="default"/>
        <w:b w:val="0"/>
        <w:bCs w:val="0"/>
        <w:i w:val="0"/>
        <w:iCs w:val="0"/>
      </w:rPr>
    </w:lvl>
    <w:lvl w:ilvl="3">
      <w:start w:val="1"/>
      <w:numFmt w:val="lowerRoman"/>
      <w:pStyle w:val="MELegal4"/>
      <w:lvlText w:val="(%4)"/>
      <w:lvlJc w:val="left"/>
      <w:pPr>
        <w:tabs>
          <w:tab w:val="num" w:pos="2041"/>
        </w:tabs>
        <w:ind w:left="2041" w:hanging="680"/>
      </w:pPr>
      <w:rPr>
        <w:rFonts w:hint="default"/>
      </w:rPr>
    </w:lvl>
    <w:lvl w:ilvl="4">
      <w:start w:val="1"/>
      <w:numFmt w:val="upperLetter"/>
      <w:pStyle w:val="MELegal5"/>
      <w:lvlText w:val="(%5)"/>
      <w:lvlJc w:val="left"/>
      <w:pPr>
        <w:tabs>
          <w:tab w:val="num" w:pos="2722"/>
        </w:tabs>
        <w:ind w:left="2722" w:hanging="681"/>
      </w:pPr>
      <w:rPr>
        <w:rFonts w:hint="default"/>
      </w:rPr>
    </w:lvl>
    <w:lvl w:ilvl="5">
      <w:start w:val="1"/>
      <w:numFmt w:val="upperRoman"/>
      <w:pStyle w:val="MELegal6"/>
      <w:lvlText w:val="(%6)"/>
      <w:lvlJc w:val="left"/>
      <w:pPr>
        <w:tabs>
          <w:tab w:val="num" w:pos="3402"/>
        </w:tabs>
        <w:ind w:left="3402" w:hanging="680"/>
      </w:pPr>
      <w:rPr>
        <w:rFonts w:hint="default"/>
      </w:rPr>
    </w:lvl>
    <w:lvl w:ilvl="6">
      <w:start w:val="1"/>
      <w:numFmt w:val="none"/>
      <w:lvlText w:val="%7"/>
      <w:lvlJc w:val="left"/>
      <w:pPr>
        <w:tabs>
          <w:tab w:val="num" w:pos="5103"/>
        </w:tabs>
        <w:ind w:left="5103" w:hanging="85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54" w15:restartNumberingAfterBreak="0">
    <w:nsid w:val="4B02402D"/>
    <w:multiLevelType w:val="multilevel"/>
    <w:tmpl w:val="30CC873A"/>
    <w:lvl w:ilvl="0">
      <w:start w:val="1"/>
      <w:numFmt w:val="bullet"/>
      <w:lvlText w:val="—"/>
      <w:lvlJc w:val="left"/>
      <w:pPr>
        <w:ind w:left="420" w:hanging="420"/>
      </w:pPr>
      <w:rPr>
        <w:rFonts w:ascii="Arial Narrow" w:hAnsi="Arial Narrow" w:hint="default"/>
      </w:rPr>
    </w:lvl>
    <w:lvl w:ilvl="1">
      <w:start w:val="1"/>
      <w:numFmt w:val="bullet"/>
      <w:lvlText w:val="―"/>
      <w:lvlJc w:val="left"/>
      <w:pPr>
        <w:ind w:left="780" w:hanging="360"/>
      </w:pPr>
      <w:rPr>
        <w:rFonts w:ascii="Arial Narrow" w:hAnsi="Arial Narrow" w:hint="default"/>
      </w:rPr>
    </w:lvl>
    <w:lvl w:ilvl="2">
      <w:start w:val="1"/>
      <w:numFmt w:val="bullet"/>
      <w:lvlText w:val="−"/>
      <w:lvlJc w:val="left"/>
      <w:pPr>
        <w:ind w:left="1140" w:hanging="360"/>
      </w:pPr>
      <w:rPr>
        <w:rFonts w:ascii="Arial Narrow" w:hAnsi="Arial Narrow" w:hint="default"/>
      </w:rPr>
    </w:lvl>
    <w:lvl w:ilvl="3">
      <w:start w:val="1"/>
      <w:numFmt w:val="none"/>
      <w:lvlText w:val=""/>
      <w:lvlJc w:val="left"/>
      <w:pPr>
        <w:ind w:left="1428" w:hanging="357"/>
      </w:pPr>
    </w:lvl>
    <w:lvl w:ilvl="4">
      <w:start w:val="1"/>
      <w:numFmt w:val="none"/>
      <w:lvlText w:val=""/>
      <w:lvlJc w:val="left"/>
      <w:pPr>
        <w:ind w:left="1785" w:hanging="357"/>
      </w:pPr>
    </w:lvl>
    <w:lvl w:ilvl="5">
      <w:start w:val="1"/>
      <w:numFmt w:val="none"/>
      <w:lvlText w:val=""/>
      <w:lvlJc w:val="left"/>
      <w:pPr>
        <w:ind w:left="2142" w:hanging="357"/>
      </w:pPr>
    </w:lvl>
    <w:lvl w:ilvl="6">
      <w:start w:val="1"/>
      <w:numFmt w:val="none"/>
      <w:lvlText w:val=""/>
      <w:lvlJc w:val="left"/>
      <w:pPr>
        <w:ind w:left="2499" w:hanging="357"/>
      </w:pPr>
    </w:lvl>
    <w:lvl w:ilvl="7">
      <w:start w:val="1"/>
      <w:numFmt w:val="none"/>
      <w:lvlText w:val=""/>
      <w:lvlJc w:val="left"/>
      <w:pPr>
        <w:ind w:left="2856" w:hanging="357"/>
      </w:pPr>
    </w:lvl>
    <w:lvl w:ilvl="8">
      <w:start w:val="1"/>
      <w:numFmt w:val="none"/>
      <w:lvlText w:val=""/>
      <w:lvlJc w:val="left"/>
      <w:pPr>
        <w:ind w:left="3213" w:hanging="357"/>
      </w:pPr>
    </w:lvl>
  </w:abstractNum>
  <w:abstractNum w:abstractNumId="55" w15:restartNumberingAfterBreak="0">
    <w:nsid w:val="4B6114E9"/>
    <w:multiLevelType w:val="multilevel"/>
    <w:tmpl w:val="30CC873A"/>
    <w:styleLink w:val="aaclstStyleBullets"/>
    <w:lvl w:ilvl="0">
      <w:start w:val="1"/>
      <w:numFmt w:val="bullet"/>
      <w:pStyle w:val="ListBullet"/>
      <w:lvlText w:val="—"/>
      <w:lvlJc w:val="left"/>
      <w:pPr>
        <w:ind w:left="704" w:hanging="420"/>
      </w:pPr>
      <w:rPr>
        <w:rFonts w:ascii="Arial Narrow" w:hAnsi="Arial Narrow" w:hint="default"/>
      </w:rPr>
    </w:lvl>
    <w:lvl w:ilvl="1">
      <w:start w:val="1"/>
      <w:numFmt w:val="bullet"/>
      <w:pStyle w:val="ListBullet2"/>
      <w:lvlText w:val="―"/>
      <w:lvlJc w:val="left"/>
      <w:pPr>
        <w:ind w:left="780" w:hanging="360"/>
      </w:pPr>
      <w:rPr>
        <w:rFonts w:ascii="Arial Narrow" w:hAnsi="Arial Narrow" w:hint="default"/>
      </w:rPr>
    </w:lvl>
    <w:lvl w:ilvl="2">
      <w:start w:val="1"/>
      <w:numFmt w:val="bullet"/>
      <w:pStyle w:val="ListBullet3"/>
      <w:lvlText w:val="−"/>
      <w:lvlJc w:val="left"/>
      <w:pPr>
        <w:ind w:left="1140" w:hanging="360"/>
      </w:pPr>
      <w:rPr>
        <w:rFonts w:ascii="Arial Narrow" w:hAnsi="Arial Narrow"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56" w15:restartNumberingAfterBreak="0">
    <w:nsid w:val="4C68043D"/>
    <w:multiLevelType w:val="multilevel"/>
    <w:tmpl w:val="54BAE5FE"/>
    <w:name w:val="AppendicesList"/>
    <w:styleLink w:val="AppendicesList"/>
    <w:lvl w:ilvl="0">
      <w:start w:val="1"/>
      <w:numFmt w:val="upperLetter"/>
      <w:lvlText w:val="Appendix %1."/>
      <w:lvlJc w:val="left"/>
      <w:pPr>
        <w:tabs>
          <w:tab w:val="num" w:pos="936"/>
        </w:tabs>
        <w:ind w:left="936" w:hanging="936"/>
      </w:pPr>
      <w:rPr>
        <w:rFonts w:asciiTheme="majorHAnsi" w:eastAsiaTheme="majorEastAsia" w:hAnsiTheme="majorHAnsi" w:cstheme="majorBidi" w:hint="default"/>
        <w:b/>
        <w:bCs/>
        <w:i w:val="0"/>
        <w:iCs w:val="0"/>
        <w:sz w:val="28"/>
        <w:szCs w:val="28"/>
      </w:rPr>
    </w:lvl>
    <w:lvl w:ilvl="1">
      <w:start w:val="1"/>
      <w:numFmt w:val="decimal"/>
      <w:lvlText w:val="%1.%2."/>
      <w:lvlJc w:val="left"/>
      <w:pPr>
        <w:tabs>
          <w:tab w:val="num" w:pos="936"/>
        </w:tabs>
        <w:ind w:left="936" w:hanging="936"/>
      </w:pPr>
      <w:rPr>
        <w:rFonts w:asciiTheme="majorHAnsi" w:eastAsiaTheme="majorEastAsia" w:hAnsiTheme="majorHAnsi" w:cstheme="majorBidi" w:hint="default"/>
        <w:b/>
        <w:bCs/>
        <w:i w:val="0"/>
        <w:iCs w:val="0"/>
        <w:sz w:val="26"/>
        <w:szCs w:val="26"/>
      </w:rPr>
    </w:lvl>
    <w:lvl w:ilvl="2">
      <w:start w:val="1"/>
      <w:numFmt w:val="decimal"/>
      <w:lvlText w:val="%1.%2.%3."/>
      <w:lvlJc w:val="left"/>
      <w:pPr>
        <w:tabs>
          <w:tab w:val="num" w:pos="936"/>
        </w:tabs>
        <w:ind w:left="936" w:hanging="936"/>
      </w:pPr>
      <w:rPr>
        <w:rFonts w:asciiTheme="majorHAnsi" w:eastAsiaTheme="majorEastAsia" w:hAnsiTheme="majorHAnsi" w:cstheme="majorBidi" w:hint="default"/>
        <w:b/>
        <w:bCs/>
        <w:i w:val="0"/>
        <w:iCs w:val="0"/>
        <w:sz w:val="24"/>
        <w:szCs w:val="24"/>
      </w:rPr>
    </w:lvl>
    <w:lvl w:ilvl="3">
      <w:start w:val="1"/>
      <w:numFmt w:val="decimal"/>
      <w:lvlText w:val="%1.%2.%3.%4."/>
      <w:lvlJc w:val="left"/>
      <w:pPr>
        <w:tabs>
          <w:tab w:val="num" w:pos="1296"/>
        </w:tabs>
        <w:ind w:left="1296" w:hanging="1296"/>
      </w:pPr>
      <w:rPr>
        <w:rFonts w:asciiTheme="majorHAnsi" w:eastAsiaTheme="majorEastAsia" w:hAnsiTheme="majorHAnsi" w:cstheme="majorBidi" w:hint="default"/>
        <w:b w:val="0"/>
        <w:bCs w:val="0"/>
        <w:i w:val="0"/>
        <w:iCs w:val="0"/>
        <w:sz w:val="24"/>
        <w:szCs w:val="24"/>
      </w:rPr>
    </w:lvl>
    <w:lvl w:ilvl="4">
      <w:start w:val="1"/>
      <w:numFmt w:val="decimal"/>
      <w:lvlText w:val="%1.%2.%3.%4.%5."/>
      <w:lvlJc w:val="left"/>
      <w:pPr>
        <w:tabs>
          <w:tab w:val="num" w:pos="1296"/>
        </w:tabs>
        <w:ind w:left="1296" w:hanging="1296"/>
      </w:pPr>
      <w:rPr>
        <w:rFonts w:asciiTheme="majorHAnsi" w:eastAsiaTheme="majorEastAsia" w:hAnsiTheme="majorHAnsi" w:cstheme="majorBidi" w:hint="default"/>
        <w:b w:val="0"/>
        <w:bCs w:val="0"/>
        <w:i/>
        <w:iCs/>
        <w:sz w:val="24"/>
        <w:szCs w:val="24"/>
      </w:rPr>
    </w:lvl>
    <w:lvl w:ilvl="5">
      <w:start w:val="1"/>
      <w:numFmt w:val="lowerRoman"/>
      <w:lvlText w:val="(%6)"/>
      <w:lvlJc w:val="left"/>
      <w:pPr>
        <w:tabs>
          <w:tab w:val="num" w:pos="2448"/>
        </w:tabs>
        <w:ind w:left="0" w:firstLine="0"/>
      </w:pPr>
      <w:rPr>
        <w:b w:val="0"/>
        <w:bCs w:val="0"/>
        <w:i w:val="0"/>
        <w:iCs/>
        <w:sz w:val="24"/>
        <w:szCs w:val="24"/>
      </w:rPr>
    </w:lvl>
    <w:lvl w:ilvl="6">
      <w:start w:val="1"/>
      <w:numFmt w:val="decimal"/>
      <w:lvlText w:val="%7."/>
      <w:lvlJc w:val="left"/>
      <w:pPr>
        <w:tabs>
          <w:tab w:val="num" w:pos="2808"/>
        </w:tabs>
        <w:ind w:left="0" w:firstLine="0"/>
      </w:pPr>
      <w:rPr>
        <w:b w:val="0"/>
        <w:bCs w:val="0"/>
        <w:i w:val="0"/>
        <w:iCs/>
        <w:sz w:val="24"/>
        <w:szCs w:val="24"/>
      </w:rPr>
    </w:lvl>
    <w:lvl w:ilvl="7">
      <w:start w:val="1"/>
      <w:numFmt w:val="lowerLetter"/>
      <w:lvlText w:val="%8."/>
      <w:lvlJc w:val="left"/>
      <w:pPr>
        <w:tabs>
          <w:tab w:val="num" w:pos="3168"/>
        </w:tabs>
        <w:ind w:left="0" w:firstLine="0"/>
      </w:pPr>
      <w:rPr>
        <w:b w:val="0"/>
        <w:bCs w:val="0"/>
        <w:i w:val="0"/>
        <w:iCs w:val="0"/>
        <w:sz w:val="20"/>
        <w:szCs w:val="24"/>
      </w:rPr>
    </w:lvl>
    <w:lvl w:ilvl="8">
      <w:start w:val="1"/>
      <w:numFmt w:val="lowerRoman"/>
      <w:lvlText w:val="%9."/>
      <w:lvlJc w:val="left"/>
      <w:pPr>
        <w:tabs>
          <w:tab w:val="num" w:pos="3528"/>
        </w:tabs>
        <w:ind w:left="0" w:firstLine="0"/>
      </w:pPr>
      <w:rPr>
        <w:b w:val="0"/>
        <w:bCs w:val="0"/>
        <w:i w:val="0"/>
        <w:iCs/>
        <w:sz w:val="20"/>
        <w:szCs w:val="24"/>
      </w:rPr>
    </w:lvl>
  </w:abstractNum>
  <w:abstractNum w:abstractNumId="57" w15:restartNumberingAfterBreak="0">
    <w:nsid w:val="50E9377F"/>
    <w:multiLevelType w:val="multilevel"/>
    <w:tmpl w:val="CE66BE7A"/>
    <w:styleLink w:val="aaclstStyleListNumber"/>
    <w:lvl w:ilvl="0">
      <w:start w:val="1"/>
      <w:numFmt w:val="decimal"/>
      <w:pStyle w:val="ListNumber"/>
      <w:lvlText w:val="%1."/>
      <w:lvlJc w:val="left"/>
      <w:pPr>
        <w:ind w:left="420" w:hanging="420"/>
      </w:pPr>
      <w:rPr>
        <w:rFonts w:ascii="Arial Narrow" w:hAnsi="Arial Narrow" w:cs="Arial" w:hint="default"/>
      </w:rPr>
    </w:lvl>
    <w:lvl w:ilvl="1">
      <w:start w:val="1"/>
      <w:numFmt w:val="lowerLetter"/>
      <w:pStyle w:val="ListNumber2"/>
      <w:lvlText w:val="%2)"/>
      <w:lvlJc w:val="left"/>
      <w:pPr>
        <w:ind w:left="780" w:hanging="360"/>
      </w:pPr>
      <w:rPr>
        <w:rFonts w:ascii="Arial Narrow" w:hAnsi="Arial Narrow" w:hint="default"/>
      </w:rPr>
    </w:lvl>
    <w:lvl w:ilvl="2">
      <w:start w:val="1"/>
      <w:numFmt w:val="lowerRoman"/>
      <w:pStyle w:val="ListNumber3"/>
      <w:lvlText w:val="%3)"/>
      <w:lvlJc w:val="left"/>
      <w:pPr>
        <w:ind w:left="1140" w:hanging="360"/>
      </w:pPr>
      <w:rPr>
        <w:rFonts w:ascii="Arial Narrow" w:hAnsi="Arial Narrow"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58" w15:restartNumberingAfterBreak="0">
    <w:nsid w:val="532D23B6"/>
    <w:multiLevelType w:val="multilevel"/>
    <w:tmpl w:val="165C0818"/>
    <w:styleLink w:val="lstStyleHeadingNumbered"/>
    <w:lvl w:ilvl="0">
      <w:start w:val="1"/>
      <w:numFmt w:val="decimal"/>
      <w:lvlText w:val="%1"/>
      <w:lvlJc w:val="right"/>
      <w:pPr>
        <w:ind w:left="248" w:hanging="384"/>
      </w:pPr>
      <w:rPr>
        <w:rFonts w:ascii="Yu Gothic Medium" w:eastAsia="Yu Gothic Medium" w:hAnsi="Yu Gothic Medium" w:hint="eastAsia"/>
      </w:rPr>
    </w:lvl>
    <w:lvl w:ilvl="1">
      <w:start w:val="1"/>
      <w:numFmt w:val="decimal"/>
      <w:lvlText w:val="%1.%2"/>
      <w:lvlJc w:val="right"/>
      <w:pPr>
        <w:ind w:left="0" w:hanging="136"/>
      </w:pPr>
      <w:rPr>
        <w:rFonts w:hint="default"/>
      </w:rPr>
    </w:lvl>
    <w:lvl w:ilvl="2">
      <w:start w:val="1"/>
      <w:numFmt w:val="decimal"/>
      <w:lvlText w:val="%1.%2.%3"/>
      <w:lvlJc w:val="left"/>
      <w:pPr>
        <w:ind w:left="320" w:hanging="32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59" w15:restartNumberingAfterBreak="0">
    <w:nsid w:val="535E057B"/>
    <w:multiLevelType w:val="multilevel"/>
    <w:tmpl w:val="165C0818"/>
    <w:styleLink w:val="aaclstStyleHeadingNumbered"/>
    <w:lvl w:ilvl="0">
      <w:start w:val="1"/>
      <w:numFmt w:val="decimal"/>
      <w:pStyle w:val="Heading1"/>
      <w:lvlText w:val="%1"/>
      <w:lvlJc w:val="right"/>
      <w:pPr>
        <w:ind w:left="248" w:hanging="384"/>
      </w:pPr>
      <w:rPr>
        <w:rFonts w:ascii="Yu Gothic Medium" w:eastAsia="Yu Gothic Medium" w:hAnsi="Yu Gothic Medium" w:hint="eastAsia"/>
      </w:rPr>
    </w:lvl>
    <w:lvl w:ilvl="1">
      <w:start w:val="1"/>
      <w:numFmt w:val="decimal"/>
      <w:pStyle w:val="Heading2"/>
      <w:lvlText w:val="%1.%2"/>
      <w:lvlJc w:val="right"/>
      <w:pPr>
        <w:ind w:left="0" w:hanging="136"/>
      </w:pPr>
      <w:rPr>
        <w:rFonts w:hint="default"/>
      </w:rPr>
    </w:lvl>
    <w:lvl w:ilvl="2">
      <w:start w:val="1"/>
      <w:numFmt w:val="decimal"/>
      <w:pStyle w:val="Heading3"/>
      <w:lvlText w:val="%1.%2.%3"/>
      <w:lvlJc w:val="left"/>
      <w:pPr>
        <w:ind w:left="320" w:hanging="320"/>
      </w:pPr>
      <w:rPr>
        <w:rFonts w:hint="default"/>
      </w:rPr>
    </w:lvl>
    <w:lvl w:ilvl="3">
      <w:start w:val="1"/>
      <w:numFmt w:val="none"/>
      <w:lvlRestart w:val="0"/>
      <w:pStyle w:val="Heading4"/>
      <w:lvlText w:val=""/>
      <w:lvlJc w:val="left"/>
      <w:pPr>
        <w:ind w:left="0" w:firstLine="0"/>
      </w:pPr>
      <w:rPr>
        <w:rFonts w:hint="default"/>
      </w:rPr>
    </w:lvl>
    <w:lvl w:ilvl="4">
      <w:start w:val="1"/>
      <w:numFmt w:val="none"/>
      <w:lvlRestart w:val="0"/>
      <w:pStyle w:val="Heading5"/>
      <w:lvlText w:val=""/>
      <w:lvlJc w:val="left"/>
      <w:pPr>
        <w:ind w:left="0" w:firstLine="0"/>
      </w:pPr>
      <w:rPr>
        <w:rFonts w:hint="default"/>
      </w:rPr>
    </w:lvl>
    <w:lvl w:ilvl="5">
      <w:start w:val="1"/>
      <w:numFmt w:val="none"/>
      <w:lvlRestart w:val="0"/>
      <w:pStyle w:val="Heading6"/>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0" w15:restartNumberingAfterBreak="0">
    <w:nsid w:val="58615B56"/>
    <w:multiLevelType w:val="multilevel"/>
    <w:tmpl w:val="5DA053E4"/>
    <w:numStyleLink w:val="aaclstStyleAppendices"/>
  </w:abstractNum>
  <w:abstractNum w:abstractNumId="61" w15:restartNumberingAfterBreak="0">
    <w:nsid w:val="5BDB1C20"/>
    <w:multiLevelType w:val="multilevel"/>
    <w:tmpl w:val="B0EE076C"/>
    <w:lvl w:ilvl="0">
      <w:start w:val="1"/>
      <w:numFmt w:val="decimal"/>
      <w:pStyle w:val="MENoIndent1"/>
      <w:suff w:val="space"/>
      <w:lvlText w:val="%1."/>
      <w:lvlJc w:val="left"/>
      <w:pPr>
        <w:ind w:left="110" w:firstLine="0"/>
      </w:pPr>
      <w:rPr>
        <w:rFonts w:hint="default"/>
      </w:rPr>
    </w:lvl>
    <w:lvl w:ilvl="1">
      <w:start w:val="1"/>
      <w:numFmt w:val="decimal"/>
      <w:suff w:val="space"/>
      <w:lvlText w:val="%1.%2"/>
      <w:lvlJc w:val="left"/>
      <w:pPr>
        <w:ind w:left="0" w:firstLine="0"/>
      </w:pPr>
      <w:rPr>
        <w:rFonts w:hint="default"/>
      </w:rPr>
    </w:lvl>
    <w:lvl w:ilvl="2">
      <w:start w:val="1"/>
      <w:numFmt w:val="lowerLetter"/>
      <w:suff w:val="space"/>
      <w:lvlText w:val="(%3)"/>
      <w:lvlJc w:val="left"/>
      <w:pPr>
        <w:ind w:left="0" w:firstLine="0"/>
      </w:pPr>
      <w:rPr>
        <w:rFonts w:hint="default"/>
      </w:rPr>
    </w:lvl>
    <w:lvl w:ilvl="3">
      <w:start w:val="1"/>
      <w:numFmt w:val="lowerRoman"/>
      <w:suff w:val="space"/>
      <w:lvlText w:val="(%4)"/>
      <w:lvlJc w:val="left"/>
      <w:pPr>
        <w:ind w:left="0" w:firstLine="0"/>
      </w:pPr>
      <w:rPr>
        <w:rFonts w:hint="default"/>
      </w:rPr>
    </w:lvl>
    <w:lvl w:ilvl="4">
      <w:start w:val="1"/>
      <w:numFmt w:val="upperLetter"/>
      <w:suff w:val="space"/>
      <w:lvlText w:val="(%5)"/>
      <w:lvlJc w:val="left"/>
      <w:pPr>
        <w:ind w:left="0" w:firstLine="0"/>
      </w:pPr>
      <w:rPr>
        <w:rFonts w:hint="default"/>
      </w:rPr>
    </w:lvl>
    <w:lvl w:ilvl="5">
      <w:start w:val="1"/>
      <w:numFmt w:val="upperRoman"/>
      <w:suff w:val="space"/>
      <w:lvlText w:val="(%6)"/>
      <w:lvlJc w:val="left"/>
      <w:pPr>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62" w15:restartNumberingAfterBreak="0">
    <w:nsid w:val="617B756D"/>
    <w:multiLevelType w:val="multilevel"/>
    <w:tmpl w:val="3DD0AEC8"/>
    <w:numStyleLink w:val="aaclstStyleHeadingsES"/>
  </w:abstractNum>
  <w:abstractNum w:abstractNumId="63" w15:restartNumberingAfterBreak="0">
    <w:nsid w:val="642F1928"/>
    <w:multiLevelType w:val="hybridMultilevel"/>
    <w:tmpl w:val="B5F86B04"/>
    <w:lvl w:ilvl="0" w:tplc="0DDCFD34">
      <w:start w:val="1"/>
      <w:numFmt w:val="bullet"/>
      <w:pStyle w:val="QuoteListBullet"/>
      <w:lvlText w:val="–"/>
      <w:lvlJc w:val="left"/>
      <w:pPr>
        <w:ind w:left="360" w:hanging="360"/>
      </w:pPr>
      <w:rPr>
        <w:rFonts w:ascii="Arial Narrow" w:hAnsi="Arial Narrow" w:hint="default"/>
        <w:sz w:val="18"/>
      </w:rPr>
    </w:lvl>
    <w:lvl w:ilvl="1" w:tplc="04090003" w:tentative="1">
      <w:start w:val="1"/>
      <w:numFmt w:val="bullet"/>
      <w:lvlText w:val="o"/>
      <w:lvlJc w:val="left"/>
      <w:pPr>
        <w:ind w:left="1840" w:hanging="360"/>
      </w:pPr>
      <w:rPr>
        <w:rFonts w:ascii="Courier New" w:hAnsi="Courier New" w:cs="Courier New" w:hint="default"/>
      </w:rPr>
    </w:lvl>
    <w:lvl w:ilvl="2" w:tplc="04090005" w:tentative="1">
      <w:start w:val="1"/>
      <w:numFmt w:val="bullet"/>
      <w:lvlText w:val=""/>
      <w:lvlJc w:val="left"/>
      <w:pPr>
        <w:ind w:left="2560" w:hanging="360"/>
      </w:pPr>
      <w:rPr>
        <w:rFonts w:ascii="Wingdings" w:hAnsi="Wingdings" w:hint="default"/>
      </w:rPr>
    </w:lvl>
    <w:lvl w:ilvl="3" w:tplc="04090001" w:tentative="1">
      <w:start w:val="1"/>
      <w:numFmt w:val="bullet"/>
      <w:lvlText w:val=""/>
      <w:lvlJc w:val="left"/>
      <w:pPr>
        <w:ind w:left="3280" w:hanging="360"/>
      </w:pPr>
      <w:rPr>
        <w:rFonts w:ascii="Symbol" w:hAnsi="Symbol" w:hint="default"/>
      </w:rPr>
    </w:lvl>
    <w:lvl w:ilvl="4" w:tplc="04090003" w:tentative="1">
      <w:start w:val="1"/>
      <w:numFmt w:val="bullet"/>
      <w:lvlText w:val="o"/>
      <w:lvlJc w:val="left"/>
      <w:pPr>
        <w:ind w:left="4000" w:hanging="360"/>
      </w:pPr>
      <w:rPr>
        <w:rFonts w:ascii="Courier New" w:hAnsi="Courier New" w:cs="Courier New" w:hint="default"/>
      </w:rPr>
    </w:lvl>
    <w:lvl w:ilvl="5" w:tplc="04090005" w:tentative="1">
      <w:start w:val="1"/>
      <w:numFmt w:val="bullet"/>
      <w:lvlText w:val=""/>
      <w:lvlJc w:val="left"/>
      <w:pPr>
        <w:ind w:left="4720" w:hanging="360"/>
      </w:pPr>
      <w:rPr>
        <w:rFonts w:ascii="Wingdings" w:hAnsi="Wingdings" w:hint="default"/>
      </w:rPr>
    </w:lvl>
    <w:lvl w:ilvl="6" w:tplc="04090001" w:tentative="1">
      <w:start w:val="1"/>
      <w:numFmt w:val="bullet"/>
      <w:lvlText w:val=""/>
      <w:lvlJc w:val="left"/>
      <w:pPr>
        <w:ind w:left="5440" w:hanging="360"/>
      </w:pPr>
      <w:rPr>
        <w:rFonts w:ascii="Symbol" w:hAnsi="Symbol" w:hint="default"/>
      </w:rPr>
    </w:lvl>
    <w:lvl w:ilvl="7" w:tplc="04090003" w:tentative="1">
      <w:start w:val="1"/>
      <w:numFmt w:val="bullet"/>
      <w:lvlText w:val="o"/>
      <w:lvlJc w:val="left"/>
      <w:pPr>
        <w:ind w:left="6160" w:hanging="360"/>
      </w:pPr>
      <w:rPr>
        <w:rFonts w:ascii="Courier New" w:hAnsi="Courier New" w:cs="Courier New" w:hint="default"/>
      </w:rPr>
    </w:lvl>
    <w:lvl w:ilvl="8" w:tplc="04090005" w:tentative="1">
      <w:start w:val="1"/>
      <w:numFmt w:val="bullet"/>
      <w:lvlText w:val=""/>
      <w:lvlJc w:val="left"/>
      <w:pPr>
        <w:ind w:left="6880" w:hanging="360"/>
      </w:pPr>
      <w:rPr>
        <w:rFonts w:ascii="Wingdings" w:hAnsi="Wingdings" w:hint="default"/>
      </w:rPr>
    </w:lvl>
  </w:abstractNum>
  <w:abstractNum w:abstractNumId="64" w15:restartNumberingAfterBreak="0">
    <w:nsid w:val="644207D8"/>
    <w:multiLevelType w:val="multilevel"/>
    <w:tmpl w:val="0809001F"/>
    <w:styleLink w:val="111111"/>
    <w:lvl w:ilvl="0">
      <w:start w:val="1"/>
      <w:numFmt w:val="decimal"/>
      <w:lvlText w:val="%1."/>
      <w:lvlJc w:val="left"/>
      <w:pPr>
        <w:ind w:left="360" w:hanging="360"/>
      </w:pPr>
      <w:rPr>
        <w:rFonts w:cs="Times New Roman"/>
        <w:bCs w:val="0"/>
        <w:iCs w:val="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44E6124"/>
    <w:multiLevelType w:val="multilevel"/>
    <w:tmpl w:val="0088B526"/>
    <w:lvl w:ilvl="0">
      <w:start w:val="1"/>
      <w:numFmt w:val="decimal"/>
      <w:pStyle w:val="MEBasic1"/>
      <w:lvlText w:val="%1."/>
      <w:lvlJc w:val="left"/>
      <w:pPr>
        <w:tabs>
          <w:tab w:val="num" w:pos="1531"/>
        </w:tabs>
        <w:ind w:left="1531" w:hanging="680"/>
      </w:pPr>
      <w:rPr>
        <w:rFonts w:hint="default"/>
        <w:b w:val="0"/>
        <w:bCs w:val="0"/>
        <w:i w:val="0"/>
        <w:iCs w:val="0"/>
      </w:rPr>
    </w:lvl>
    <w:lvl w:ilvl="1">
      <w:start w:val="1"/>
      <w:numFmt w:val="decimal"/>
      <w:pStyle w:val="MEBasic2"/>
      <w:lvlText w:val="%1.%2"/>
      <w:lvlJc w:val="left"/>
      <w:pPr>
        <w:tabs>
          <w:tab w:val="num" w:pos="680"/>
        </w:tabs>
        <w:ind w:left="680" w:hanging="680"/>
      </w:pPr>
      <w:rPr>
        <w:rFonts w:hint="default"/>
      </w:rPr>
    </w:lvl>
    <w:lvl w:ilvl="2">
      <w:start w:val="1"/>
      <w:numFmt w:val="lowerLetter"/>
      <w:pStyle w:val="MEBasic3"/>
      <w:lvlText w:val="(%3)"/>
      <w:lvlJc w:val="left"/>
      <w:pPr>
        <w:tabs>
          <w:tab w:val="num" w:pos="1361"/>
        </w:tabs>
        <w:ind w:left="1361" w:hanging="681"/>
      </w:pPr>
      <w:rPr>
        <w:rFonts w:hint="default"/>
      </w:rPr>
    </w:lvl>
    <w:lvl w:ilvl="3">
      <w:start w:val="1"/>
      <w:numFmt w:val="lowerRoman"/>
      <w:pStyle w:val="MEBasic4"/>
      <w:lvlText w:val="(%4)"/>
      <w:lvlJc w:val="left"/>
      <w:pPr>
        <w:tabs>
          <w:tab w:val="num" w:pos="2041"/>
        </w:tabs>
        <w:ind w:left="2041" w:hanging="680"/>
      </w:pPr>
      <w:rPr>
        <w:rFonts w:hint="default"/>
      </w:rPr>
    </w:lvl>
    <w:lvl w:ilvl="4">
      <w:start w:val="1"/>
      <w:numFmt w:val="upperLetter"/>
      <w:pStyle w:val="MEBasic5"/>
      <w:lvlText w:val="(%5)"/>
      <w:lvlJc w:val="left"/>
      <w:pPr>
        <w:tabs>
          <w:tab w:val="num" w:pos="2722"/>
        </w:tabs>
        <w:ind w:left="2722" w:hanging="681"/>
      </w:pPr>
      <w:rPr>
        <w:rFonts w:hint="default"/>
      </w:rPr>
    </w:lvl>
    <w:lvl w:ilvl="5">
      <w:start w:val="1"/>
      <w:numFmt w:val="none"/>
      <w:lvlText w:val=""/>
      <w:lvlJc w:val="left"/>
      <w:pPr>
        <w:tabs>
          <w:tab w:val="num" w:pos="0"/>
        </w:tabs>
        <w:ind w:left="0" w:firstLine="0"/>
      </w:pPr>
      <w:rPr>
        <w:rFonts w:hint="default"/>
      </w:rPr>
    </w:lvl>
    <w:lvl w:ilvl="6">
      <w:start w:val="1"/>
      <w:numFmt w:val="none"/>
      <w:lvlText w:val="%7"/>
      <w:lvlJc w:val="left"/>
      <w:pPr>
        <w:tabs>
          <w:tab w:val="num" w:pos="0"/>
        </w:tabs>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66" w15:restartNumberingAfterBreak="0">
    <w:nsid w:val="65B76299"/>
    <w:multiLevelType w:val="multilevel"/>
    <w:tmpl w:val="08090023"/>
    <w:styleLink w:val="ArticleSection"/>
    <w:lvl w:ilvl="0">
      <w:start w:val="1"/>
      <w:numFmt w:val="upperRoman"/>
      <w:lvlText w:val="Article %1."/>
      <w:lvlJc w:val="left"/>
      <w:pPr>
        <w:ind w:left="0" w:firstLine="0"/>
      </w:pPr>
      <w:rPr>
        <w:rFonts w:cs="Times New Roman"/>
        <w:bCs w:val="0"/>
        <w:iCs w:val="0"/>
        <w:szCs w:val="20"/>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7" w15:restartNumberingAfterBreak="0">
    <w:nsid w:val="65E37142"/>
    <w:multiLevelType w:val="hybridMultilevel"/>
    <w:tmpl w:val="B5CCDDEE"/>
    <w:lvl w:ilvl="0" w:tplc="FFFFFFFF">
      <w:start w:val="1"/>
      <w:numFmt w:val="bullet"/>
      <w:pStyle w:val="TableTextDotPoint"/>
      <w:lvlText w:val=""/>
      <w:lvlJc w:val="left"/>
      <w:pPr>
        <w:tabs>
          <w:tab w:val="num" w:pos="1074"/>
        </w:tabs>
        <w:ind w:left="1074"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66F0539B"/>
    <w:multiLevelType w:val="multilevel"/>
    <w:tmpl w:val="4D96EFB6"/>
    <w:styleLink w:val="aaTableListBulletssmall"/>
    <w:lvl w:ilvl="0">
      <w:start w:val="1"/>
      <w:numFmt w:val="bullet"/>
      <w:lvlText w:val="–"/>
      <w:lvlJc w:val="left"/>
      <w:pPr>
        <w:ind w:left="278" w:hanging="278"/>
      </w:pPr>
      <w:rPr>
        <w:rFonts w:ascii="Arial Narrow" w:hAnsi="Arial Narrow" w:hint="default"/>
      </w:rPr>
    </w:lvl>
    <w:lvl w:ilvl="1">
      <w:start w:val="1"/>
      <w:numFmt w:val="bullet"/>
      <w:lvlText w:val="–"/>
      <w:lvlJc w:val="left"/>
      <w:pPr>
        <w:tabs>
          <w:tab w:val="num" w:pos="278"/>
        </w:tabs>
        <w:ind w:left="522" w:hanging="244"/>
      </w:pPr>
      <w:rPr>
        <w:rFonts w:ascii="Arial Narrow" w:hAnsi="Arial Narrow" w:hint="default"/>
      </w:rPr>
    </w:lvl>
    <w:lvl w:ilvl="2">
      <w:start w:val="1"/>
      <w:numFmt w:val="bullet"/>
      <w:lvlText w:val="–"/>
      <w:lvlJc w:val="left"/>
      <w:pPr>
        <w:ind w:left="760" w:hanging="238"/>
      </w:pPr>
      <w:rPr>
        <w:rFonts w:ascii="Arial Narrow" w:hAnsi="Arial Narrow"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9" w15:restartNumberingAfterBreak="0">
    <w:nsid w:val="699F57EA"/>
    <w:multiLevelType w:val="multilevel"/>
    <w:tmpl w:val="CE66BE7A"/>
    <w:numStyleLink w:val="aaclstStyleListNumber"/>
  </w:abstractNum>
  <w:abstractNum w:abstractNumId="70" w15:restartNumberingAfterBreak="0">
    <w:nsid w:val="6C1241DF"/>
    <w:multiLevelType w:val="multilevel"/>
    <w:tmpl w:val="30CC873A"/>
    <w:lvl w:ilvl="0">
      <w:start w:val="1"/>
      <w:numFmt w:val="bullet"/>
      <w:lvlText w:val="—"/>
      <w:lvlJc w:val="left"/>
      <w:pPr>
        <w:ind w:left="420" w:hanging="420"/>
      </w:pPr>
      <w:rPr>
        <w:rFonts w:ascii="Arial Narrow" w:hAnsi="Arial Narrow" w:hint="default"/>
      </w:rPr>
    </w:lvl>
    <w:lvl w:ilvl="1">
      <w:start w:val="1"/>
      <w:numFmt w:val="bullet"/>
      <w:lvlText w:val="―"/>
      <w:lvlJc w:val="left"/>
      <w:pPr>
        <w:ind w:left="780" w:hanging="360"/>
      </w:pPr>
      <w:rPr>
        <w:rFonts w:ascii="Arial Narrow" w:hAnsi="Arial Narrow" w:hint="default"/>
      </w:rPr>
    </w:lvl>
    <w:lvl w:ilvl="2">
      <w:start w:val="1"/>
      <w:numFmt w:val="bullet"/>
      <w:lvlText w:val="−"/>
      <w:lvlJc w:val="left"/>
      <w:pPr>
        <w:ind w:left="1140" w:hanging="360"/>
      </w:pPr>
      <w:rPr>
        <w:rFonts w:ascii="Arial Narrow" w:hAnsi="Arial Narrow" w:hint="default"/>
      </w:rPr>
    </w:lvl>
    <w:lvl w:ilvl="3">
      <w:start w:val="1"/>
      <w:numFmt w:val="none"/>
      <w:lvlText w:val=""/>
      <w:lvlJc w:val="left"/>
      <w:pPr>
        <w:ind w:left="1428" w:hanging="357"/>
      </w:pPr>
    </w:lvl>
    <w:lvl w:ilvl="4">
      <w:start w:val="1"/>
      <w:numFmt w:val="none"/>
      <w:lvlText w:val=""/>
      <w:lvlJc w:val="left"/>
      <w:pPr>
        <w:ind w:left="1785" w:hanging="357"/>
      </w:pPr>
    </w:lvl>
    <w:lvl w:ilvl="5">
      <w:start w:val="1"/>
      <w:numFmt w:val="none"/>
      <w:lvlText w:val=""/>
      <w:lvlJc w:val="left"/>
      <w:pPr>
        <w:ind w:left="2142" w:hanging="357"/>
      </w:pPr>
    </w:lvl>
    <w:lvl w:ilvl="6">
      <w:start w:val="1"/>
      <w:numFmt w:val="none"/>
      <w:lvlText w:val=""/>
      <w:lvlJc w:val="left"/>
      <w:pPr>
        <w:ind w:left="2499" w:hanging="357"/>
      </w:pPr>
    </w:lvl>
    <w:lvl w:ilvl="7">
      <w:start w:val="1"/>
      <w:numFmt w:val="none"/>
      <w:lvlText w:val=""/>
      <w:lvlJc w:val="left"/>
      <w:pPr>
        <w:ind w:left="2856" w:hanging="357"/>
      </w:pPr>
    </w:lvl>
    <w:lvl w:ilvl="8">
      <w:start w:val="1"/>
      <w:numFmt w:val="none"/>
      <w:lvlText w:val=""/>
      <w:lvlJc w:val="left"/>
      <w:pPr>
        <w:ind w:left="3213" w:hanging="357"/>
      </w:pPr>
    </w:lvl>
  </w:abstractNum>
  <w:abstractNum w:abstractNumId="71" w15:restartNumberingAfterBreak="0">
    <w:nsid w:val="6C4F5D67"/>
    <w:multiLevelType w:val="multilevel"/>
    <w:tmpl w:val="6EF2A01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pStyle w:val="TableBullet1"/>
      <w:lvlText w:val="•"/>
      <w:lvlJc w:val="left"/>
      <w:pPr>
        <w:tabs>
          <w:tab w:val="num" w:pos="360"/>
        </w:tabs>
        <w:ind w:left="360" w:hanging="360"/>
      </w:pPr>
      <w:rPr>
        <w:rFonts w:ascii="Arial" w:hAnsi="Arial" w:cs="Arial"/>
      </w:rPr>
    </w:lvl>
    <w:lvl w:ilvl="5">
      <w:start w:val="1"/>
      <w:numFmt w:val="lowerRoman"/>
      <w:pStyle w:val="TableBullet2"/>
      <w:lvlText w:val="─"/>
      <w:lvlJc w:val="left"/>
      <w:pPr>
        <w:tabs>
          <w:tab w:val="num" w:pos="720"/>
        </w:tabs>
        <w:ind w:left="720" w:hanging="360"/>
      </w:pPr>
      <w:rPr>
        <w:rFonts w:ascii="Arial" w:hAnsi="Arial" w:cs="Arial"/>
      </w:rPr>
    </w:lvl>
    <w:lvl w:ilvl="6">
      <w:start w:val="1"/>
      <w:numFmt w:val="decimal"/>
      <w:pStyle w:val="TableBullet3"/>
      <w:lvlText w:val="−"/>
      <w:lvlJc w:val="left"/>
      <w:pPr>
        <w:tabs>
          <w:tab w:val="num" w:pos="1080"/>
        </w:tabs>
        <w:ind w:left="1080" w:hanging="360"/>
      </w:pPr>
      <w:rPr>
        <w:rFonts w:ascii="Arial" w:hAnsi="Arial" w:cs="Arial"/>
      </w:rPr>
    </w:lvl>
    <w:lvl w:ilvl="7">
      <w:start w:val="1"/>
      <w:numFmt w:val="lowerLetter"/>
      <w:pStyle w:val="TableBullet4"/>
      <w:lvlText w:val="−"/>
      <w:lvlJc w:val="left"/>
      <w:pPr>
        <w:tabs>
          <w:tab w:val="num" w:pos="1440"/>
        </w:tabs>
        <w:ind w:left="1440" w:hanging="360"/>
      </w:pPr>
      <w:rPr>
        <w:rFonts w:ascii="Arial" w:hAnsi="Arial" w:cs="Arial"/>
      </w:rPr>
    </w:lvl>
    <w:lvl w:ilvl="8">
      <w:start w:val="1"/>
      <w:numFmt w:val="lowerRoman"/>
      <w:lvlText w:val="%9."/>
      <w:lvlJc w:val="left"/>
      <w:pPr>
        <w:tabs>
          <w:tab w:val="num" w:pos="3240"/>
        </w:tabs>
        <w:ind w:left="3240" w:hanging="360"/>
      </w:pPr>
    </w:lvl>
  </w:abstractNum>
  <w:abstractNum w:abstractNumId="72" w15:restartNumberingAfterBreak="0">
    <w:nsid w:val="6FBA75CE"/>
    <w:multiLevelType w:val="multilevel"/>
    <w:tmpl w:val="9B581B1C"/>
    <w:lvl w:ilvl="0">
      <w:start w:val="1"/>
      <w:numFmt w:val="decimal"/>
      <w:pStyle w:val="LegalScheduleLevel1"/>
      <w:lvlText w:val="%1."/>
      <w:lvlJc w:val="left"/>
      <w:pPr>
        <w:tabs>
          <w:tab w:val="num" w:pos="851"/>
        </w:tabs>
        <w:ind w:left="851" w:hanging="851"/>
      </w:pPr>
      <w:rPr>
        <w:rFonts w:ascii="Arial Bold" w:hAnsi="Arial Bold" w:hint="default"/>
        <w:b/>
        <w:i w:val="0"/>
        <w:sz w:val="20"/>
        <w:szCs w:val="24"/>
      </w:rPr>
    </w:lvl>
    <w:lvl w:ilvl="1">
      <w:start w:val="1"/>
      <w:numFmt w:val="decimal"/>
      <w:pStyle w:val="LegalScheduleLevel2"/>
      <w:lvlText w:val="%1.%2"/>
      <w:lvlJc w:val="left"/>
      <w:pPr>
        <w:tabs>
          <w:tab w:val="num" w:pos="851"/>
        </w:tabs>
        <w:ind w:left="851" w:hanging="851"/>
      </w:pPr>
      <w:rPr>
        <w:rFonts w:ascii="Arial" w:hAnsi="Arial" w:hint="default"/>
        <w:b/>
        <w:i w:val="0"/>
        <w:sz w:val="24"/>
      </w:rPr>
    </w:lvl>
    <w:lvl w:ilvl="2">
      <w:start w:val="3"/>
      <w:numFmt w:val="lowerLetter"/>
      <w:lvlText w:val="(%3)"/>
      <w:lvlJc w:val="left"/>
      <w:pPr>
        <w:tabs>
          <w:tab w:val="num" w:pos="1418"/>
        </w:tabs>
        <w:ind w:left="1418" w:hanging="567"/>
      </w:pPr>
      <w:rPr>
        <w:rFonts w:hint="default"/>
        <w:b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Roman"/>
      <w:pStyle w:val="LegalScheduleLevel4"/>
      <w:lvlText w:val="(%4)"/>
      <w:lvlJc w:val="left"/>
      <w:pPr>
        <w:tabs>
          <w:tab w:val="num" w:pos="1560"/>
        </w:tabs>
        <w:ind w:left="1560" w:hanging="567"/>
      </w:pPr>
      <w:rPr>
        <w:rFonts w:ascii="Arial" w:hAnsi="Arial" w:hint="default"/>
        <w:b w:val="0"/>
        <w:i w:val="0"/>
        <w:sz w:val="20"/>
        <w:szCs w:val="20"/>
      </w:rPr>
    </w:lvl>
    <w:lvl w:ilvl="4">
      <w:start w:val="1"/>
      <w:numFmt w:val="upperLetter"/>
      <w:pStyle w:val="LegalScheduleLevel5"/>
      <w:lvlText w:val="(%5)"/>
      <w:lvlJc w:val="left"/>
      <w:pPr>
        <w:tabs>
          <w:tab w:val="num" w:pos="2552"/>
        </w:tabs>
        <w:ind w:left="2552" w:hanging="567"/>
      </w:pPr>
      <w:rPr>
        <w:rFonts w:ascii="Arial" w:hAnsi="Arial" w:hint="default"/>
        <w:b w:val="0"/>
        <w:i w:val="0"/>
        <w:sz w:val="20"/>
        <w:szCs w:val="20"/>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730424CB"/>
    <w:multiLevelType w:val="multilevel"/>
    <w:tmpl w:val="145205FC"/>
    <w:numStyleLink w:val="aaReportListDash"/>
  </w:abstractNum>
  <w:abstractNum w:abstractNumId="74" w15:restartNumberingAfterBreak="0">
    <w:nsid w:val="748F675D"/>
    <w:multiLevelType w:val="multilevel"/>
    <w:tmpl w:val="387A0020"/>
    <w:name w:val="ParagraphNumbering2"/>
    <w:styleLink w:val="ParagraphNumbering"/>
    <w:lvl w:ilvl="0">
      <w:start w:val="1"/>
      <w:numFmt w:val="decimal"/>
      <w:lvlText w:val="%1."/>
      <w:lvlJc w:val="left"/>
      <w:pPr>
        <w:ind w:left="360" w:hanging="360"/>
      </w:pPr>
      <w:rPr>
        <w:rFonts w:asciiTheme="minorHAnsi" w:eastAsiaTheme="minorEastAsia" w:hAnsiTheme="minorHAnsi" w:cstheme="minorBidi" w:hint="default"/>
        <w:bCs w:val="0"/>
        <w:iCs w:val="0"/>
        <w:szCs w:val="20"/>
      </w:rPr>
    </w:lvl>
    <w:lvl w:ilvl="1">
      <w:start w:val="1"/>
      <w:numFmt w:val="lowerLetter"/>
      <w:lvlText w:val="%2)"/>
      <w:lvlJc w:val="left"/>
      <w:pPr>
        <w:ind w:left="360" w:hanging="360"/>
      </w:pPr>
    </w:lvl>
    <w:lvl w:ilvl="2">
      <w:start w:val="1"/>
      <w:numFmt w:val="lowerRoman"/>
      <w:lvlText w:val="%3)"/>
      <w:lvlJc w:val="left"/>
      <w:pPr>
        <w:ind w:left="360" w:hanging="360"/>
      </w:pPr>
    </w:lvl>
    <w:lvl w:ilvl="3">
      <w:start w:val="1"/>
      <w:numFmt w:val="decimal"/>
      <w:lvlText w:val="(%4)"/>
      <w:lvlJc w:val="left"/>
      <w:pPr>
        <w:ind w:left="360" w:hanging="360"/>
      </w:pPr>
    </w:lvl>
    <w:lvl w:ilvl="4">
      <w:start w:val="1"/>
      <w:numFmt w:val="lowerLetter"/>
      <w:lvlText w:val="(%5)"/>
      <w:lvlJc w:val="left"/>
      <w:pPr>
        <w:ind w:left="360" w:hanging="360"/>
      </w:pPr>
    </w:lvl>
    <w:lvl w:ilvl="5">
      <w:start w:val="1"/>
      <w:numFmt w:val="lowerRoman"/>
      <w:lvlText w:val="(%6)"/>
      <w:lvlJc w:val="left"/>
      <w:pPr>
        <w:ind w:left="360" w:hanging="360"/>
      </w:pPr>
    </w:lvl>
    <w:lvl w:ilvl="6">
      <w:start w:val="1"/>
      <w:numFmt w:val="decimal"/>
      <w:lvlText w:val="%7."/>
      <w:lvlJc w:val="left"/>
      <w:pPr>
        <w:ind w:left="360" w:hanging="360"/>
      </w:pPr>
    </w:lvl>
    <w:lvl w:ilvl="7">
      <w:start w:val="1"/>
      <w:numFmt w:val="lowerLetter"/>
      <w:lvlText w:val="%8."/>
      <w:lvlJc w:val="left"/>
      <w:pPr>
        <w:ind w:left="360" w:hanging="360"/>
      </w:pPr>
    </w:lvl>
    <w:lvl w:ilvl="8">
      <w:start w:val="1"/>
      <w:numFmt w:val="lowerRoman"/>
      <w:lvlText w:val="%9."/>
      <w:lvlJc w:val="left"/>
      <w:pPr>
        <w:ind w:left="360" w:hanging="360"/>
      </w:pPr>
    </w:lvl>
  </w:abstractNum>
  <w:abstractNum w:abstractNumId="75" w15:restartNumberingAfterBreak="0">
    <w:nsid w:val="760A34A6"/>
    <w:multiLevelType w:val="multilevel"/>
    <w:tmpl w:val="30CC873A"/>
    <w:lvl w:ilvl="0">
      <w:start w:val="1"/>
      <w:numFmt w:val="bullet"/>
      <w:lvlText w:val="—"/>
      <w:lvlJc w:val="left"/>
      <w:pPr>
        <w:ind w:left="420" w:hanging="420"/>
      </w:pPr>
      <w:rPr>
        <w:rFonts w:ascii="Arial Narrow" w:hAnsi="Arial Narrow" w:hint="default"/>
      </w:rPr>
    </w:lvl>
    <w:lvl w:ilvl="1">
      <w:start w:val="1"/>
      <w:numFmt w:val="bullet"/>
      <w:lvlText w:val="―"/>
      <w:lvlJc w:val="left"/>
      <w:pPr>
        <w:ind w:left="780" w:hanging="360"/>
      </w:pPr>
      <w:rPr>
        <w:rFonts w:ascii="Arial Narrow" w:hAnsi="Arial Narrow" w:hint="default"/>
      </w:rPr>
    </w:lvl>
    <w:lvl w:ilvl="2">
      <w:start w:val="1"/>
      <w:numFmt w:val="bullet"/>
      <w:lvlText w:val="−"/>
      <w:lvlJc w:val="left"/>
      <w:pPr>
        <w:ind w:left="1140" w:hanging="360"/>
      </w:pPr>
      <w:rPr>
        <w:rFonts w:ascii="Arial Narrow" w:hAnsi="Arial Narrow" w:hint="default"/>
      </w:rPr>
    </w:lvl>
    <w:lvl w:ilvl="3">
      <w:start w:val="1"/>
      <w:numFmt w:val="none"/>
      <w:lvlText w:val=""/>
      <w:lvlJc w:val="left"/>
      <w:pPr>
        <w:ind w:left="1428" w:hanging="357"/>
      </w:pPr>
    </w:lvl>
    <w:lvl w:ilvl="4">
      <w:start w:val="1"/>
      <w:numFmt w:val="none"/>
      <w:lvlText w:val=""/>
      <w:lvlJc w:val="left"/>
      <w:pPr>
        <w:ind w:left="1785" w:hanging="357"/>
      </w:pPr>
    </w:lvl>
    <w:lvl w:ilvl="5">
      <w:start w:val="1"/>
      <w:numFmt w:val="none"/>
      <w:lvlText w:val=""/>
      <w:lvlJc w:val="left"/>
      <w:pPr>
        <w:ind w:left="2142" w:hanging="357"/>
      </w:pPr>
    </w:lvl>
    <w:lvl w:ilvl="6">
      <w:start w:val="1"/>
      <w:numFmt w:val="none"/>
      <w:lvlText w:val=""/>
      <w:lvlJc w:val="left"/>
      <w:pPr>
        <w:ind w:left="2499" w:hanging="357"/>
      </w:pPr>
    </w:lvl>
    <w:lvl w:ilvl="7">
      <w:start w:val="1"/>
      <w:numFmt w:val="none"/>
      <w:lvlText w:val=""/>
      <w:lvlJc w:val="left"/>
      <w:pPr>
        <w:ind w:left="2856" w:hanging="357"/>
      </w:pPr>
    </w:lvl>
    <w:lvl w:ilvl="8">
      <w:start w:val="1"/>
      <w:numFmt w:val="none"/>
      <w:lvlText w:val=""/>
      <w:lvlJc w:val="left"/>
      <w:pPr>
        <w:ind w:left="3213" w:hanging="357"/>
      </w:pPr>
    </w:lvl>
  </w:abstractNum>
  <w:abstractNum w:abstractNumId="76" w15:restartNumberingAfterBreak="0">
    <w:nsid w:val="79674208"/>
    <w:multiLevelType w:val="hybridMultilevel"/>
    <w:tmpl w:val="7DA0D3B2"/>
    <w:lvl w:ilvl="0" w:tplc="5C3CE47E">
      <w:start w:val="1"/>
      <w:numFmt w:val="decimal"/>
      <w:pStyle w:val="LegalParties"/>
      <w:lvlText w:val="%1."/>
      <w:lvlJc w:val="left"/>
      <w:pPr>
        <w:ind w:left="720" w:hanging="360"/>
      </w:pPr>
      <w:rPr>
        <w:rFonts w:ascii="Arial" w:hAnsi="Arial" w:hint="default"/>
        <w:b w:val="0"/>
        <w:i w:val="0"/>
        <w:sz w:val="22"/>
      </w:rPr>
    </w:lvl>
    <w:lvl w:ilvl="1" w:tplc="E9E81690" w:tentative="1">
      <w:start w:val="1"/>
      <w:numFmt w:val="lowerLetter"/>
      <w:lvlText w:val="%2."/>
      <w:lvlJc w:val="left"/>
      <w:pPr>
        <w:ind w:left="1440" w:hanging="360"/>
      </w:pPr>
    </w:lvl>
    <w:lvl w:ilvl="2" w:tplc="09EC2226" w:tentative="1">
      <w:start w:val="1"/>
      <w:numFmt w:val="lowerRoman"/>
      <w:lvlText w:val="%3."/>
      <w:lvlJc w:val="right"/>
      <w:pPr>
        <w:ind w:left="2160" w:hanging="180"/>
      </w:pPr>
    </w:lvl>
    <w:lvl w:ilvl="3" w:tplc="67B86598" w:tentative="1">
      <w:start w:val="1"/>
      <w:numFmt w:val="decimal"/>
      <w:lvlText w:val="%4."/>
      <w:lvlJc w:val="left"/>
      <w:pPr>
        <w:ind w:left="2880" w:hanging="360"/>
      </w:pPr>
    </w:lvl>
    <w:lvl w:ilvl="4" w:tplc="CF325E06" w:tentative="1">
      <w:start w:val="1"/>
      <w:numFmt w:val="lowerLetter"/>
      <w:lvlText w:val="%5."/>
      <w:lvlJc w:val="left"/>
      <w:pPr>
        <w:ind w:left="3600" w:hanging="360"/>
      </w:pPr>
    </w:lvl>
    <w:lvl w:ilvl="5" w:tplc="65086E7E" w:tentative="1">
      <w:start w:val="1"/>
      <w:numFmt w:val="lowerRoman"/>
      <w:lvlText w:val="%6."/>
      <w:lvlJc w:val="right"/>
      <w:pPr>
        <w:ind w:left="4320" w:hanging="180"/>
      </w:pPr>
    </w:lvl>
    <w:lvl w:ilvl="6" w:tplc="464638FC" w:tentative="1">
      <w:start w:val="1"/>
      <w:numFmt w:val="decimal"/>
      <w:lvlText w:val="%7."/>
      <w:lvlJc w:val="left"/>
      <w:pPr>
        <w:ind w:left="5040" w:hanging="360"/>
      </w:pPr>
    </w:lvl>
    <w:lvl w:ilvl="7" w:tplc="A7F4B398" w:tentative="1">
      <w:start w:val="1"/>
      <w:numFmt w:val="lowerLetter"/>
      <w:lvlText w:val="%8."/>
      <w:lvlJc w:val="left"/>
      <w:pPr>
        <w:ind w:left="5760" w:hanging="360"/>
      </w:pPr>
    </w:lvl>
    <w:lvl w:ilvl="8" w:tplc="428C84FC" w:tentative="1">
      <w:start w:val="1"/>
      <w:numFmt w:val="lowerRoman"/>
      <w:lvlText w:val="%9."/>
      <w:lvlJc w:val="right"/>
      <w:pPr>
        <w:ind w:left="6480" w:hanging="180"/>
      </w:pPr>
    </w:lvl>
  </w:abstractNum>
  <w:abstractNum w:abstractNumId="77" w15:restartNumberingAfterBreak="0">
    <w:nsid w:val="7AF83F35"/>
    <w:multiLevelType w:val="hybridMultilevel"/>
    <w:tmpl w:val="266ED1B2"/>
    <w:lvl w:ilvl="0" w:tplc="3ADC6B90">
      <w:start w:val="1"/>
      <w:numFmt w:val="bullet"/>
      <w:pStyle w:val="TableQuoteBulletsmall"/>
      <w:lvlText w:val="–"/>
      <w:lvlJc w:val="left"/>
      <w:pPr>
        <w:ind w:left="720" w:hanging="360"/>
      </w:pPr>
      <w:rPr>
        <w:rFonts w:ascii="Arial Narrow" w:hAnsi="Arial Narrow"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F291278"/>
    <w:multiLevelType w:val="multilevel"/>
    <w:tmpl w:val="2A9ADEF8"/>
    <w:styleLink w:val="aaReportListNumber"/>
    <w:lvl w:ilvl="0">
      <w:start w:val="1"/>
      <w:numFmt w:val="decimal"/>
      <w:lvlText w:val="%1."/>
      <w:lvlJc w:val="center"/>
      <w:pPr>
        <w:tabs>
          <w:tab w:val="num" w:pos="926"/>
        </w:tabs>
        <w:ind w:left="0" w:hanging="420"/>
      </w:pPr>
      <w:rPr>
        <w:rFonts w:hint="default"/>
      </w:rPr>
    </w:lvl>
    <w:lvl w:ilvl="1">
      <w:start w:val="1"/>
      <w:numFmt w:val="lowerLetter"/>
      <w:lvlText w:val="%2)"/>
      <w:lvlJc w:val="left"/>
      <w:pPr>
        <w:ind w:left="340" w:hanging="340"/>
      </w:pPr>
      <w:rPr>
        <w:rFonts w:hint="default"/>
      </w:rPr>
    </w:lvl>
    <w:lvl w:ilvl="2">
      <w:start w:val="1"/>
      <w:numFmt w:val="lowerRoman"/>
      <w:lvlText w:val="%3)"/>
      <w:lvlJc w:val="left"/>
      <w:pPr>
        <w:ind w:left="680" w:hanging="34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881863749">
    <w:abstractNumId w:val="3"/>
  </w:num>
  <w:num w:numId="2" w16cid:durableId="343631929">
    <w:abstractNumId w:val="2"/>
  </w:num>
  <w:num w:numId="3" w16cid:durableId="849759542">
    <w:abstractNumId w:val="1"/>
  </w:num>
  <w:num w:numId="4" w16cid:durableId="1563563071">
    <w:abstractNumId w:val="0"/>
  </w:num>
  <w:num w:numId="5" w16cid:durableId="1561330282">
    <w:abstractNumId w:val="55"/>
  </w:num>
  <w:num w:numId="6" w16cid:durableId="1156848185">
    <w:abstractNumId w:val="57"/>
  </w:num>
  <w:num w:numId="7" w16cid:durableId="988367319">
    <w:abstractNumId w:val="59"/>
  </w:num>
  <w:num w:numId="8" w16cid:durableId="2041978403">
    <w:abstractNumId w:val="69"/>
  </w:num>
  <w:num w:numId="9" w16cid:durableId="1439908192">
    <w:abstractNumId w:val="50"/>
  </w:num>
  <w:num w:numId="10" w16cid:durableId="1209413565">
    <w:abstractNumId w:val="33"/>
  </w:num>
  <w:num w:numId="11" w16cid:durableId="436675552">
    <w:abstractNumId w:val="6"/>
  </w:num>
  <w:num w:numId="12" w16cid:durableId="1973511859">
    <w:abstractNumId w:val="34"/>
  </w:num>
  <w:num w:numId="13" w16cid:durableId="466969716">
    <w:abstractNumId w:val="32"/>
  </w:num>
  <w:num w:numId="14" w16cid:durableId="64767974">
    <w:abstractNumId w:val="58"/>
  </w:num>
  <w:num w:numId="15" w16cid:durableId="150945997">
    <w:abstractNumId w:val="39"/>
  </w:num>
  <w:num w:numId="16" w16cid:durableId="1252160187">
    <w:abstractNumId w:val="12"/>
  </w:num>
  <w:num w:numId="17" w16cid:durableId="1094279691">
    <w:abstractNumId w:val="47"/>
  </w:num>
  <w:num w:numId="18" w16cid:durableId="513033469">
    <w:abstractNumId w:val="45"/>
  </w:num>
  <w:num w:numId="19" w16cid:durableId="1427531922">
    <w:abstractNumId w:val="13"/>
  </w:num>
  <w:num w:numId="20" w16cid:durableId="1694502889">
    <w:abstractNumId w:val="31"/>
  </w:num>
  <w:num w:numId="21" w16cid:durableId="311368448">
    <w:abstractNumId w:val="15"/>
  </w:num>
  <w:num w:numId="22" w16cid:durableId="154884330">
    <w:abstractNumId w:val="30"/>
  </w:num>
  <w:num w:numId="23" w16cid:durableId="1466703413">
    <w:abstractNumId w:val="42"/>
  </w:num>
  <w:num w:numId="24" w16cid:durableId="294339339">
    <w:abstractNumId w:val="24"/>
  </w:num>
  <w:num w:numId="25" w16cid:durableId="867639087">
    <w:abstractNumId w:val="37"/>
  </w:num>
  <w:num w:numId="26" w16cid:durableId="268660535">
    <w:abstractNumId w:val="49"/>
  </w:num>
  <w:num w:numId="27" w16cid:durableId="1823814970">
    <w:abstractNumId w:val="7"/>
  </w:num>
  <w:num w:numId="28" w16cid:durableId="1104957442">
    <w:abstractNumId w:val="19"/>
  </w:num>
  <w:num w:numId="29" w16cid:durableId="511190835">
    <w:abstractNumId w:val="25"/>
  </w:num>
  <w:num w:numId="30" w16cid:durableId="261381032">
    <w:abstractNumId w:val="17"/>
  </w:num>
  <w:num w:numId="31" w16cid:durableId="312686462">
    <w:abstractNumId w:val="62"/>
  </w:num>
  <w:num w:numId="32" w16cid:durableId="611480631">
    <w:abstractNumId w:val="60"/>
  </w:num>
  <w:num w:numId="33" w16cid:durableId="542251832">
    <w:abstractNumId w:val="63"/>
  </w:num>
  <w:num w:numId="34" w16cid:durableId="1453355144">
    <w:abstractNumId w:val="22"/>
  </w:num>
  <w:num w:numId="35" w16cid:durableId="1386106256">
    <w:abstractNumId w:val="77"/>
  </w:num>
  <w:num w:numId="36" w16cid:durableId="1211721808">
    <w:abstractNumId w:val="41"/>
  </w:num>
  <w:num w:numId="37" w16cid:durableId="136189803">
    <w:abstractNumId w:val="30"/>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97162104">
    <w:abstractNumId w:val="70"/>
  </w:num>
  <w:num w:numId="39" w16cid:durableId="2039043644">
    <w:abstractNumId w:val="51"/>
  </w:num>
  <w:num w:numId="40" w16cid:durableId="62027608">
    <w:abstractNumId w:val="54"/>
  </w:num>
  <w:num w:numId="41" w16cid:durableId="1293097139">
    <w:abstractNumId w:val="75"/>
  </w:num>
  <w:num w:numId="42" w16cid:durableId="1280338737">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358701377">
    <w:abstractNumId w:val="50"/>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615256889">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08668006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267426165">
    <w:abstractNumId w:val="5"/>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10440345">
    <w:abstractNumId w:val="52"/>
  </w:num>
  <w:num w:numId="48" w16cid:durableId="77235905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1910645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989942348">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79391958">
    <w:abstractNumId w:val="21"/>
  </w:num>
  <w:num w:numId="52" w16cid:durableId="1389299619">
    <w:abstractNumId w:val="56"/>
  </w:num>
  <w:num w:numId="53" w16cid:durableId="513498984">
    <w:abstractNumId w:val="64"/>
  </w:num>
  <w:num w:numId="54" w16cid:durableId="1868062527">
    <w:abstractNumId w:val="66"/>
  </w:num>
  <w:num w:numId="55" w16cid:durableId="903492861">
    <w:abstractNumId w:val="74"/>
  </w:num>
  <w:num w:numId="56" w16cid:durableId="47580108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628705832">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2105759459">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361782128">
    <w:abstractNumId w:val="5"/>
  </w:num>
  <w:num w:numId="60" w16cid:durableId="13437954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546288716">
    <w:abstractNumId w:val="36"/>
  </w:num>
  <w:num w:numId="62" w16cid:durableId="773940573">
    <w:abstractNumId w:val="35"/>
    <w:lvlOverride w:ilvl="0">
      <w:lvl w:ilvl="0">
        <w:start w:val="1"/>
        <w:numFmt w:val="upperLetter"/>
        <w:pStyle w:val="App-Heading1"/>
        <w:suff w:val="nothing"/>
        <w:lvlText w:val="%1"/>
        <w:lvlJc w:val="left"/>
        <w:pPr>
          <w:ind w:left="1080" w:hanging="1080"/>
        </w:pPr>
        <w:rPr>
          <w:rFonts w:hint="default"/>
        </w:rPr>
      </w:lvl>
    </w:lvlOverride>
  </w:num>
  <w:num w:numId="63" w16cid:durableId="1829200721">
    <w:abstractNumId w:val="40"/>
  </w:num>
  <w:num w:numId="64" w16cid:durableId="1541434336">
    <w:abstractNumId w:val="29"/>
  </w:num>
  <w:num w:numId="65" w16cid:durableId="931162708">
    <w:abstractNumId w:val="23"/>
  </w:num>
  <w:num w:numId="66" w16cid:durableId="1835758330">
    <w:abstractNumId w:val="16"/>
  </w:num>
  <w:num w:numId="67" w16cid:durableId="777069876">
    <w:abstractNumId w:val="27"/>
  </w:num>
  <w:num w:numId="68" w16cid:durableId="1888031218">
    <w:abstractNumId w:val="78"/>
  </w:num>
  <w:num w:numId="69" w16cid:durableId="796917818">
    <w:abstractNumId w:val="18"/>
  </w:num>
  <w:num w:numId="70" w16cid:durableId="1359697010">
    <w:abstractNumId w:val="43"/>
  </w:num>
  <w:num w:numId="71" w16cid:durableId="1768965923">
    <w:abstractNumId w:val="8"/>
  </w:num>
  <w:num w:numId="72" w16cid:durableId="991953674">
    <w:abstractNumId w:val="10"/>
  </w:num>
  <w:num w:numId="73" w16cid:durableId="1299914660">
    <w:abstractNumId w:val="73"/>
  </w:num>
  <w:num w:numId="74" w16cid:durableId="164128542">
    <w:abstractNumId w:val="68"/>
  </w:num>
  <w:num w:numId="75" w16cid:durableId="733311895">
    <w:abstractNumId w:val="46"/>
  </w:num>
  <w:num w:numId="76" w16cid:durableId="1176308130">
    <w:abstractNumId w:val="20"/>
  </w:num>
  <w:num w:numId="77" w16cid:durableId="933703214">
    <w:abstractNumId w:val="11"/>
  </w:num>
  <w:num w:numId="78" w16cid:durableId="1471050982">
    <w:abstractNumId w:val="26"/>
  </w:num>
  <w:num w:numId="79" w16cid:durableId="2014722914">
    <w:abstractNumId w:val="9"/>
  </w:num>
  <w:num w:numId="80" w16cid:durableId="1394624481">
    <w:abstractNumId w:val="44"/>
  </w:num>
  <w:num w:numId="81" w16cid:durableId="1000960784">
    <w:abstractNumId w:val="53"/>
  </w:num>
  <w:num w:numId="82" w16cid:durableId="154804235">
    <w:abstractNumId w:val="65"/>
  </w:num>
  <w:num w:numId="83" w16cid:durableId="1861165707">
    <w:abstractNumId w:val="61"/>
  </w:num>
  <w:num w:numId="84" w16cid:durableId="1500996545">
    <w:abstractNumId w:val="72"/>
  </w:num>
  <w:num w:numId="85" w16cid:durableId="651913061">
    <w:abstractNumId w:val="48"/>
  </w:num>
  <w:num w:numId="86" w16cid:durableId="1265726679">
    <w:abstractNumId w:val="76"/>
  </w:num>
  <w:num w:numId="87" w16cid:durableId="738789591">
    <w:abstractNumId w:val="14"/>
  </w:num>
  <w:num w:numId="88" w16cid:durableId="1128475003">
    <w:abstractNumId w:val="4"/>
  </w:num>
  <w:num w:numId="89" w16cid:durableId="205146513">
    <w:abstractNumId w:val="67"/>
  </w:num>
  <w:num w:numId="90" w16cid:durableId="1857579867">
    <w:abstractNumId w:val="50"/>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802583667">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882"/>
    <w:rsid w:val="00676882"/>
    <w:rsid w:val="008B35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10394"/>
  <w15:chartTrackingRefBased/>
  <w15:docId w15:val="{9F991DBA-1B8F-4420-BE53-53BC8E8CC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6882"/>
    <w:pPr>
      <w:spacing w:before="90" w:after="130" w:line="280" w:lineRule="atLeast"/>
    </w:pPr>
    <w:rPr>
      <w:rFonts w:ascii="Arial Narrow" w:hAnsi="Arial Narrow" w:cs="Arial"/>
    </w:rPr>
  </w:style>
  <w:style w:type="paragraph" w:styleId="Heading1">
    <w:name w:val="heading 1"/>
    <w:aliases w:val="Heading 1 Char1,Heading 1 Char Char,H1,h1,heading 1,Section Heading,(Chapter Nbr),Para1,Top 1,ParaLevel1,Level 1 Para,Level 1 Para1,Level 1 Para2,Level 1 Para3,Level 1 Para4,Level 1 Para11,Level 1 Para21,Level 1 Para31,Level 1 Para5,L1"/>
    <w:basedOn w:val="Normal"/>
    <w:next w:val="Normal"/>
    <w:link w:val="Heading1Char"/>
    <w:uiPriority w:val="9"/>
    <w:qFormat/>
    <w:rsid w:val="00676882"/>
    <w:pPr>
      <w:keepNext/>
      <w:keepLines/>
      <w:numPr>
        <w:numId w:val="12"/>
      </w:numPr>
      <w:spacing w:before="0" w:after="200" w:line="192" w:lineRule="auto"/>
      <w:outlineLvl w:val="0"/>
    </w:pPr>
    <w:rPr>
      <w:rFonts w:ascii="Yu Gothic Medium" w:eastAsiaTheme="majorEastAsia" w:hAnsi="Yu Gothic Medium"/>
      <w:color w:val="FFFEFF"/>
      <w:sz w:val="52"/>
      <w:szCs w:val="32"/>
    </w:rPr>
  </w:style>
  <w:style w:type="paragraph" w:styleId="Heading2">
    <w:name w:val="heading 2"/>
    <w:aliases w:val="h2,H2,Heading Two,CS Heading 2,Heading 2A,Alt+2,2,2m,h 2,Section,Level 2 Head,proj2,proj21,proj22,proj23,proj24,proj25,proj26,proj27,proj28,proj29,proj210,proj211,proj212,proj221,proj231,proj241,proj251,proj261,proj271,proj281,proj291,proj2101"/>
    <w:basedOn w:val="Normal"/>
    <w:next w:val="BodyText"/>
    <w:link w:val="Heading2Char"/>
    <w:uiPriority w:val="9"/>
    <w:unhideWhenUsed/>
    <w:qFormat/>
    <w:rsid w:val="00676882"/>
    <w:pPr>
      <w:keepNext/>
      <w:keepLines/>
      <w:numPr>
        <w:ilvl w:val="1"/>
        <w:numId w:val="12"/>
      </w:numPr>
      <w:pBdr>
        <w:bottom w:val="single" w:sz="4" w:space="0" w:color="6C3E99"/>
        <w:between w:val="single" w:sz="4" w:space="1" w:color="6C3E99"/>
      </w:pBdr>
      <w:spacing w:before="240" w:after="216"/>
      <w:outlineLvl w:val="1"/>
    </w:pPr>
    <w:rPr>
      <w:rFonts w:eastAsiaTheme="majorEastAsia"/>
      <w:b/>
      <w:color w:val="6C3E99"/>
      <w:sz w:val="28"/>
      <w:szCs w:val="26"/>
    </w:rPr>
  </w:style>
  <w:style w:type="paragraph" w:styleId="Heading3">
    <w:name w:val="heading 3"/>
    <w:aliases w:val="heading 3 Char Char,H3,heading 3,h3,Level 1 - 1,Para3,(3),Numbered - 3,Sub-heading,(Appendix Nbr),H31,Presentation To,List Heading,- Side,3rd Main head,sl3,Heading 3under,- Maj Side,Mi,Minor,Headline,h31,3,Titre 3,CS Heading 3,Normal Numbered"/>
    <w:basedOn w:val="Normal"/>
    <w:next w:val="BodyText"/>
    <w:link w:val="Heading3Char"/>
    <w:uiPriority w:val="9"/>
    <w:unhideWhenUsed/>
    <w:qFormat/>
    <w:rsid w:val="00676882"/>
    <w:pPr>
      <w:keepNext/>
      <w:keepLines/>
      <w:numPr>
        <w:ilvl w:val="2"/>
        <w:numId w:val="12"/>
      </w:numPr>
      <w:pBdr>
        <w:bottom w:val="single" w:sz="4" w:space="0" w:color="000100"/>
        <w:between w:val="single" w:sz="4" w:space="1" w:color="000100"/>
      </w:pBdr>
      <w:spacing w:before="240" w:after="160" w:line="240" w:lineRule="atLeast"/>
      <w:outlineLvl w:val="2"/>
    </w:pPr>
    <w:rPr>
      <w:rFonts w:eastAsiaTheme="majorEastAsia"/>
      <w:b/>
      <w:color w:val="000100"/>
      <w:szCs w:val="24"/>
    </w:rPr>
  </w:style>
  <w:style w:type="paragraph" w:styleId="Heading4">
    <w:name w:val="heading 4"/>
    <w:aliases w:val="h4,heading 4 Char Char,heading 4 Char,heading 4,Level 2 - a,4m,VS4,Heading 4 Char1 Char,Heading 4 Char Char Char,(i),i Char,Heading 41,h41,heading 4 Char Char Char Char Char,Minor Heading"/>
    <w:basedOn w:val="Normal"/>
    <w:next w:val="BodyText"/>
    <w:link w:val="Heading4Char"/>
    <w:uiPriority w:val="9"/>
    <w:unhideWhenUsed/>
    <w:qFormat/>
    <w:rsid w:val="00676882"/>
    <w:pPr>
      <w:keepNext/>
      <w:keepLines/>
      <w:numPr>
        <w:ilvl w:val="3"/>
        <w:numId w:val="12"/>
      </w:numPr>
      <w:spacing w:before="240" w:after="160" w:line="240" w:lineRule="atLeast"/>
      <w:outlineLvl w:val="3"/>
    </w:pPr>
    <w:rPr>
      <w:rFonts w:eastAsiaTheme="majorEastAsia"/>
      <w:b/>
      <w:iCs/>
      <w:color w:val="000100"/>
    </w:rPr>
  </w:style>
  <w:style w:type="paragraph" w:styleId="Heading5">
    <w:name w:val="heading 5"/>
    <w:aliases w:val="h5,Block Label,H5,Appendix,Heading 5 StGeorge,Level 3 - i,Level 5,L5,l5+toc5,(A),heading 5,heading 5 Char,h5 Char Char Char Char Char Char Char,Further Points"/>
    <w:basedOn w:val="Normal"/>
    <w:next w:val="BodyText"/>
    <w:link w:val="Heading5Char"/>
    <w:uiPriority w:val="9"/>
    <w:unhideWhenUsed/>
    <w:qFormat/>
    <w:rsid w:val="00676882"/>
    <w:pPr>
      <w:keepNext/>
      <w:keepLines/>
      <w:numPr>
        <w:ilvl w:val="4"/>
        <w:numId w:val="12"/>
      </w:numPr>
      <w:spacing w:before="240" w:after="160" w:line="240" w:lineRule="atLeast"/>
      <w:outlineLvl w:val="4"/>
    </w:pPr>
    <w:rPr>
      <w:rFonts w:eastAsiaTheme="majorEastAsia"/>
      <w:b/>
      <w:i/>
      <w:color w:val="000100"/>
    </w:rPr>
  </w:style>
  <w:style w:type="paragraph" w:styleId="Heading6">
    <w:name w:val="heading 6"/>
    <w:aliases w:val="L6,Legal Level 1.,sub-dash,5,Spare2,Para6,Level 1,CS Heading 6,H6,h6,heading 6"/>
    <w:basedOn w:val="Normal"/>
    <w:next w:val="BodyText"/>
    <w:link w:val="Heading6Char"/>
    <w:uiPriority w:val="9"/>
    <w:unhideWhenUsed/>
    <w:qFormat/>
    <w:rsid w:val="00676882"/>
    <w:pPr>
      <w:keepNext/>
      <w:keepLines/>
      <w:numPr>
        <w:ilvl w:val="5"/>
        <w:numId w:val="12"/>
      </w:numPr>
      <w:spacing w:before="240" w:after="160" w:line="240" w:lineRule="atLeast"/>
      <w:outlineLvl w:val="5"/>
    </w:pPr>
    <w:rPr>
      <w:rFonts w:eastAsiaTheme="majorEastAsia"/>
      <w:b/>
      <w:i/>
      <w:color w:val="7B7B7B" w:themeColor="accent3" w:themeShade="BF"/>
    </w:rPr>
  </w:style>
  <w:style w:type="paragraph" w:styleId="Heading7">
    <w:name w:val="heading 7"/>
    <w:basedOn w:val="Normal-nospace"/>
    <w:next w:val="BodyText"/>
    <w:link w:val="Heading7Char"/>
    <w:uiPriority w:val="9"/>
    <w:unhideWhenUsed/>
    <w:qFormat/>
    <w:rsid w:val="00676882"/>
    <w:pPr>
      <w:keepNext/>
      <w:keepLines/>
      <w:spacing w:after="200" w:line="192" w:lineRule="auto"/>
      <w:outlineLvl w:val="6"/>
    </w:pPr>
    <w:rPr>
      <w:rFonts w:ascii="Yu Gothic Medium" w:eastAsiaTheme="majorEastAsia" w:hAnsi="Yu Gothic Medium"/>
      <w:iCs/>
      <w:color w:val="FFFEFF"/>
      <w:sz w:val="52"/>
    </w:rPr>
  </w:style>
  <w:style w:type="paragraph" w:styleId="Heading8">
    <w:name w:val="heading 8"/>
    <w:basedOn w:val="Normal"/>
    <w:next w:val="BodyText"/>
    <w:link w:val="Heading8Char"/>
    <w:uiPriority w:val="9"/>
    <w:qFormat/>
    <w:rsid w:val="00676882"/>
    <w:pPr>
      <w:keepNext/>
      <w:keepLines/>
      <w:pBdr>
        <w:bottom w:val="single" w:sz="4" w:space="0" w:color="6C3E99"/>
        <w:between w:val="single" w:sz="4" w:space="1" w:color="6C3E99"/>
      </w:pBdr>
      <w:spacing w:before="240" w:after="216"/>
      <w:outlineLvl w:val="7"/>
    </w:pPr>
    <w:rPr>
      <w:rFonts w:eastAsiaTheme="majorEastAsia"/>
      <w:b/>
      <w:color w:val="6C3E99"/>
      <w:sz w:val="28"/>
      <w:szCs w:val="21"/>
    </w:rPr>
  </w:style>
  <w:style w:type="paragraph" w:styleId="Heading9">
    <w:name w:val="heading 9"/>
    <w:basedOn w:val="Normal-nospace"/>
    <w:link w:val="Heading9Char"/>
    <w:uiPriority w:val="9"/>
    <w:qFormat/>
    <w:rsid w:val="00676882"/>
    <w:pPr>
      <w:keepNext/>
      <w:keepLines/>
      <w:numPr>
        <w:numId w:val="32"/>
      </w:numPr>
      <w:pBdr>
        <w:between w:val="single" w:sz="4" w:space="1" w:color="auto"/>
      </w:pBdr>
      <w:spacing w:line="240" w:lineRule="auto"/>
      <w:outlineLvl w:val="8"/>
    </w:pPr>
    <w:rPr>
      <w:rFonts w:eastAsiaTheme="majorEastAsia"/>
      <w:b/>
      <w:iCs/>
      <w:color w:val="140134"/>
      <w:sz w:val="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Char1 Char,Heading 1 Char Char Char,H1 Char,h1 Char,heading 1 Char,Section Heading Char,(Chapter Nbr) Char,Para1 Char,Top 1 Char,ParaLevel1 Char,Level 1 Para Char,Level 1 Para1 Char,Level 1 Para2 Char,Level 1 Para3 Char,L1 Char"/>
    <w:basedOn w:val="DefaultParagraphFont"/>
    <w:link w:val="Heading1"/>
    <w:uiPriority w:val="9"/>
    <w:rsid w:val="00676882"/>
    <w:rPr>
      <w:rFonts w:ascii="Yu Gothic Medium" w:eastAsiaTheme="majorEastAsia" w:hAnsi="Yu Gothic Medium" w:cs="Arial"/>
      <w:color w:val="FFFEFF"/>
      <w:sz w:val="52"/>
      <w:szCs w:val="32"/>
    </w:rPr>
  </w:style>
  <w:style w:type="character" w:customStyle="1" w:styleId="Heading2Char">
    <w:name w:val="Heading 2 Char"/>
    <w:aliases w:val="h2 Char,H2 Char,Heading Two Char,CS Heading 2 Char,Heading 2A Char,Alt+2 Char,2 Char,2m Char,h 2 Char,Section Char,Level 2 Head Char,proj2 Char,proj21 Char,proj22 Char,proj23 Char,proj24 Char,proj25 Char,proj26 Char,proj27 Char"/>
    <w:basedOn w:val="DefaultParagraphFont"/>
    <w:link w:val="Heading2"/>
    <w:uiPriority w:val="9"/>
    <w:rsid w:val="00676882"/>
    <w:rPr>
      <w:rFonts w:ascii="Arial Narrow" w:eastAsiaTheme="majorEastAsia" w:hAnsi="Arial Narrow" w:cs="Arial"/>
      <w:b/>
      <w:color w:val="6C3E99"/>
      <w:sz w:val="28"/>
      <w:szCs w:val="26"/>
    </w:rPr>
  </w:style>
  <w:style w:type="character" w:customStyle="1" w:styleId="Heading3Char">
    <w:name w:val="Heading 3 Char"/>
    <w:aliases w:val="heading 3 Char Char Char,H3 Char,heading 3 Char,h3 Char,Level 1 - 1 Char,Para3 Char,(3) Char,Numbered - 3 Char,Sub-heading Char,(Appendix Nbr) Char,H31 Char,Presentation To Char,List Heading Char,- Side Char,3rd Main head Char,sl3 Char"/>
    <w:basedOn w:val="DefaultParagraphFont"/>
    <w:link w:val="Heading3"/>
    <w:uiPriority w:val="9"/>
    <w:rsid w:val="00676882"/>
    <w:rPr>
      <w:rFonts w:ascii="Arial Narrow" w:eastAsiaTheme="majorEastAsia" w:hAnsi="Arial Narrow" w:cs="Arial"/>
      <w:b/>
      <w:color w:val="000100"/>
      <w:szCs w:val="24"/>
    </w:rPr>
  </w:style>
  <w:style w:type="character" w:customStyle="1" w:styleId="Heading4Char">
    <w:name w:val="Heading 4 Char"/>
    <w:aliases w:val="h4 Char,heading 4 Char Char Char,heading 4 Char Char1,heading 4 Char1,Level 2 - a Char,4m Char,VS4 Char,Heading 4 Char1 Char Char,Heading 4 Char Char Char Char,(i) Char,i Char Char,Heading 41 Char,h41 Char,Minor Heading Char"/>
    <w:basedOn w:val="DefaultParagraphFont"/>
    <w:link w:val="Heading4"/>
    <w:uiPriority w:val="9"/>
    <w:rsid w:val="00676882"/>
    <w:rPr>
      <w:rFonts w:ascii="Arial Narrow" w:eastAsiaTheme="majorEastAsia" w:hAnsi="Arial Narrow" w:cs="Arial"/>
      <w:b/>
      <w:iCs/>
      <w:color w:val="000100"/>
    </w:rPr>
  </w:style>
  <w:style w:type="character" w:customStyle="1" w:styleId="Heading5Char">
    <w:name w:val="Heading 5 Char"/>
    <w:aliases w:val="h5 Char,Block Label Char,H5 Char,Appendix Char,Heading 5 StGeorge Char,Level 3 - i Char,Level 5 Char,L5 Char,l5+toc5 Char,(A) Char,heading 5 Char1,heading 5 Char Char,h5 Char Char Char Char Char Char Char Char,Further Points Char"/>
    <w:basedOn w:val="DefaultParagraphFont"/>
    <w:link w:val="Heading5"/>
    <w:uiPriority w:val="9"/>
    <w:rsid w:val="00676882"/>
    <w:rPr>
      <w:rFonts w:ascii="Arial Narrow" w:eastAsiaTheme="majorEastAsia" w:hAnsi="Arial Narrow" w:cs="Arial"/>
      <w:b/>
      <w:i/>
      <w:color w:val="000100"/>
    </w:rPr>
  </w:style>
  <w:style w:type="character" w:customStyle="1" w:styleId="Heading6Char">
    <w:name w:val="Heading 6 Char"/>
    <w:aliases w:val="L6 Char,Legal Level 1. Char,sub-dash Char,5 Char,Spare2 Char,Para6 Char,Level 1 Char,CS Heading 6 Char,H6 Char,h6 Char,heading 6 Char"/>
    <w:basedOn w:val="DefaultParagraphFont"/>
    <w:link w:val="Heading6"/>
    <w:uiPriority w:val="9"/>
    <w:rsid w:val="00676882"/>
    <w:rPr>
      <w:rFonts w:ascii="Arial Narrow" w:eastAsiaTheme="majorEastAsia" w:hAnsi="Arial Narrow" w:cs="Arial"/>
      <w:b/>
      <w:i/>
      <w:color w:val="7B7B7B" w:themeColor="accent3" w:themeShade="BF"/>
    </w:rPr>
  </w:style>
  <w:style w:type="character" w:customStyle="1" w:styleId="Heading7Char">
    <w:name w:val="Heading 7 Char"/>
    <w:basedOn w:val="DefaultParagraphFont"/>
    <w:link w:val="Heading7"/>
    <w:uiPriority w:val="9"/>
    <w:rsid w:val="00676882"/>
    <w:rPr>
      <w:rFonts w:ascii="Yu Gothic Medium" w:eastAsiaTheme="majorEastAsia" w:hAnsi="Yu Gothic Medium" w:cs="Arial"/>
      <w:iCs/>
      <w:color w:val="FFFEFF"/>
      <w:sz w:val="52"/>
    </w:rPr>
  </w:style>
  <w:style w:type="character" w:customStyle="1" w:styleId="Heading8Char">
    <w:name w:val="Heading 8 Char"/>
    <w:basedOn w:val="DefaultParagraphFont"/>
    <w:link w:val="Heading8"/>
    <w:uiPriority w:val="9"/>
    <w:rsid w:val="00676882"/>
    <w:rPr>
      <w:rFonts w:ascii="Arial Narrow" w:eastAsiaTheme="majorEastAsia" w:hAnsi="Arial Narrow" w:cs="Arial"/>
      <w:b/>
      <w:color w:val="6C3E99"/>
      <w:sz w:val="28"/>
      <w:szCs w:val="21"/>
    </w:rPr>
  </w:style>
  <w:style w:type="character" w:customStyle="1" w:styleId="Heading9Char">
    <w:name w:val="Heading 9 Char"/>
    <w:basedOn w:val="DefaultParagraphFont"/>
    <w:link w:val="Heading9"/>
    <w:uiPriority w:val="9"/>
    <w:rsid w:val="00676882"/>
    <w:rPr>
      <w:rFonts w:ascii="Arial Narrow" w:eastAsiaTheme="majorEastAsia" w:hAnsi="Arial Narrow" w:cs="Arial"/>
      <w:b/>
      <w:iCs/>
      <w:color w:val="140134"/>
      <w:sz w:val="8"/>
      <w:szCs w:val="21"/>
    </w:rPr>
  </w:style>
  <w:style w:type="paragraph" w:styleId="BalloonText">
    <w:name w:val="Balloon Text"/>
    <w:basedOn w:val="Normal"/>
    <w:link w:val="BalloonTextChar"/>
    <w:uiPriority w:val="99"/>
    <w:unhideWhenUsed/>
    <w:rsid w:val="00676882"/>
    <w:pPr>
      <w:spacing w:after="0"/>
    </w:pPr>
    <w:rPr>
      <w:sz w:val="18"/>
      <w:szCs w:val="18"/>
    </w:rPr>
  </w:style>
  <w:style w:type="character" w:customStyle="1" w:styleId="BalloonTextChar">
    <w:name w:val="Balloon Text Char"/>
    <w:basedOn w:val="DefaultParagraphFont"/>
    <w:link w:val="BalloonText"/>
    <w:uiPriority w:val="99"/>
    <w:rsid w:val="00676882"/>
    <w:rPr>
      <w:rFonts w:ascii="Arial Narrow" w:hAnsi="Arial Narrow" w:cs="Arial"/>
      <w:sz w:val="18"/>
      <w:szCs w:val="18"/>
    </w:rPr>
  </w:style>
  <w:style w:type="paragraph" w:styleId="Bibliography">
    <w:name w:val="Bibliography"/>
    <w:basedOn w:val="Normal"/>
    <w:next w:val="Normal"/>
    <w:uiPriority w:val="37"/>
    <w:unhideWhenUsed/>
    <w:rsid w:val="00676882"/>
    <w:pPr>
      <w:spacing w:after="160" w:line="259" w:lineRule="auto"/>
    </w:pPr>
  </w:style>
  <w:style w:type="paragraph" w:styleId="BlockText">
    <w:name w:val="Block Text"/>
    <w:basedOn w:val="Normal"/>
    <w:uiPriority w:val="99"/>
    <w:unhideWhenUsed/>
    <w:rsid w:val="00676882"/>
    <w:pPr>
      <w:pBdr>
        <w:top w:val="single" w:sz="2" w:space="10" w:color="4472C4" w:themeColor="accent1"/>
        <w:left w:val="single" w:sz="2" w:space="10" w:color="4472C4" w:themeColor="accent1"/>
        <w:bottom w:val="single" w:sz="2" w:space="10" w:color="4472C4" w:themeColor="accent1"/>
        <w:right w:val="single" w:sz="2" w:space="10" w:color="4472C4" w:themeColor="accent1"/>
      </w:pBdr>
      <w:spacing w:after="160" w:line="259" w:lineRule="auto"/>
      <w:ind w:left="1152" w:right="1152"/>
    </w:pPr>
    <w:rPr>
      <w:rFonts w:eastAsiaTheme="minorEastAsia"/>
      <w:i/>
      <w:iCs/>
      <w:color w:val="4472C4" w:themeColor="accent1"/>
    </w:rPr>
  </w:style>
  <w:style w:type="paragraph" w:styleId="BodyText">
    <w:name w:val="Body Text"/>
    <w:aliases w:val="Body Text Char Char,Body Text Char2,Body Text Char2 Char Char1 Char,Body Text Char1 Char Char Char Char,Body Text Char2 Char Char1 Char Char Char Char Char,Body Text Char11 Char,Body Text Char Char1 Char,Body Text Char Char1,b,Body Text Char1"/>
    <w:basedOn w:val="Normal"/>
    <w:link w:val="BodyTextChar"/>
    <w:uiPriority w:val="99"/>
    <w:qFormat/>
    <w:rsid w:val="00676882"/>
  </w:style>
  <w:style w:type="character" w:customStyle="1" w:styleId="BodyTextChar">
    <w:name w:val="Body Text Char"/>
    <w:aliases w:val="Body Text Char Char Char,Body Text Char2 Char,Body Text Char2 Char Char1 Char Char,Body Text Char1 Char Char Char Char Char,Body Text Char2 Char Char1 Char Char Char Char Char Char,Body Text Char11 Char Char,Body Text Char Char1 Char Char"/>
    <w:basedOn w:val="DefaultParagraphFont"/>
    <w:link w:val="BodyText"/>
    <w:uiPriority w:val="99"/>
    <w:rsid w:val="00676882"/>
    <w:rPr>
      <w:rFonts w:ascii="Arial Narrow" w:hAnsi="Arial Narrow" w:cs="Arial"/>
    </w:rPr>
  </w:style>
  <w:style w:type="paragraph" w:styleId="BodyText2">
    <w:name w:val="Body Text 2"/>
    <w:basedOn w:val="Normal"/>
    <w:link w:val="BodyText2Char"/>
    <w:uiPriority w:val="99"/>
    <w:semiHidden/>
    <w:unhideWhenUsed/>
    <w:rsid w:val="00676882"/>
    <w:pPr>
      <w:spacing w:line="480" w:lineRule="auto"/>
    </w:pPr>
  </w:style>
  <w:style w:type="character" w:customStyle="1" w:styleId="BodyText2Char">
    <w:name w:val="Body Text 2 Char"/>
    <w:basedOn w:val="DefaultParagraphFont"/>
    <w:link w:val="BodyText2"/>
    <w:uiPriority w:val="99"/>
    <w:semiHidden/>
    <w:rsid w:val="00676882"/>
    <w:rPr>
      <w:rFonts w:ascii="Arial Narrow" w:hAnsi="Arial Narrow" w:cs="Arial"/>
    </w:rPr>
  </w:style>
  <w:style w:type="paragraph" w:styleId="BodyText3">
    <w:name w:val="Body Text 3"/>
    <w:basedOn w:val="Normal"/>
    <w:link w:val="BodyText3Char"/>
    <w:uiPriority w:val="99"/>
    <w:semiHidden/>
    <w:unhideWhenUsed/>
    <w:rsid w:val="00676882"/>
    <w:pPr>
      <w:spacing w:line="259" w:lineRule="auto"/>
    </w:pPr>
    <w:rPr>
      <w:sz w:val="16"/>
      <w:szCs w:val="16"/>
    </w:rPr>
  </w:style>
  <w:style w:type="character" w:customStyle="1" w:styleId="BodyText3Char">
    <w:name w:val="Body Text 3 Char"/>
    <w:basedOn w:val="DefaultParagraphFont"/>
    <w:link w:val="BodyText3"/>
    <w:uiPriority w:val="99"/>
    <w:semiHidden/>
    <w:rsid w:val="00676882"/>
    <w:rPr>
      <w:rFonts w:ascii="Arial Narrow" w:hAnsi="Arial Narrow" w:cs="Arial"/>
      <w:sz w:val="16"/>
      <w:szCs w:val="16"/>
    </w:rPr>
  </w:style>
  <w:style w:type="paragraph" w:styleId="BodyTextFirstIndent">
    <w:name w:val="Body Text First Indent"/>
    <w:basedOn w:val="BodyText"/>
    <w:link w:val="BodyTextFirstIndentChar"/>
    <w:uiPriority w:val="99"/>
    <w:unhideWhenUsed/>
    <w:qFormat/>
    <w:rsid w:val="00676882"/>
    <w:pPr>
      <w:spacing w:after="160"/>
      <w:ind w:firstLine="360"/>
    </w:pPr>
  </w:style>
  <w:style w:type="character" w:customStyle="1" w:styleId="BodyTextFirstIndentChar">
    <w:name w:val="Body Text First Indent Char"/>
    <w:basedOn w:val="BodyTextChar"/>
    <w:link w:val="BodyTextFirstIndent"/>
    <w:uiPriority w:val="99"/>
    <w:rsid w:val="00676882"/>
    <w:rPr>
      <w:rFonts w:ascii="Arial Narrow" w:hAnsi="Arial Narrow" w:cs="Arial"/>
    </w:rPr>
  </w:style>
  <w:style w:type="paragraph" w:styleId="BodyTextIndent">
    <w:name w:val="Body Text Indent"/>
    <w:basedOn w:val="Normal"/>
    <w:link w:val="BodyTextIndentChar"/>
    <w:uiPriority w:val="99"/>
    <w:unhideWhenUsed/>
    <w:qFormat/>
    <w:rsid w:val="00676882"/>
    <w:pPr>
      <w:spacing w:line="259" w:lineRule="auto"/>
      <w:ind w:left="283"/>
    </w:pPr>
  </w:style>
  <w:style w:type="character" w:customStyle="1" w:styleId="BodyTextIndentChar">
    <w:name w:val="Body Text Indent Char"/>
    <w:basedOn w:val="DefaultParagraphFont"/>
    <w:link w:val="BodyTextIndent"/>
    <w:uiPriority w:val="99"/>
    <w:rsid w:val="00676882"/>
    <w:rPr>
      <w:rFonts w:ascii="Arial Narrow" w:hAnsi="Arial Narrow" w:cs="Arial"/>
    </w:rPr>
  </w:style>
  <w:style w:type="paragraph" w:styleId="BodyTextFirstIndent2">
    <w:name w:val="Body Text First Indent 2"/>
    <w:basedOn w:val="BodyTextIndent"/>
    <w:link w:val="BodyTextFirstIndent2Char"/>
    <w:uiPriority w:val="99"/>
    <w:semiHidden/>
    <w:unhideWhenUsed/>
    <w:rsid w:val="00676882"/>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676882"/>
    <w:rPr>
      <w:rFonts w:ascii="Arial Narrow" w:hAnsi="Arial Narrow" w:cs="Arial"/>
    </w:rPr>
  </w:style>
  <w:style w:type="paragraph" w:styleId="BodyTextIndent2">
    <w:name w:val="Body Text Indent 2"/>
    <w:basedOn w:val="Normal"/>
    <w:link w:val="BodyTextIndent2Char"/>
    <w:uiPriority w:val="99"/>
    <w:semiHidden/>
    <w:unhideWhenUsed/>
    <w:rsid w:val="00676882"/>
    <w:pPr>
      <w:spacing w:line="480" w:lineRule="auto"/>
      <w:ind w:left="283"/>
    </w:pPr>
  </w:style>
  <w:style w:type="character" w:customStyle="1" w:styleId="BodyTextIndent2Char">
    <w:name w:val="Body Text Indent 2 Char"/>
    <w:basedOn w:val="DefaultParagraphFont"/>
    <w:link w:val="BodyTextIndent2"/>
    <w:uiPriority w:val="99"/>
    <w:semiHidden/>
    <w:rsid w:val="00676882"/>
    <w:rPr>
      <w:rFonts w:ascii="Arial Narrow" w:hAnsi="Arial Narrow" w:cs="Arial"/>
    </w:rPr>
  </w:style>
  <w:style w:type="paragraph" w:styleId="BodyTextIndent3">
    <w:name w:val="Body Text Indent 3"/>
    <w:basedOn w:val="Normal"/>
    <w:link w:val="BodyTextIndent3Char"/>
    <w:uiPriority w:val="99"/>
    <w:semiHidden/>
    <w:unhideWhenUsed/>
    <w:rsid w:val="00676882"/>
    <w:pPr>
      <w:spacing w:line="259" w:lineRule="auto"/>
      <w:ind w:left="283"/>
    </w:pPr>
    <w:rPr>
      <w:sz w:val="16"/>
      <w:szCs w:val="16"/>
    </w:rPr>
  </w:style>
  <w:style w:type="character" w:customStyle="1" w:styleId="BodyTextIndent3Char">
    <w:name w:val="Body Text Indent 3 Char"/>
    <w:basedOn w:val="DefaultParagraphFont"/>
    <w:link w:val="BodyTextIndent3"/>
    <w:uiPriority w:val="99"/>
    <w:semiHidden/>
    <w:rsid w:val="00676882"/>
    <w:rPr>
      <w:rFonts w:ascii="Arial Narrow" w:hAnsi="Arial Narrow" w:cs="Arial"/>
      <w:sz w:val="16"/>
      <w:szCs w:val="16"/>
    </w:rPr>
  </w:style>
  <w:style w:type="character" w:styleId="BookTitle">
    <w:name w:val="Book Title"/>
    <w:basedOn w:val="DefaultParagraphFont"/>
    <w:uiPriority w:val="33"/>
    <w:qFormat/>
    <w:rsid w:val="00676882"/>
    <w:rPr>
      <w:b/>
      <w:bCs/>
      <w:i/>
      <w:iCs/>
      <w:spacing w:val="5"/>
    </w:rPr>
  </w:style>
  <w:style w:type="paragraph" w:styleId="Caption">
    <w:name w:val="caption"/>
    <w:aliases w:val="Caption Char,Char1 Char Char,Char1 Char,Char1 Char Char Char,Char1 Char Char Char Char,Char Char,Caption Char Char Char,1,Char1,Char,Text Caption,minor heading,Caption Char Char Char Char Char,Caption1, Char1 Char Char, Char1 Char, Char Char"/>
    <w:basedOn w:val="Normal-nospace"/>
    <w:next w:val="BodyText"/>
    <w:link w:val="CaptionChar1"/>
    <w:uiPriority w:val="35"/>
    <w:unhideWhenUsed/>
    <w:qFormat/>
    <w:rsid w:val="00676882"/>
    <w:pPr>
      <w:keepNext/>
      <w:spacing w:after="120" w:line="240" w:lineRule="auto"/>
      <w:ind w:left="1179" w:hanging="1179"/>
    </w:pPr>
    <w:rPr>
      <w:iCs/>
      <w:szCs w:val="18"/>
    </w:rPr>
  </w:style>
  <w:style w:type="paragraph" w:styleId="Closing">
    <w:name w:val="Closing"/>
    <w:basedOn w:val="Normal"/>
    <w:link w:val="ClosingChar"/>
    <w:uiPriority w:val="99"/>
    <w:unhideWhenUsed/>
    <w:rsid w:val="00676882"/>
    <w:pPr>
      <w:spacing w:after="0"/>
      <w:ind w:left="4252"/>
    </w:pPr>
  </w:style>
  <w:style w:type="character" w:customStyle="1" w:styleId="ClosingChar">
    <w:name w:val="Closing Char"/>
    <w:basedOn w:val="DefaultParagraphFont"/>
    <w:link w:val="Closing"/>
    <w:uiPriority w:val="99"/>
    <w:rsid w:val="00676882"/>
    <w:rPr>
      <w:rFonts w:ascii="Arial Narrow" w:hAnsi="Arial Narrow" w:cs="Arial"/>
    </w:rPr>
  </w:style>
  <w:style w:type="table" w:styleId="ColorfulGrid">
    <w:name w:val="Colorful Grid"/>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1" w:themeFillTint="33"/>
    </w:tcPr>
    <w:tblStylePr w:type="firstRow">
      <w:rPr>
        <w:b/>
        <w:bCs/>
      </w:rPr>
      <w:tblPr/>
      <w:tcPr>
        <w:shd w:val="clear" w:color="auto" w:fill="B4C6E7" w:themeFill="accent1" w:themeFillTint="66"/>
      </w:tcPr>
    </w:tblStylePr>
    <w:tblStylePr w:type="lastRow">
      <w:rPr>
        <w:b/>
        <w:bCs/>
        <w:color w:val="000000" w:themeColor="text1"/>
      </w:rPr>
      <w:tblPr/>
      <w:tcPr>
        <w:shd w:val="clear" w:color="auto" w:fill="B4C6E7" w:themeFill="accent1" w:themeFillTint="66"/>
      </w:tcPr>
    </w:tblStylePr>
    <w:tblStylePr w:type="firstCol">
      <w:rPr>
        <w:color w:val="FFFFFF" w:themeColor="background1"/>
      </w:rPr>
      <w:tblPr/>
      <w:tcPr>
        <w:shd w:val="clear" w:color="auto" w:fill="2F5496" w:themeFill="accent1" w:themeFillShade="BF"/>
      </w:tcPr>
    </w:tblStylePr>
    <w:tblStylePr w:type="lastCol">
      <w:rPr>
        <w:color w:val="FFFFFF" w:themeColor="background1"/>
      </w:rPr>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ColorfulGrid-Accent2">
    <w:name w:val="Colorful Grid Accent 2"/>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ColorfulGrid-Accent3">
    <w:name w:val="Colorful Grid Accent 3"/>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olorfulGrid-Accent4">
    <w:name w:val="Colorful Grid Accent 4"/>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ColorfulGrid-Accent5">
    <w:name w:val="Colorful Grid Accent 5"/>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5" w:themeFillTint="33"/>
    </w:tcPr>
    <w:tblStylePr w:type="firstRow">
      <w:rPr>
        <w:b/>
        <w:bCs/>
      </w:rPr>
      <w:tblPr/>
      <w:tcPr>
        <w:shd w:val="clear" w:color="auto" w:fill="BDD6EE" w:themeFill="accent5" w:themeFillTint="66"/>
      </w:tcPr>
    </w:tblStylePr>
    <w:tblStylePr w:type="lastRow">
      <w:rPr>
        <w:b/>
        <w:bCs/>
        <w:color w:val="000000" w:themeColor="text1"/>
      </w:rPr>
      <w:tblPr/>
      <w:tcPr>
        <w:shd w:val="clear" w:color="auto" w:fill="BDD6EE" w:themeFill="accent5" w:themeFillTint="66"/>
      </w:tcPr>
    </w:tblStylePr>
    <w:tblStylePr w:type="firstCol">
      <w:rPr>
        <w:color w:val="FFFFFF" w:themeColor="background1"/>
      </w:rPr>
      <w:tblPr/>
      <w:tcPr>
        <w:shd w:val="clear" w:color="auto" w:fill="2E74B5" w:themeFill="accent5" w:themeFillShade="BF"/>
      </w:tcPr>
    </w:tblStylePr>
    <w:tblStylePr w:type="lastCol">
      <w:rPr>
        <w:color w:val="FFFFFF" w:themeColor="background1"/>
      </w:rPr>
      <w:tblPr/>
      <w:tcPr>
        <w:shd w:val="clear" w:color="auto" w:fill="2E74B5" w:themeFill="accent5" w:themeFillShade="BF"/>
      </w:tc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table" w:styleId="ColorfulGrid-Accent6">
    <w:name w:val="Colorful Grid Accent 6"/>
    <w:basedOn w:val="TableNormal"/>
    <w:uiPriority w:val="73"/>
    <w:unhideWhenUsed/>
    <w:rsid w:val="0067688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olorfulList">
    <w:name w:val="Colorful List"/>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ECF1F9"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1" w:themeFillTint="3F"/>
      </w:tcPr>
    </w:tblStylePr>
    <w:tblStylePr w:type="band1Horz">
      <w:tblPr/>
      <w:tcPr>
        <w:shd w:val="clear" w:color="auto" w:fill="D9E2F3" w:themeFill="accent1" w:themeFillTint="33"/>
      </w:tcPr>
    </w:tblStylePr>
  </w:style>
  <w:style w:type="table" w:styleId="ColorfulList-Accent2">
    <w:name w:val="Colorful List Accent 2"/>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ColorfulList-Accent3">
    <w:name w:val="Colorful List Accent 3"/>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ColorfulList-Accent4">
    <w:name w:val="Colorful List Accent 4"/>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ColorfulList-Accent5">
    <w:name w:val="Colorful List Accent 5"/>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EEF5FB"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5" w:themeFillTint="3F"/>
      </w:tcPr>
    </w:tblStylePr>
    <w:tblStylePr w:type="band1Horz">
      <w:tblPr/>
      <w:tcPr>
        <w:shd w:val="clear" w:color="auto" w:fill="DEEAF6" w:themeFill="accent5" w:themeFillTint="33"/>
      </w:tcPr>
    </w:tblStylePr>
  </w:style>
  <w:style w:type="table" w:styleId="ColorfulList-Accent6">
    <w:name w:val="Colorful List Accent 6"/>
    <w:basedOn w:val="TableNormal"/>
    <w:uiPriority w:val="72"/>
    <w:unhideWhenUsed/>
    <w:rsid w:val="00676882"/>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17CC1" w:themeFill="accent5" w:themeFillShade="CC"/>
      </w:tcPr>
    </w:tblStylePr>
    <w:tblStylePr w:type="lastRow">
      <w:rPr>
        <w:b/>
        <w:bCs/>
        <w:color w:val="317CC1"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
    <w:name w:val="Colorful Shading"/>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ED7D31" w:themeColor="accent2"/>
        <w:left w:val="single" w:sz="4" w:space="0" w:color="4472C4" w:themeColor="accent1"/>
        <w:bottom w:val="single" w:sz="4" w:space="0" w:color="4472C4" w:themeColor="accent1"/>
        <w:right w:val="single" w:sz="4" w:space="0" w:color="4472C4" w:themeColor="accent1"/>
        <w:insideH w:val="single" w:sz="4" w:space="0" w:color="FFFFFF" w:themeColor="background1"/>
        <w:insideV w:val="single" w:sz="4" w:space="0" w:color="FFFFFF" w:themeColor="background1"/>
      </w:tblBorders>
    </w:tblPr>
    <w:tcPr>
      <w:shd w:val="clear" w:color="auto" w:fill="ECF1F9"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1" w:themeFillShade="99"/>
      </w:tcPr>
    </w:tblStylePr>
    <w:tblStylePr w:type="firstCol">
      <w:rPr>
        <w:color w:val="FFFFFF" w:themeColor="background1"/>
      </w:rPr>
      <w:tblPr/>
      <w:tcPr>
        <w:tcBorders>
          <w:top w:val="nil"/>
          <w:left w:val="nil"/>
          <w:bottom w:val="nil"/>
          <w:right w:val="nil"/>
          <w:insideH w:val="single" w:sz="4" w:space="0" w:color="264378" w:themeColor="accent1" w:themeShade="99"/>
          <w:insideV w:val="nil"/>
        </w:tcBorders>
        <w:shd w:val="clear" w:color="auto" w:fill="26437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1" w:themeFillShade="99"/>
      </w:tcPr>
    </w:tblStylePr>
    <w:tblStylePr w:type="band1Vert">
      <w:tblPr/>
      <w:tcPr>
        <w:shd w:val="clear" w:color="auto" w:fill="B4C6E7" w:themeFill="accent1" w:themeFillTint="66"/>
      </w:tcPr>
    </w:tblStylePr>
    <w:tblStylePr w:type="band1Horz">
      <w:tblPr/>
      <w:tcPr>
        <w:shd w:val="clear" w:color="auto" w:fill="A1B8E1"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ColorfulShading-Accent4">
    <w:name w:val="Colorful Shading Accent 4"/>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70AD47" w:themeColor="accent6"/>
        <w:left w:val="single" w:sz="4" w:space="0" w:color="5B9BD5" w:themeColor="accent5"/>
        <w:bottom w:val="single" w:sz="4" w:space="0" w:color="5B9BD5" w:themeColor="accent5"/>
        <w:right w:val="single" w:sz="4" w:space="0" w:color="5B9BD5" w:themeColor="accent5"/>
        <w:insideH w:val="single" w:sz="4" w:space="0" w:color="FFFFFF" w:themeColor="background1"/>
        <w:insideV w:val="single" w:sz="4" w:space="0" w:color="FFFFFF" w:themeColor="background1"/>
      </w:tblBorders>
    </w:tblPr>
    <w:tcPr>
      <w:shd w:val="clear" w:color="auto" w:fill="EEF5FB"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5" w:themeFillShade="99"/>
      </w:tcPr>
    </w:tblStylePr>
    <w:tblStylePr w:type="firstCol">
      <w:rPr>
        <w:color w:val="FFFFFF" w:themeColor="background1"/>
      </w:rPr>
      <w:tblPr/>
      <w:tcPr>
        <w:tcBorders>
          <w:top w:val="nil"/>
          <w:left w:val="nil"/>
          <w:bottom w:val="nil"/>
          <w:right w:val="nil"/>
          <w:insideH w:val="single" w:sz="4" w:space="0" w:color="255D91" w:themeColor="accent5" w:themeShade="99"/>
          <w:insideV w:val="nil"/>
        </w:tcBorders>
        <w:shd w:val="clear" w:color="auto" w:fill="255D91"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5" w:themeFillShade="99"/>
      </w:tcPr>
    </w:tblStylePr>
    <w:tblStylePr w:type="band1Vert">
      <w:tblPr/>
      <w:tcPr>
        <w:shd w:val="clear" w:color="auto" w:fill="BDD6EE" w:themeFill="accent5" w:themeFillTint="66"/>
      </w:tcPr>
    </w:tblStylePr>
    <w:tblStylePr w:type="band1Horz">
      <w:tblPr/>
      <w:tcPr>
        <w:shd w:val="clear" w:color="auto" w:fill="ADCCEA"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unhideWhenUsed/>
    <w:rsid w:val="00676882"/>
    <w:pPr>
      <w:spacing w:after="0" w:line="240" w:lineRule="auto"/>
    </w:pPr>
    <w:rPr>
      <w:color w:val="000000" w:themeColor="text1"/>
    </w:rPr>
    <w:tblPr>
      <w:tblStyleRowBandSize w:val="1"/>
      <w:tblStyleColBandSize w:val="1"/>
      <w:tblBorders>
        <w:top w:val="single" w:sz="24" w:space="0" w:color="5B9BD5"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unhideWhenUsed/>
    <w:rsid w:val="00676882"/>
    <w:rPr>
      <w:sz w:val="16"/>
      <w:szCs w:val="16"/>
    </w:rPr>
  </w:style>
  <w:style w:type="paragraph" w:styleId="CommentText">
    <w:name w:val="annotation text"/>
    <w:basedOn w:val="Normal"/>
    <w:link w:val="CommentTextChar"/>
    <w:uiPriority w:val="99"/>
    <w:unhideWhenUsed/>
    <w:rsid w:val="00676882"/>
    <w:pPr>
      <w:spacing w:after="160"/>
    </w:pPr>
    <w:rPr>
      <w:sz w:val="20"/>
      <w:szCs w:val="20"/>
    </w:rPr>
  </w:style>
  <w:style w:type="character" w:customStyle="1" w:styleId="CommentTextChar">
    <w:name w:val="Comment Text Char"/>
    <w:basedOn w:val="DefaultParagraphFont"/>
    <w:link w:val="CommentText"/>
    <w:uiPriority w:val="99"/>
    <w:rsid w:val="00676882"/>
    <w:rPr>
      <w:rFonts w:ascii="Arial Narrow" w:hAnsi="Arial Narrow" w:cs="Arial"/>
      <w:sz w:val="20"/>
      <w:szCs w:val="20"/>
    </w:rPr>
  </w:style>
  <w:style w:type="paragraph" w:styleId="CommentSubject">
    <w:name w:val="annotation subject"/>
    <w:basedOn w:val="CommentText"/>
    <w:next w:val="CommentText"/>
    <w:link w:val="CommentSubjectChar"/>
    <w:uiPriority w:val="99"/>
    <w:unhideWhenUsed/>
    <w:rsid w:val="00676882"/>
    <w:rPr>
      <w:b/>
      <w:bCs/>
    </w:rPr>
  </w:style>
  <w:style w:type="character" w:customStyle="1" w:styleId="CommentSubjectChar">
    <w:name w:val="Comment Subject Char"/>
    <w:basedOn w:val="CommentTextChar"/>
    <w:link w:val="CommentSubject"/>
    <w:uiPriority w:val="99"/>
    <w:rsid w:val="00676882"/>
    <w:rPr>
      <w:rFonts w:ascii="Arial Narrow" w:hAnsi="Arial Narrow" w:cs="Arial"/>
      <w:b/>
      <w:bCs/>
      <w:sz w:val="20"/>
      <w:szCs w:val="20"/>
    </w:rPr>
  </w:style>
  <w:style w:type="table" w:styleId="DarkList">
    <w:name w:val="Dark List"/>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4472C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1" w:themeFillShade="BF"/>
      </w:tcPr>
    </w:tblStylePr>
    <w:tblStylePr w:type="band1Vert">
      <w:tblPr/>
      <w:tcPr>
        <w:tcBorders>
          <w:top w:val="nil"/>
          <w:left w:val="nil"/>
          <w:bottom w:val="nil"/>
          <w:right w:val="nil"/>
          <w:insideH w:val="nil"/>
          <w:insideV w:val="nil"/>
        </w:tcBorders>
        <w:shd w:val="clear" w:color="auto" w:fill="2F5496" w:themeFill="accent1" w:themeFillShade="BF"/>
      </w:tcPr>
    </w:tblStylePr>
    <w:tblStylePr w:type="band1Horz">
      <w:tblPr/>
      <w:tcPr>
        <w:tcBorders>
          <w:top w:val="nil"/>
          <w:left w:val="nil"/>
          <w:bottom w:val="nil"/>
          <w:right w:val="nil"/>
          <w:insideH w:val="nil"/>
          <w:insideV w:val="nil"/>
        </w:tcBorders>
        <w:shd w:val="clear" w:color="auto" w:fill="2F5496" w:themeFill="accent1" w:themeFillShade="BF"/>
      </w:tcPr>
    </w:tblStylePr>
  </w:style>
  <w:style w:type="table" w:styleId="DarkList-Accent2">
    <w:name w:val="Dark List Accent 2"/>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DarkList-Accent3">
    <w:name w:val="Dark List Accent 3"/>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DarkList-Accent4">
    <w:name w:val="Dark List Accent 4"/>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DarkList-Accent5">
    <w:name w:val="Dark List Accent 5"/>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5B9BD5"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5" w:themeFillShade="BF"/>
      </w:tcPr>
    </w:tblStylePr>
    <w:tblStylePr w:type="band1Vert">
      <w:tblPr/>
      <w:tcPr>
        <w:tcBorders>
          <w:top w:val="nil"/>
          <w:left w:val="nil"/>
          <w:bottom w:val="nil"/>
          <w:right w:val="nil"/>
          <w:insideH w:val="nil"/>
          <w:insideV w:val="nil"/>
        </w:tcBorders>
        <w:shd w:val="clear" w:color="auto" w:fill="2E74B5" w:themeFill="accent5" w:themeFillShade="BF"/>
      </w:tcPr>
    </w:tblStylePr>
    <w:tblStylePr w:type="band1Horz">
      <w:tblPr/>
      <w:tcPr>
        <w:tcBorders>
          <w:top w:val="nil"/>
          <w:left w:val="nil"/>
          <w:bottom w:val="nil"/>
          <w:right w:val="nil"/>
          <w:insideH w:val="nil"/>
          <w:insideV w:val="nil"/>
        </w:tcBorders>
        <w:shd w:val="clear" w:color="auto" w:fill="2E74B5" w:themeFill="accent5" w:themeFillShade="BF"/>
      </w:tcPr>
    </w:tblStylePr>
  </w:style>
  <w:style w:type="table" w:styleId="DarkList-Accent6">
    <w:name w:val="Dark List Accent 6"/>
    <w:basedOn w:val="TableNormal"/>
    <w:uiPriority w:val="70"/>
    <w:unhideWhenUsed/>
    <w:rsid w:val="00676882"/>
    <w:pPr>
      <w:spacing w:after="0" w:line="240" w:lineRule="auto"/>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ate">
    <w:name w:val="Date"/>
    <w:basedOn w:val="Normal"/>
    <w:next w:val="Normal"/>
    <w:link w:val="DateChar"/>
    <w:uiPriority w:val="99"/>
    <w:unhideWhenUsed/>
    <w:rsid w:val="00676882"/>
    <w:pPr>
      <w:spacing w:after="160" w:line="259" w:lineRule="auto"/>
    </w:pPr>
  </w:style>
  <w:style w:type="character" w:customStyle="1" w:styleId="DateChar">
    <w:name w:val="Date Char"/>
    <w:basedOn w:val="DefaultParagraphFont"/>
    <w:link w:val="Date"/>
    <w:uiPriority w:val="99"/>
    <w:rsid w:val="00676882"/>
    <w:rPr>
      <w:rFonts w:ascii="Arial Narrow" w:hAnsi="Arial Narrow" w:cs="Arial"/>
    </w:rPr>
  </w:style>
  <w:style w:type="paragraph" w:styleId="DocumentMap">
    <w:name w:val="Document Map"/>
    <w:basedOn w:val="Normal"/>
    <w:link w:val="DocumentMapChar"/>
    <w:uiPriority w:val="99"/>
    <w:unhideWhenUsed/>
    <w:rsid w:val="00676882"/>
    <w:pPr>
      <w:spacing w:after="0"/>
    </w:pPr>
    <w:rPr>
      <w:sz w:val="16"/>
      <w:szCs w:val="16"/>
    </w:rPr>
  </w:style>
  <w:style w:type="character" w:customStyle="1" w:styleId="DocumentMapChar">
    <w:name w:val="Document Map Char"/>
    <w:basedOn w:val="DefaultParagraphFont"/>
    <w:link w:val="DocumentMap"/>
    <w:uiPriority w:val="99"/>
    <w:rsid w:val="00676882"/>
    <w:rPr>
      <w:rFonts w:ascii="Arial Narrow" w:hAnsi="Arial Narrow" w:cs="Arial"/>
      <w:sz w:val="16"/>
      <w:szCs w:val="16"/>
    </w:rPr>
  </w:style>
  <w:style w:type="paragraph" w:styleId="E-mailSignature">
    <w:name w:val="E-mail Signature"/>
    <w:basedOn w:val="Normal"/>
    <w:link w:val="E-mailSignatureChar"/>
    <w:uiPriority w:val="99"/>
    <w:unhideWhenUsed/>
    <w:rsid w:val="00676882"/>
    <w:pPr>
      <w:spacing w:after="0"/>
    </w:pPr>
  </w:style>
  <w:style w:type="character" w:customStyle="1" w:styleId="E-mailSignatureChar">
    <w:name w:val="E-mail Signature Char"/>
    <w:basedOn w:val="DefaultParagraphFont"/>
    <w:link w:val="E-mailSignature"/>
    <w:uiPriority w:val="99"/>
    <w:rsid w:val="00676882"/>
    <w:rPr>
      <w:rFonts w:ascii="Arial Narrow" w:hAnsi="Arial Narrow" w:cs="Arial"/>
    </w:rPr>
  </w:style>
  <w:style w:type="character" w:styleId="Emphasis">
    <w:name w:val="Emphasis"/>
    <w:basedOn w:val="DefaultParagraphFont"/>
    <w:uiPriority w:val="20"/>
    <w:qFormat/>
    <w:rsid w:val="00676882"/>
    <w:rPr>
      <w:i/>
      <w:iCs/>
    </w:rPr>
  </w:style>
  <w:style w:type="character" w:styleId="EndnoteReference">
    <w:name w:val="endnote reference"/>
    <w:basedOn w:val="DefaultParagraphFont"/>
    <w:uiPriority w:val="99"/>
    <w:unhideWhenUsed/>
    <w:rsid w:val="00676882"/>
    <w:rPr>
      <w:vertAlign w:val="superscript"/>
    </w:rPr>
  </w:style>
  <w:style w:type="paragraph" w:styleId="EndnoteText">
    <w:name w:val="endnote text"/>
    <w:basedOn w:val="Normal"/>
    <w:link w:val="EndnoteTextChar"/>
    <w:uiPriority w:val="99"/>
    <w:unhideWhenUsed/>
    <w:rsid w:val="00676882"/>
    <w:pPr>
      <w:spacing w:after="0"/>
    </w:pPr>
    <w:rPr>
      <w:sz w:val="20"/>
      <w:szCs w:val="20"/>
    </w:rPr>
  </w:style>
  <w:style w:type="character" w:customStyle="1" w:styleId="EndnoteTextChar">
    <w:name w:val="Endnote Text Char"/>
    <w:basedOn w:val="DefaultParagraphFont"/>
    <w:link w:val="EndnoteText"/>
    <w:uiPriority w:val="99"/>
    <w:rsid w:val="00676882"/>
    <w:rPr>
      <w:rFonts w:ascii="Arial Narrow" w:hAnsi="Arial Narrow" w:cs="Arial"/>
      <w:sz w:val="20"/>
      <w:szCs w:val="20"/>
    </w:rPr>
  </w:style>
  <w:style w:type="paragraph" w:styleId="EnvelopeAddress">
    <w:name w:val="envelope address"/>
    <w:basedOn w:val="Normal"/>
    <w:uiPriority w:val="99"/>
    <w:unhideWhenUsed/>
    <w:rsid w:val="00676882"/>
    <w:pPr>
      <w:framePr w:w="7920" w:h="1980" w:hRule="exact" w:hSpace="180" w:wrap="auto" w:hAnchor="page" w:xAlign="center" w:yAlign="bottom"/>
      <w:spacing w:after="0"/>
      <w:ind w:left="2880"/>
    </w:pPr>
    <w:rPr>
      <w:rFonts w:eastAsiaTheme="majorEastAsia"/>
      <w:sz w:val="24"/>
      <w:szCs w:val="24"/>
    </w:rPr>
  </w:style>
  <w:style w:type="paragraph" w:styleId="EnvelopeReturn">
    <w:name w:val="envelope return"/>
    <w:basedOn w:val="Normal"/>
    <w:uiPriority w:val="99"/>
    <w:unhideWhenUsed/>
    <w:rsid w:val="00676882"/>
    <w:pPr>
      <w:spacing w:after="0"/>
    </w:pPr>
    <w:rPr>
      <w:rFonts w:eastAsiaTheme="majorEastAsia"/>
      <w:sz w:val="20"/>
      <w:szCs w:val="20"/>
    </w:rPr>
  </w:style>
  <w:style w:type="character" w:styleId="FollowedHyperlink">
    <w:name w:val="FollowedHyperlink"/>
    <w:basedOn w:val="DefaultParagraphFont"/>
    <w:uiPriority w:val="99"/>
    <w:unhideWhenUsed/>
    <w:rsid w:val="00676882"/>
    <w:rPr>
      <w:color w:val="954F72" w:themeColor="followedHyperlink"/>
      <w:u w:val="single"/>
    </w:rPr>
  </w:style>
  <w:style w:type="paragraph" w:styleId="Footer">
    <w:name w:val="footer"/>
    <w:basedOn w:val="Normal-nospace"/>
    <w:link w:val="FooterChar"/>
    <w:uiPriority w:val="99"/>
    <w:unhideWhenUsed/>
    <w:rsid w:val="00676882"/>
    <w:pPr>
      <w:tabs>
        <w:tab w:val="center" w:pos="4513"/>
        <w:tab w:val="right" w:pos="9026"/>
      </w:tabs>
      <w:spacing w:line="240" w:lineRule="auto"/>
    </w:pPr>
    <w:rPr>
      <w:rFonts w:ascii="Yu Gothic Medium" w:hAnsi="Yu Gothic Medium"/>
      <w:sz w:val="15"/>
    </w:rPr>
  </w:style>
  <w:style w:type="character" w:customStyle="1" w:styleId="FooterChar">
    <w:name w:val="Footer Char"/>
    <w:basedOn w:val="DefaultParagraphFont"/>
    <w:link w:val="Footer"/>
    <w:uiPriority w:val="99"/>
    <w:rsid w:val="00676882"/>
    <w:rPr>
      <w:rFonts w:ascii="Yu Gothic Medium" w:hAnsi="Yu Gothic Medium" w:cs="Arial"/>
      <w:color w:val="000100"/>
      <w:sz w:val="15"/>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676882"/>
    <w:rPr>
      <w:vertAlign w:val="superscript"/>
    </w:rPr>
  </w:style>
  <w:style w:type="paragraph" w:styleId="FootnoteText">
    <w:name w:val="footnote text"/>
    <w:aliases w:val="Footnote Text Char Char,Footnote Text2,Footnote Text1,(NECG) Footnote Text,(NECG) Footnote Text1,ALTS FOOTNOTE,Footnote text,AR Footnote Text,AR Footnote Text Char Char Char Char Char,ALTS FOOTNOTE Char1,Footnote Text Char1 Char,fn,f,FT,ft"/>
    <w:basedOn w:val="Normal-nospace"/>
    <w:link w:val="FootnoteTextChar"/>
    <w:uiPriority w:val="99"/>
    <w:unhideWhenUsed/>
    <w:qFormat/>
    <w:rsid w:val="00676882"/>
    <w:pPr>
      <w:spacing w:after="90" w:line="240" w:lineRule="auto"/>
    </w:pPr>
    <w:rPr>
      <w:sz w:val="20"/>
      <w:szCs w:val="20"/>
    </w:rPr>
  </w:style>
  <w:style w:type="character" w:customStyle="1" w:styleId="FootnoteTextChar">
    <w:name w:val="Footnote Text Char"/>
    <w:aliases w:val="Footnote Text Char Char Char,Footnote Text2 Char,Footnote Text1 Char,(NECG) Footnote Text Char,(NECG) Footnote Text1 Char,ALTS FOOTNOTE Char,Footnote text Char,AR Footnote Text Char,AR Footnote Text Char Char Char Char Char Char"/>
    <w:basedOn w:val="DefaultParagraphFont"/>
    <w:link w:val="FootnoteText"/>
    <w:uiPriority w:val="99"/>
    <w:rsid w:val="00676882"/>
    <w:rPr>
      <w:rFonts w:ascii="Arial Narrow" w:hAnsi="Arial Narrow" w:cs="Arial"/>
      <w:color w:val="000100"/>
      <w:sz w:val="20"/>
      <w:szCs w:val="20"/>
    </w:rPr>
  </w:style>
  <w:style w:type="table" w:styleId="GridTable1Light">
    <w:name w:val="Grid Table 1 Light"/>
    <w:basedOn w:val="TableNormal"/>
    <w:uiPriority w:val="46"/>
    <w:rsid w:val="0067688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7688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676882"/>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676882"/>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676882"/>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76882"/>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676882"/>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676882"/>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676882"/>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2-Accent2">
    <w:name w:val="Grid Table 2 Accent 2"/>
    <w:basedOn w:val="TableNormal"/>
    <w:uiPriority w:val="47"/>
    <w:rsid w:val="00676882"/>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2-Accent3">
    <w:name w:val="Grid Table 2 Accent 3"/>
    <w:basedOn w:val="TableNormal"/>
    <w:uiPriority w:val="47"/>
    <w:rsid w:val="00676882"/>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676882"/>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2-Accent5">
    <w:name w:val="Grid Table 2 Accent 5"/>
    <w:basedOn w:val="TableNormal"/>
    <w:uiPriority w:val="47"/>
    <w:rsid w:val="00676882"/>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2-Accent6">
    <w:name w:val="Grid Table 2 Accent 6"/>
    <w:basedOn w:val="TableNormal"/>
    <w:uiPriority w:val="47"/>
    <w:rsid w:val="00676882"/>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3">
    <w:name w:val="Grid Table 3"/>
    <w:basedOn w:val="TableNormal"/>
    <w:uiPriority w:val="48"/>
    <w:rsid w:val="0067688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676882"/>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GridTable3-Accent2">
    <w:name w:val="Grid Table 3 Accent 2"/>
    <w:basedOn w:val="TableNormal"/>
    <w:uiPriority w:val="48"/>
    <w:rsid w:val="00676882"/>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3-Accent3">
    <w:name w:val="Grid Table 3 Accent 3"/>
    <w:basedOn w:val="TableNormal"/>
    <w:uiPriority w:val="48"/>
    <w:rsid w:val="0067688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3-Accent4">
    <w:name w:val="Grid Table 3 Accent 4"/>
    <w:basedOn w:val="TableNormal"/>
    <w:uiPriority w:val="48"/>
    <w:rsid w:val="00676882"/>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3-Accent5">
    <w:name w:val="Grid Table 3 Accent 5"/>
    <w:basedOn w:val="TableNormal"/>
    <w:uiPriority w:val="48"/>
    <w:rsid w:val="00676882"/>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GridTable3-Accent6">
    <w:name w:val="Grid Table 3 Accent 6"/>
    <w:basedOn w:val="TableNormal"/>
    <w:uiPriority w:val="48"/>
    <w:rsid w:val="00676882"/>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
    <w:name w:val="Grid Table 4"/>
    <w:basedOn w:val="TableNormal"/>
    <w:uiPriority w:val="49"/>
    <w:rsid w:val="0067688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676882"/>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2">
    <w:name w:val="Grid Table 4 Accent 2"/>
    <w:basedOn w:val="TableNormal"/>
    <w:uiPriority w:val="49"/>
    <w:rsid w:val="00676882"/>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3">
    <w:name w:val="Grid Table 4 Accent 3"/>
    <w:basedOn w:val="TableNormal"/>
    <w:uiPriority w:val="49"/>
    <w:rsid w:val="0067688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4">
    <w:name w:val="Grid Table 4 Accent 4"/>
    <w:basedOn w:val="TableNormal"/>
    <w:uiPriority w:val="49"/>
    <w:rsid w:val="00676882"/>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5">
    <w:name w:val="Grid Table 4 Accent 5"/>
    <w:basedOn w:val="TableNormal"/>
    <w:uiPriority w:val="49"/>
    <w:rsid w:val="00676882"/>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4-Accent6">
    <w:name w:val="Grid Table 4 Accent 6"/>
    <w:basedOn w:val="TableNormal"/>
    <w:uiPriority w:val="49"/>
    <w:rsid w:val="00676882"/>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5Dark">
    <w:name w:val="Grid Table 5 Dark"/>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GridTable5Dark-Accent2">
    <w:name w:val="Grid Table 5 Dark Accent 2"/>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5Dark-Accent3">
    <w:name w:val="Grid Table 5 Dark Accent 3"/>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ridTable5Dark-Accent5">
    <w:name w:val="Grid Table 5 Dark Accent 5"/>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6768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51"/>
    <w:rsid w:val="0067688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676882"/>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6Colorful-Accent2">
    <w:name w:val="Grid Table 6 Colorful Accent 2"/>
    <w:basedOn w:val="TableNormal"/>
    <w:uiPriority w:val="51"/>
    <w:rsid w:val="00676882"/>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6Colorful-Accent3">
    <w:name w:val="Grid Table 6 Colorful Accent 3"/>
    <w:basedOn w:val="TableNormal"/>
    <w:uiPriority w:val="51"/>
    <w:rsid w:val="00676882"/>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4">
    <w:name w:val="Grid Table 6 Colorful Accent 4"/>
    <w:basedOn w:val="TableNormal"/>
    <w:uiPriority w:val="51"/>
    <w:rsid w:val="00676882"/>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6Colorful-Accent5">
    <w:name w:val="Grid Table 6 Colorful Accent 5"/>
    <w:basedOn w:val="TableNormal"/>
    <w:uiPriority w:val="51"/>
    <w:rsid w:val="00676882"/>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6Colorful-Accent6">
    <w:name w:val="Grid Table 6 Colorful Accent 6"/>
    <w:basedOn w:val="TableNormal"/>
    <w:uiPriority w:val="51"/>
    <w:rsid w:val="00676882"/>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
    <w:name w:val="Grid Table 7 Colorful"/>
    <w:basedOn w:val="TableNormal"/>
    <w:uiPriority w:val="52"/>
    <w:rsid w:val="0067688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676882"/>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GridTable7Colorful-Accent2">
    <w:name w:val="Grid Table 7 Colorful Accent 2"/>
    <w:basedOn w:val="TableNormal"/>
    <w:uiPriority w:val="52"/>
    <w:rsid w:val="00676882"/>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7Colorful-Accent3">
    <w:name w:val="Grid Table 7 Colorful Accent 3"/>
    <w:basedOn w:val="TableNormal"/>
    <w:uiPriority w:val="52"/>
    <w:rsid w:val="00676882"/>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7Colorful-Accent4">
    <w:name w:val="Grid Table 7 Colorful Accent 4"/>
    <w:basedOn w:val="TableNormal"/>
    <w:uiPriority w:val="52"/>
    <w:rsid w:val="00676882"/>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7Colorful-Accent5">
    <w:name w:val="Grid Table 7 Colorful Accent 5"/>
    <w:basedOn w:val="TableNormal"/>
    <w:uiPriority w:val="52"/>
    <w:rsid w:val="00676882"/>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GridTable7Colorful-Accent6">
    <w:name w:val="Grid Table 7 Colorful Accent 6"/>
    <w:basedOn w:val="TableNormal"/>
    <w:uiPriority w:val="52"/>
    <w:rsid w:val="00676882"/>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styleId="Hashtag">
    <w:name w:val="Hashtag"/>
    <w:basedOn w:val="DefaultParagraphFont"/>
    <w:uiPriority w:val="99"/>
    <w:semiHidden/>
    <w:unhideWhenUsed/>
    <w:rsid w:val="00676882"/>
    <w:rPr>
      <w:color w:val="2B579A"/>
      <w:shd w:val="clear" w:color="auto" w:fill="E1DFDD"/>
    </w:rPr>
  </w:style>
  <w:style w:type="paragraph" w:styleId="Header">
    <w:name w:val="header"/>
    <w:basedOn w:val="Normal-nospace"/>
    <w:link w:val="HeaderChar"/>
    <w:uiPriority w:val="99"/>
    <w:unhideWhenUsed/>
    <w:rsid w:val="00676882"/>
    <w:pPr>
      <w:tabs>
        <w:tab w:val="center" w:pos="4513"/>
        <w:tab w:val="right" w:pos="9026"/>
      </w:tabs>
      <w:spacing w:before="90" w:line="240" w:lineRule="auto"/>
    </w:pPr>
    <w:rPr>
      <w:sz w:val="16"/>
    </w:rPr>
  </w:style>
  <w:style w:type="character" w:customStyle="1" w:styleId="HeaderChar">
    <w:name w:val="Header Char"/>
    <w:basedOn w:val="DefaultParagraphFont"/>
    <w:link w:val="Header"/>
    <w:uiPriority w:val="99"/>
    <w:rsid w:val="00676882"/>
    <w:rPr>
      <w:rFonts w:ascii="Arial Narrow" w:hAnsi="Arial Narrow" w:cs="Arial"/>
      <w:color w:val="000100"/>
      <w:sz w:val="16"/>
    </w:rPr>
  </w:style>
  <w:style w:type="character" w:styleId="HTMLAcronym">
    <w:name w:val="HTML Acronym"/>
    <w:basedOn w:val="DefaultParagraphFont"/>
    <w:uiPriority w:val="99"/>
    <w:unhideWhenUsed/>
    <w:rsid w:val="00676882"/>
  </w:style>
  <w:style w:type="paragraph" w:styleId="HTMLAddress">
    <w:name w:val="HTML Address"/>
    <w:basedOn w:val="Normal"/>
    <w:link w:val="HTMLAddressChar"/>
    <w:uiPriority w:val="99"/>
    <w:unhideWhenUsed/>
    <w:rsid w:val="00676882"/>
    <w:pPr>
      <w:spacing w:after="0"/>
    </w:pPr>
    <w:rPr>
      <w:i/>
      <w:iCs/>
    </w:rPr>
  </w:style>
  <w:style w:type="character" w:customStyle="1" w:styleId="HTMLAddressChar">
    <w:name w:val="HTML Address Char"/>
    <w:basedOn w:val="DefaultParagraphFont"/>
    <w:link w:val="HTMLAddress"/>
    <w:uiPriority w:val="99"/>
    <w:rsid w:val="00676882"/>
    <w:rPr>
      <w:rFonts w:ascii="Arial Narrow" w:hAnsi="Arial Narrow" w:cs="Arial"/>
      <w:i/>
      <w:iCs/>
    </w:rPr>
  </w:style>
  <w:style w:type="character" w:styleId="HTMLCite">
    <w:name w:val="HTML Cite"/>
    <w:basedOn w:val="DefaultParagraphFont"/>
    <w:uiPriority w:val="99"/>
    <w:unhideWhenUsed/>
    <w:rsid w:val="00676882"/>
    <w:rPr>
      <w:i/>
      <w:iCs/>
    </w:rPr>
  </w:style>
  <w:style w:type="character" w:styleId="HTMLCode">
    <w:name w:val="HTML Code"/>
    <w:basedOn w:val="DefaultParagraphFont"/>
    <w:uiPriority w:val="99"/>
    <w:unhideWhenUsed/>
    <w:rsid w:val="00676882"/>
    <w:rPr>
      <w:rFonts w:ascii="Arial Narrow" w:hAnsi="Arial Narrow" w:cs="Arial"/>
      <w:sz w:val="20"/>
      <w:szCs w:val="20"/>
    </w:rPr>
  </w:style>
  <w:style w:type="character" w:styleId="HTMLDefinition">
    <w:name w:val="HTML Definition"/>
    <w:basedOn w:val="DefaultParagraphFont"/>
    <w:uiPriority w:val="99"/>
    <w:unhideWhenUsed/>
    <w:rsid w:val="00676882"/>
    <w:rPr>
      <w:i/>
      <w:iCs/>
    </w:rPr>
  </w:style>
  <w:style w:type="character" w:styleId="HTMLKeyboard">
    <w:name w:val="HTML Keyboard"/>
    <w:basedOn w:val="DefaultParagraphFont"/>
    <w:uiPriority w:val="99"/>
    <w:unhideWhenUsed/>
    <w:rsid w:val="00676882"/>
    <w:rPr>
      <w:rFonts w:ascii="Arial Narrow" w:hAnsi="Arial Narrow" w:cs="Arial"/>
      <w:sz w:val="20"/>
      <w:szCs w:val="20"/>
    </w:rPr>
  </w:style>
  <w:style w:type="paragraph" w:styleId="HTMLPreformatted">
    <w:name w:val="HTML Preformatted"/>
    <w:basedOn w:val="Normal"/>
    <w:link w:val="HTMLPreformattedChar"/>
    <w:uiPriority w:val="99"/>
    <w:unhideWhenUsed/>
    <w:rsid w:val="00676882"/>
    <w:pPr>
      <w:spacing w:after="0"/>
    </w:pPr>
    <w:rPr>
      <w:sz w:val="20"/>
      <w:szCs w:val="20"/>
    </w:rPr>
  </w:style>
  <w:style w:type="character" w:customStyle="1" w:styleId="HTMLPreformattedChar">
    <w:name w:val="HTML Preformatted Char"/>
    <w:basedOn w:val="DefaultParagraphFont"/>
    <w:link w:val="HTMLPreformatted"/>
    <w:uiPriority w:val="99"/>
    <w:rsid w:val="00676882"/>
    <w:rPr>
      <w:rFonts w:ascii="Arial Narrow" w:hAnsi="Arial Narrow" w:cs="Arial"/>
      <w:sz w:val="20"/>
      <w:szCs w:val="20"/>
    </w:rPr>
  </w:style>
  <w:style w:type="character" w:styleId="HTMLSample">
    <w:name w:val="HTML Sample"/>
    <w:basedOn w:val="DefaultParagraphFont"/>
    <w:uiPriority w:val="99"/>
    <w:unhideWhenUsed/>
    <w:rsid w:val="00676882"/>
    <w:rPr>
      <w:rFonts w:ascii="Arial Narrow" w:hAnsi="Arial Narrow" w:cs="Arial"/>
      <w:sz w:val="24"/>
      <w:szCs w:val="24"/>
    </w:rPr>
  </w:style>
  <w:style w:type="character" w:styleId="HTMLTypewriter">
    <w:name w:val="HTML Typewriter"/>
    <w:basedOn w:val="DefaultParagraphFont"/>
    <w:uiPriority w:val="99"/>
    <w:unhideWhenUsed/>
    <w:rsid w:val="00676882"/>
    <w:rPr>
      <w:rFonts w:ascii="Arial Narrow" w:hAnsi="Arial Narrow" w:cs="Arial"/>
      <w:sz w:val="20"/>
      <w:szCs w:val="20"/>
    </w:rPr>
  </w:style>
  <w:style w:type="character" w:styleId="HTMLVariable">
    <w:name w:val="HTML Variable"/>
    <w:basedOn w:val="DefaultParagraphFont"/>
    <w:uiPriority w:val="99"/>
    <w:unhideWhenUsed/>
    <w:rsid w:val="00676882"/>
    <w:rPr>
      <w:i/>
      <w:iCs/>
    </w:rPr>
  </w:style>
  <w:style w:type="character" w:styleId="Hyperlink">
    <w:name w:val="Hyperlink"/>
    <w:basedOn w:val="DefaultParagraphFont"/>
    <w:uiPriority w:val="99"/>
    <w:unhideWhenUsed/>
    <w:rsid w:val="00676882"/>
    <w:rPr>
      <w:color w:val="0563C1" w:themeColor="hyperlink"/>
      <w:u w:val="single"/>
    </w:rPr>
  </w:style>
  <w:style w:type="paragraph" w:styleId="Index1">
    <w:name w:val="index 1"/>
    <w:basedOn w:val="Normal"/>
    <w:next w:val="Normal"/>
    <w:autoRedefine/>
    <w:uiPriority w:val="99"/>
    <w:unhideWhenUsed/>
    <w:rsid w:val="00676882"/>
    <w:pPr>
      <w:spacing w:after="0"/>
      <w:ind w:left="220" w:hanging="220"/>
    </w:pPr>
  </w:style>
  <w:style w:type="paragraph" w:styleId="Index2">
    <w:name w:val="index 2"/>
    <w:basedOn w:val="Normal"/>
    <w:next w:val="Normal"/>
    <w:autoRedefine/>
    <w:uiPriority w:val="99"/>
    <w:unhideWhenUsed/>
    <w:rsid w:val="00676882"/>
    <w:pPr>
      <w:spacing w:after="0"/>
      <w:ind w:left="440" w:hanging="220"/>
    </w:pPr>
  </w:style>
  <w:style w:type="paragraph" w:styleId="Index3">
    <w:name w:val="index 3"/>
    <w:basedOn w:val="Normal"/>
    <w:next w:val="Normal"/>
    <w:autoRedefine/>
    <w:uiPriority w:val="99"/>
    <w:unhideWhenUsed/>
    <w:rsid w:val="00676882"/>
    <w:pPr>
      <w:spacing w:after="0"/>
      <w:ind w:left="660" w:hanging="220"/>
    </w:pPr>
  </w:style>
  <w:style w:type="paragraph" w:styleId="Index4">
    <w:name w:val="index 4"/>
    <w:basedOn w:val="Normal"/>
    <w:next w:val="Normal"/>
    <w:autoRedefine/>
    <w:uiPriority w:val="99"/>
    <w:unhideWhenUsed/>
    <w:rsid w:val="00676882"/>
    <w:pPr>
      <w:spacing w:after="0"/>
      <w:ind w:left="880" w:hanging="220"/>
    </w:pPr>
  </w:style>
  <w:style w:type="paragraph" w:styleId="Index5">
    <w:name w:val="index 5"/>
    <w:basedOn w:val="Normal"/>
    <w:next w:val="Normal"/>
    <w:autoRedefine/>
    <w:uiPriority w:val="99"/>
    <w:unhideWhenUsed/>
    <w:rsid w:val="00676882"/>
    <w:pPr>
      <w:spacing w:after="0"/>
      <w:ind w:left="1100" w:hanging="220"/>
    </w:pPr>
  </w:style>
  <w:style w:type="paragraph" w:styleId="Index6">
    <w:name w:val="index 6"/>
    <w:basedOn w:val="Normal"/>
    <w:next w:val="Normal"/>
    <w:autoRedefine/>
    <w:uiPriority w:val="99"/>
    <w:unhideWhenUsed/>
    <w:rsid w:val="00676882"/>
    <w:pPr>
      <w:spacing w:after="0"/>
      <w:ind w:left="1320" w:hanging="220"/>
    </w:pPr>
  </w:style>
  <w:style w:type="paragraph" w:styleId="Index7">
    <w:name w:val="index 7"/>
    <w:basedOn w:val="Normal"/>
    <w:next w:val="Normal"/>
    <w:autoRedefine/>
    <w:uiPriority w:val="99"/>
    <w:unhideWhenUsed/>
    <w:rsid w:val="00676882"/>
    <w:pPr>
      <w:spacing w:after="0"/>
      <w:ind w:left="1540" w:hanging="220"/>
    </w:pPr>
  </w:style>
  <w:style w:type="paragraph" w:styleId="Index8">
    <w:name w:val="index 8"/>
    <w:basedOn w:val="Normal"/>
    <w:next w:val="Normal"/>
    <w:autoRedefine/>
    <w:uiPriority w:val="99"/>
    <w:unhideWhenUsed/>
    <w:rsid w:val="00676882"/>
    <w:pPr>
      <w:spacing w:after="0"/>
      <w:ind w:left="1760" w:hanging="220"/>
    </w:pPr>
  </w:style>
  <w:style w:type="paragraph" w:styleId="Index9">
    <w:name w:val="index 9"/>
    <w:basedOn w:val="Normal"/>
    <w:next w:val="Normal"/>
    <w:autoRedefine/>
    <w:uiPriority w:val="99"/>
    <w:unhideWhenUsed/>
    <w:rsid w:val="00676882"/>
    <w:pPr>
      <w:spacing w:after="0"/>
      <w:ind w:left="1980" w:hanging="220"/>
    </w:pPr>
  </w:style>
  <w:style w:type="paragraph" w:styleId="IndexHeading">
    <w:name w:val="index heading"/>
    <w:basedOn w:val="Normal"/>
    <w:next w:val="Index1"/>
    <w:uiPriority w:val="99"/>
    <w:unhideWhenUsed/>
    <w:rsid w:val="00676882"/>
    <w:pPr>
      <w:spacing w:after="160" w:line="259" w:lineRule="auto"/>
    </w:pPr>
    <w:rPr>
      <w:rFonts w:eastAsiaTheme="majorEastAsia"/>
      <w:b/>
      <w:bCs/>
    </w:rPr>
  </w:style>
  <w:style w:type="character" w:styleId="IntenseEmphasis">
    <w:name w:val="Intense Emphasis"/>
    <w:basedOn w:val="DefaultParagraphFont"/>
    <w:uiPriority w:val="21"/>
    <w:qFormat/>
    <w:rsid w:val="00676882"/>
    <w:rPr>
      <w:i/>
      <w:iCs/>
      <w:color w:val="4472C4" w:themeColor="accent1"/>
    </w:rPr>
  </w:style>
  <w:style w:type="paragraph" w:styleId="IntenseQuote">
    <w:name w:val="Intense Quote"/>
    <w:basedOn w:val="Normal"/>
    <w:next w:val="Normal"/>
    <w:link w:val="IntenseQuoteChar"/>
    <w:uiPriority w:val="30"/>
    <w:qFormat/>
    <w:rsid w:val="00676882"/>
    <w:pPr>
      <w:pBdr>
        <w:top w:val="single" w:sz="4" w:space="10" w:color="4472C4" w:themeColor="accent1"/>
        <w:bottom w:val="single" w:sz="4" w:space="10" w:color="4472C4" w:themeColor="accent1"/>
      </w:pBdr>
      <w:spacing w:before="360" w:after="360" w:line="259" w:lineRule="auto"/>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676882"/>
    <w:rPr>
      <w:rFonts w:ascii="Arial Narrow" w:hAnsi="Arial Narrow" w:cs="Arial"/>
      <w:i/>
      <w:iCs/>
      <w:color w:val="4472C4" w:themeColor="accent1"/>
    </w:rPr>
  </w:style>
  <w:style w:type="character" w:styleId="IntenseReference">
    <w:name w:val="Intense Reference"/>
    <w:basedOn w:val="DefaultParagraphFont"/>
    <w:uiPriority w:val="32"/>
    <w:qFormat/>
    <w:rsid w:val="00676882"/>
    <w:rPr>
      <w:b/>
      <w:bCs/>
      <w:smallCaps/>
      <w:color w:val="4472C4" w:themeColor="accent1"/>
      <w:spacing w:val="5"/>
    </w:rPr>
  </w:style>
  <w:style w:type="table" w:styleId="LightGrid">
    <w:name w:val="Light Grid"/>
    <w:basedOn w:val="TableNormal"/>
    <w:uiPriority w:val="62"/>
    <w:unhideWhenUsed/>
    <w:rsid w:val="0067688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unhideWhenUsed/>
    <w:rsid w:val="00676882"/>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table" w:styleId="LightGrid-Accent2">
    <w:name w:val="Light Grid Accent 2"/>
    <w:basedOn w:val="TableNormal"/>
    <w:uiPriority w:val="62"/>
    <w:unhideWhenUsed/>
    <w:rsid w:val="00676882"/>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ightGrid-Accent3">
    <w:name w:val="Light Grid Accent 3"/>
    <w:basedOn w:val="TableNormal"/>
    <w:uiPriority w:val="62"/>
    <w:unhideWhenUsed/>
    <w:rsid w:val="00676882"/>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ghtGrid-Accent4">
    <w:name w:val="Light Grid Accent 4"/>
    <w:basedOn w:val="TableNormal"/>
    <w:uiPriority w:val="62"/>
    <w:unhideWhenUsed/>
    <w:rsid w:val="00676882"/>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ightGrid-Accent5">
    <w:name w:val="Light Grid Accent 5"/>
    <w:basedOn w:val="TableNormal"/>
    <w:uiPriority w:val="62"/>
    <w:unhideWhenUsed/>
    <w:rsid w:val="00676882"/>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styleId="LightGrid-Accent6">
    <w:name w:val="Light Grid Accent 6"/>
    <w:basedOn w:val="TableNormal"/>
    <w:uiPriority w:val="62"/>
    <w:unhideWhenUsed/>
    <w:rsid w:val="00676882"/>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List">
    <w:name w:val="Light List"/>
    <w:basedOn w:val="TableNormal"/>
    <w:uiPriority w:val="61"/>
    <w:unhideWhenUsed/>
    <w:rsid w:val="0067688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unhideWhenUsed/>
    <w:rsid w:val="00676882"/>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styleId="LightList-Accent2">
    <w:name w:val="Light List Accent 2"/>
    <w:basedOn w:val="TableNormal"/>
    <w:uiPriority w:val="61"/>
    <w:unhideWhenUsed/>
    <w:rsid w:val="00676882"/>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ghtList-Accent3">
    <w:name w:val="Light List Accent 3"/>
    <w:basedOn w:val="TableNormal"/>
    <w:uiPriority w:val="61"/>
    <w:unhideWhenUsed/>
    <w:rsid w:val="00676882"/>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ghtList-Accent4">
    <w:name w:val="Light List Accent 4"/>
    <w:basedOn w:val="TableNormal"/>
    <w:uiPriority w:val="61"/>
    <w:unhideWhenUsed/>
    <w:rsid w:val="00676882"/>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ghtList-Accent5">
    <w:name w:val="Light List Accent 5"/>
    <w:basedOn w:val="TableNormal"/>
    <w:uiPriority w:val="61"/>
    <w:unhideWhenUsed/>
    <w:rsid w:val="00676882"/>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styleId="LightList-Accent6">
    <w:name w:val="Light List Accent 6"/>
    <w:basedOn w:val="TableNormal"/>
    <w:uiPriority w:val="61"/>
    <w:unhideWhenUsed/>
    <w:rsid w:val="00676882"/>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ghtShading">
    <w:name w:val="Light Shading"/>
    <w:basedOn w:val="TableNormal"/>
    <w:uiPriority w:val="60"/>
    <w:unhideWhenUsed/>
    <w:rsid w:val="00676882"/>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unhideWhenUsed/>
    <w:rsid w:val="00676882"/>
    <w:pPr>
      <w:spacing w:after="0" w:line="240" w:lineRule="auto"/>
    </w:pPr>
    <w:rPr>
      <w:color w:val="2F5496" w:themeColor="accent1" w:themeShade="BF"/>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styleId="LightShading-Accent2">
    <w:name w:val="Light Shading Accent 2"/>
    <w:basedOn w:val="TableNormal"/>
    <w:uiPriority w:val="60"/>
    <w:unhideWhenUsed/>
    <w:rsid w:val="00676882"/>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Shading-Accent3">
    <w:name w:val="Light Shading Accent 3"/>
    <w:basedOn w:val="TableNormal"/>
    <w:uiPriority w:val="60"/>
    <w:unhideWhenUsed/>
    <w:rsid w:val="00676882"/>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Shading-Accent4">
    <w:name w:val="Light Shading Accent 4"/>
    <w:basedOn w:val="TableNormal"/>
    <w:uiPriority w:val="60"/>
    <w:unhideWhenUsed/>
    <w:rsid w:val="00676882"/>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ightShading-Accent5">
    <w:name w:val="Light Shading Accent 5"/>
    <w:basedOn w:val="TableNormal"/>
    <w:uiPriority w:val="60"/>
    <w:unhideWhenUsed/>
    <w:rsid w:val="00676882"/>
    <w:pPr>
      <w:spacing w:after="0" w:line="240" w:lineRule="auto"/>
    </w:pPr>
    <w:rPr>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LightShading-Accent6">
    <w:name w:val="Light Shading Accent 6"/>
    <w:basedOn w:val="TableNormal"/>
    <w:uiPriority w:val="60"/>
    <w:unhideWhenUsed/>
    <w:rsid w:val="00676882"/>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character" w:styleId="LineNumber">
    <w:name w:val="line number"/>
    <w:basedOn w:val="DefaultParagraphFont"/>
    <w:uiPriority w:val="99"/>
    <w:unhideWhenUsed/>
    <w:rsid w:val="00676882"/>
  </w:style>
  <w:style w:type="paragraph" w:styleId="List">
    <w:name w:val="List"/>
    <w:basedOn w:val="Normal"/>
    <w:uiPriority w:val="99"/>
    <w:unhideWhenUsed/>
    <w:rsid w:val="00676882"/>
    <w:pPr>
      <w:spacing w:after="160" w:line="259" w:lineRule="auto"/>
      <w:ind w:left="283" w:hanging="283"/>
      <w:contextualSpacing/>
    </w:pPr>
  </w:style>
  <w:style w:type="paragraph" w:styleId="List2">
    <w:name w:val="List 2"/>
    <w:basedOn w:val="Normal"/>
    <w:uiPriority w:val="99"/>
    <w:unhideWhenUsed/>
    <w:rsid w:val="00676882"/>
    <w:pPr>
      <w:spacing w:after="160" w:line="259" w:lineRule="auto"/>
      <w:ind w:left="566" w:hanging="283"/>
      <w:contextualSpacing/>
    </w:pPr>
  </w:style>
  <w:style w:type="paragraph" w:styleId="List3">
    <w:name w:val="List 3"/>
    <w:basedOn w:val="Normal"/>
    <w:uiPriority w:val="99"/>
    <w:unhideWhenUsed/>
    <w:rsid w:val="00676882"/>
    <w:pPr>
      <w:spacing w:after="160" w:line="259" w:lineRule="auto"/>
      <w:ind w:left="849" w:hanging="283"/>
      <w:contextualSpacing/>
    </w:pPr>
  </w:style>
  <w:style w:type="paragraph" w:styleId="List4">
    <w:name w:val="List 4"/>
    <w:basedOn w:val="Normal"/>
    <w:uiPriority w:val="99"/>
    <w:unhideWhenUsed/>
    <w:rsid w:val="00676882"/>
    <w:pPr>
      <w:spacing w:after="160" w:line="259" w:lineRule="auto"/>
      <w:ind w:left="1132" w:hanging="283"/>
      <w:contextualSpacing/>
    </w:pPr>
  </w:style>
  <w:style w:type="paragraph" w:styleId="List5">
    <w:name w:val="List 5"/>
    <w:basedOn w:val="Normal"/>
    <w:uiPriority w:val="99"/>
    <w:unhideWhenUsed/>
    <w:rsid w:val="00676882"/>
    <w:pPr>
      <w:spacing w:after="160" w:line="259" w:lineRule="auto"/>
      <w:ind w:left="1415" w:hanging="283"/>
      <w:contextualSpacing/>
    </w:pPr>
  </w:style>
  <w:style w:type="paragraph" w:styleId="ListBullet">
    <w:name w:val="List Bullet"/>
    <w:aliases w:val="List Bullet Char1,List Bullet Char Char,List Bullet Char1 Char Char,List Bullet Char Char Char1 Char,List Bullet Char Char Char Char Char,List Bullet Char3,List Bullet Char2 Char,List Bullet Char2,List Bullet1,List Bullet Char Char1,l, Char"/>
    <w:basedOn w:val="Normal"/>
    <w:link w:val="ListBulletChar"/>
    <w:uiPriority w:val="99"/>
    <w:qFormat/>
    <w:rsid w:val="00676882"/>
    <w:pPr>
      <w:numPr>
        <w:numId w:val="9"/>
      </w:numPr>
      <w:spacing w:before="70" w:after="70"/>
      <w:ind w:left="426"/>
    </w:pPr>
  </w:style>
  <w:style w:type="paragraph" w:styleId="ListBullet2">
    <w:name w:val="List Bullet 2"/>
    <w:aliases w:val=" Char2,Char2,Lista con viñetas 2,List Bullet 2 Char Char Char"/>
    <w:basedOn w:val="Normal"/>
    <w:uiPriority w:val="99"/>
    <w:qFormat/>
    <w:rsid w:val="00676882"/>
    <w:pPr>
      <w:numPr>
        <w:ilvl w:val="1"/>
        <w:numId w:val="9"/>
      </w:numPr>
      <w:spacing w:before="0" w:after="60" w:line="240" w:lineRule="atLeast"/>
    </w:pPr>
  </w:style>
  <w:style w:type="paragraph" w:styleId="ListBullet3">
    <w:name w:val="List Bullet 3"/>
    <w:aliases w:val="Lista con viñetas 3"/>
    <w:basedOn w:val="Normal"/>
    <w:uiPriority w:val="99"/>
    <w:qFormat/>
    <w:rsid w:val="00676882"/>
    <w:pPr>
      <w:numPr>
        <w:ilvl w:val="2"/>
        <w:numId w:val="9"/>
      </w:numPr>
      <w:spacing w:before="0" w:after="60" w:line="240" w:lineRule="atLeast"/>
    </w:pPr>
  </w:style>
  <w:style w:type="paragraph" w:styleId="ListBullet4">
    <w:name w:val="List Bullet 4"/>
    <w:basedOn w:val="Normal"/>
    <w:uiPriority w:val="99"/>
    <w:unhideWhenUsed/>
    <w:qFormat/>
    <w:rsid w:val="00676882"/>
    <w:pPr>
      <w:numPr>
        <w:numId w:val="1"/>
      </w:numPr>
      <w:tabs>
        <w:tab w:val="clear" w:pos="1209"/>
      </w:tabs>
      <w:spacing w:after="160" w:line="259" w:lineRule="auto"/>
      <w:ind w:left="0" w:firstLine="0"/>
      <w:contextualSpacing/>
    </w:pPr>
  </w:style>
  <w:style w:type="paragraph" w:styleId="ListBullet5">
    <w:name w:val="List Bullet 5"/>
    <w:basedOn w:val="Normal"/>
    <w:uiPriority w:val="99"/>
    <w:unhideWhenUsed/>
    <w:rsid w:val="00676882"/>
    <w:pPr>
      <w:numPr>
        <w:numId w:val="2"/>
      </w:numPr>
      <w:spacing w:after="160" w:line="259" w:lineRule="auto"/>
      <w:contextualSpacing/>
    </w:pPr>
  </w:style>
  <w:style w:type="paragraph" w:styleId="ListContinue">
    <w:name w:val="List Continue"/>
    <w:basedOn w:val="Normal"/>
    <w:uiPriority w:val="99"/>
    <w:unhideWhenUsed/>
    <w:rsid w:val="00676882"/>
    <w:pPr>
      <w:spacing w:line="259" w:lineRule="auto"/>
      <w:ind w:left="283"/>
      <w:contextualSpacing/>
    </w:pPr>
  </w:style>
  <w:style w:type="paragraph" w:styleId="ListContinue2">
    <w:name w:val="List Continue 2"/>
    <w:basedOn w:val="Normal"/>
    <w:uiPriority w:val="99"/>
    <w:unhideWhenUsed/>
    <w:rsid w:val="00676882"/>
    <w:pPr>
      <w:spacing w:line="259" w:lineRule="auto"/>
      <w:ind w:left="566"/>
      <w:contextualSpacing/>
    </w:pPr>
  </w:style>
  <w:style w:type="paragraph" w:styleId="ListContinue3">
    <w:name w:val="List Continue 3"/>
    <w:basedOn w:val="Normal"/>
    <w:uiPriority w:val="99"/>
    <w:unhideWhenUsed/>
    <w:rsid w:val="00676882"/>
    <w:pPr>
      <w:spacing w:line="259" w:lineRule="auto"/>
      <w:ind w:left="849"/>
      <w:contextualSpacing/>
    </w:pPr>
  </w:style>
  <w:style w:type="paragraph" w:styleId="ListContinue4">
    <w:name w:val="List Continue 4"/>
    <w:basedOn w:val="Normal"/>
    <w:uiPriority w:val="99"/>
    <w:unhideWhenUsed/>
    <w:rsid w:val="00676882"/>
    <w:pPr>
      <w:spacing w:line="259" w:lineRule="auto"/>
      <w:ind w:left="1132"/>
      <w:contextualSpacing/>
    </w:pPr>
  </w:style>
  <w:style w:type="paragraph" w:styleId="ListContinue5">
    <w:name w:val="List Continue 5"/>
    <w:basedOn w:val="Normal"/>
    <w:uiPriority w:val="99"/>
    <w:unhideWhenUsed/>
    <w:rsid w:val="00676882"/>
    <w:pPr>
      <w:spacing w:line="259" w:lineRule="auto"/>
      <w:ind w:left="1415"/>
      <w:contextualSpacing/>
    </w:pPr>
  </w:style>
  <w:style w:type="paragraph" w:styleId="ListNumber">
    <w:name w:val="List Number"/>
    <w:aliases w:val="List Number Special"/>
    <w:basedOn w:val="Normal"/>
    <w:uiPriority w:val="99"/>
    <w:qFormat/>
    <w:rsid w:val="00676882"/>
    <w:pPr>
      <w:numPr>
        <w:numId w:val="8"/>
      </w:numPr>
      <w:spacing w:before="70" w:after="70"/>
    </w:pPr>
  </w:style>
  <w:style w:type="paragraph" w:styleId="ListNumber2">
    <w:name w:val="List Number 2"/>
    <w:basedOn w:val="Normal"/>
    <w:uiPriority w:val="99"/>
    <w:qFormat/>
    <w:rsid w:val="00676882"/>
    <w:pPr>
      <w:numPr>
        <w:ilvl w:val="1"/>
        <w:numId w:val="8"/>
      </w:numPr>
      <w:spacing w:before="0" w:after="60" w:line="240" w:lineRule="atLeast"/>
    </w:pPr>
  </w:style>
  <w:style w:type="paragraph" w:styleId="ListNumber3">
    <w:name w:val="List Number 3"/>
    <w:basedOn w:val="Normal"/>
    <w:uiPriority w:val="99"/>
    <w:qFormat/>
    <w:rsid w:val="00676882"/>
    <w:pPr>
      <w:numPr>
        <w:ilvl w:val="2"/>
        <w:numId w:val="8"/>
      </w:numPr>
      <w:spacing w:before="0" w:after="60" w:line="240" w:lineRule="atLeast"/>
    </w:pPr>
  </w:style>
  <w:style w:type="paragraph" w:styleId="ListNumber4">
    <w:name w:val="List Number 4"/>
    <w:basedOn w:val="Normal"/>
    <w:uiPriority w:val="99"/>
    <w:unhideWhenUsed/>
    <w:qFormat/>
    <w:rsid w:val="00676882"/>
    <w:pPr>
      <w:numPr>
        <w:numId w:val="3"/>
      </w:numPr>
      <w:spacing w:after="160" w:line="259" w:lineRule="auto"/>
      <w:contextualSpacing/>
    </w:pPr>
  </w:style>
  <w:style w:type="paragraph" w:styleId="ListNumber5">
    <w:name w:val="List Number 5"/>
    <w:basedOn w:val="Normal"/>
    <w:uiPriority w:val="99"/>
    <w:unhideWhenUsed/>
    <w:rsid w:val="00676882"/>
    <w:pPr>
      <w:numPr>
        <w:numId w:val="4"/>
      </w:numPr>
      <w:spacing w:after="160" w:line="259" w:lineRule="auto"/>
      <w:contextualSpacing/>
    </w:pPr>
  </w:style>
  <w:style w:type="paragraph" w:styleId="ListParagraph">
    <w:name w:val="List Paragraph"/>
    <w:aliases w:val="List Paragraph1,Recommendation,List Paragraph11,L,1 heading,Bullet point,Dot point 1.5 line spacing,List Paragraph - bullets,NFP GP Bulleted List,bullet point list,Bulletr List Paragraph,FooterText,List Paragraph2,List Paragraph21,CV t"/>
    <w:basedOn w:val="Normal"/>
    <w:link w:val="ListParagraphChar"/>
    <w:uiPriority w:val="34"/>
    <w:qFormat/>
    <w:rsid w:val="00676882"/>
    <w:pPr>
      <w:spacing w:after="160" w:line="259" w:lineRule="auto"/>
      <w:ind w:left="720"/>
      <w:contextualSpacing/>
    </w:pPr>
  </w:style>
  <w:style w:type="table" w:styleId="ListTable1Light">
    <w:name w:val="List Table 1 Light"/>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8EAADB" w:themeColor="accent1" w:themeTint="99"/>
        </w:tcBorders>
      </w:tcPr>
    </w:tblStylePr>
    <w:tblStylePr w:type="lastRow">
      <w:rPr>
        <w:b/>
        <w:bCs/>
      </w:rPr>
      <w:tblPr/>
      <w:tcPr>
        <w:tcBorders>
          <w:top w:val="sing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1Light-Accent2">
    <w:name w:val="List Table 1 Light Accent 2"/>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1Light-Accent3">
    <w:name w:val="List Table 1 Light Accent 3"/>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1Light-Accent5">
    <w:name w:val="List Table 1 Light Accent 5"/>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9CC2E5" w:themeColor="accent5" w:themeTint="99"/>
        </w:tcBorders>
      </w:tcPr>
    </w:tblStylePr>
    <w:tblStylePr w:type="lastRow">
      <w:rPr>
        <w:b/>
        <w:bCs/>
      </w:rPr>
      <w:tblPr/>
      <w:tcPr>
        <w:tcBorders>
          <w:top w:val="sing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1Light-Accent6">
    <w:name w:val="List Table 1 Light Accent 6"/>
    <w:basedOn w:val="TableNormal"/>
    <w:uiPriority w:val="46"/>
    <w:rsid w:val="00676882"/>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2">
    <w:name w:val="List Table 2"/>
    <w:basedOn w:val="TableNormal"/>
    <w:uiPriority w:val="47"/>
    <w:rsid w:val="00676882"/>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676882"/>
    <w:pPr>
      <w:spacing w:after="0" w:line="240" w:lineRule="auto"/>
    </w:pPr>
    <w:tblPr>
      <w:tblStyleRowBandSize w:val="1"/>
      <w:tblStyleColBandSize w:val="1"/>
      <w:tblBorders>
        <w:top w:val="single" w:sz="4" w:space="0" w:color="8EAADB" w:themeColor="accent1" w:themeTint="99"/>
        <w:bottom w:val="single" w:sz="4" w:space="0" w:color="8EAADB" w:themeColor="accent1" w:themeTint="99"/>
        <w:insideH w:val="single" w:sz="4" w:space="0" w:color="8EAADB"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2-Accent2">
    <w:name w:val="List Table 2 Accent 2"/>
    <w:basedOn w:val="TableNormal"/>
    <w:uiPriority w:val="47"/>
    <w:rsid w:val="00676882"/>
    <w:pPr>
      <w:spacing w:after="0"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2-Accent3">
    <w:name w:val="List Table 2 Accent 3"/>
    <w:basedOn w:val="TableNormal"/>
    <w:uiPriority w:val="47"/>
    <w:rsid w:val="00676882"/>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4">
    <w:name w:val="List Table 2 Accent 4"/>
    <w:basedOn w:val="TableNormal"/>
    <w:uiPriority w:val="47"/>
    <w:rsid w:val="00676882"/>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2-Accent5">
    <w:name w:val="List Table 2 Accent 5"/>
    <w:basedOn w:val="TableNormal"/>
    <w:uiPriority w:val="47"/>
    <w:rsid w:val="00676882"/>
    <w:pPr>
      <w:spacing w:after="0" w:line="240" w:lineRule="auto"/>
    </w:pPr>
    <w:tblPr>
      <w:tblStyleRowBandSize w:val="1"/>
      <w:tblStyleColBandSize w:val="1"/>
      <w:tblBorders>
        <w:top w:val="single" w:sz="4" w:space="0" w:color="9CC2E5" w:themeColor="accent5" w:themeTint="99"/>
        <w:bottom w:val="single" w:sz="4" w:space="0" w:color="9CC2E5" w:themeColor="accent5" w:themeTint="99"/>
        <w:insideH w:val="single" w:sz="4" w:space="0" w:color="9CC2E5"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2-Accent6">
    <w:name w:val="List Table 2 Accent 6"/>
    <w:basedOn w:val="TableNormal"/>
    <w:uiPriority w:val="47"/>
    <w:rsid w:val="00676882"/>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
    <w:name w:val="List Table 3"/>
    <w:basedOn w:val="TableNormal"/>
    <w:uiPriority w:val="48"/>
    <w:rsid w:val="00676882"/>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676882"/>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styleId="ListTable3-Accent2">
    <w:name w:val="List Table 3 Accent 2"/>
    <w:basedOn w:val="TableNormal"/>
    <w:uiPriority w:val="48"/>
    <w:rsid w:val="00676882"/>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ListTable3-Accent3">
    <w:name w:val="List Table 3 Accent 3"/>
    <w:basedOn w:val="TableNormal"/>
    <w:uiPriority w:val="48"/>
    <w:rsid w:val="00676882"/>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Table3-Accent4">
    <w:name w:val="List Table 3 Accent 4"/>
    <w:basedOn w:val="TableNormal"/>
    <w:uiPriority w:val="48"/>
    <w:rsid w:val="00676882"/>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Table3-Accent5">
    <w:name w:val="List Table 3 Accent 5"/>
    <w:basedOn w:val="TableNormal"/>
    <w:uiPriority w:val="48"/>
    <w:rsid w:val="00676882"/>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6">
    <w:name w:val="List Table 3 Accent 6"/>
    <w:basedOn w:val="TableNormal"/>
    <w:uiPriority w:val="48"/>
    <w:rsid w:val="00676882"/>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4">
    <w:name w:val="List Table 4"/>
    <w:basedOn w:val="TableNormal"/>
    <w:uiPriority w:val="49"/>
    <w:rsid w:val="0067688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676882"/>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4-Accent2">
    <w:name w:val="List Table 4 Accent 2"/>
    <w:basedOn w:val="TableNormal"/>
    <w:uiPriority w:val="49"/>
    <w:rsid w:val="00676882"/>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4-Accent3">
    <w:name w:val="List Table 4 Accent 3"/>
    <w:basedOn w:val="TableNormal"/>
    <w:uiPriority w:val="49"/>
    <w:rsid w:val="0067688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4">
    <w:name w:val="List Table 4 Accent 4"/>
    <w:basedOn w:val="TableNormal"/>
    <w:uiPriority w:val="49"/>
    <w:rsid w:val="00676882"/>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5">
    <w:name w:val="List Table 4 Accent 5"/>
    <w:basedOn w:val="TableNormal"/>
    <w:uiPriority w:val="49"/>
    <w:rsid w:val="00676882"/>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6">
    <w:name w:val="List Table 4 Accent 6"/>
    <w:basedOn w:val="TableNormal"/>
    <w:uiPriority w:val="49"/>
    <w:rsid w:val="00676882"/>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
    <w:name w:val="List Table 5 Dark"/>
    <w:basedOn w:val="TableNormal"/>
    <w:uiPriority w:val="50"/>
    <w:rsid w:val="00676882"/>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676882"/>
    <w:pPr>
      <w:spacing w:after="0" w:line="240" w:lineRule="auto"/>
    </w:pPr>
    <w:rPr>
      <w:color w:val="FFFFFF" w:themeColor="background1"/>
    </w:rPr>
    <w:tblPr>
      <w:tblStyleRowBandSize w:val="1"/>
      <w:tblStyleColBandSize w:val="1"/>
      <w:tblBorders>
        <w:top w:val="single" w:sz="24" w:space="0" w:color="4472C4" w:themeColor="accent1"/>
        <w:left w:val="single" w:sz="24" w:space="0" w:color="4472C4" w:themeColor="accent1"/>
        <w:bottom w:val="single" w:sz="24" w:space="0" w:color="4472C4" w:themeColor="accent1"/>
        <w:right w:val="single" w:sz="24" w:space="0" w:color="4472C4" w:themeColor="accent1"/>
      </w:tblBorders>
    </w:tblPr>
    <w:tcPr>
      <w:shd w:val="clear" w:color="auto" w:fill="4472C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676882"/>
    <w:pPr>
      <w:spacing w:after="0"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676882"/>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676882"/>
    <w:pPr>
      <w:spacing w:after="0"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676882"/>
    <w:pPr>
      <w:spacing w:after="0" w:line="240" w:lineRule="auto"/>
    </w:pPr>
    <w:rPr>
      <w:color w:val="FFFFFF" w:themeColor="background1"/>
    </w:rPr>
    <w:tblPr>
      <w:tblStyleRowBandSize w:val="1"/>
      <w:tblStyleColBandSize w:val="1"/>
      <w:tblBorders>
        <w:top w:val="single" w:sz="24" w:space="0" w:color="5B9BD5" w:themeColor="accent5"/>
        <w:left w:val="single" w:sz="24" w:space="0" w:color="5B9BD5" w:themeColor="accent5"/>
        <w:bottom w:val="single" w:sz="24" w:space="0" w:color="5B9BD5" w:themeColor="accent5"/>
        <w:right w:val="single" w:sz="24" w:space="0" w:color="5B9BD5" w:themeColor="accent5"/>
      </w:tblBorders>
    </w:tblPr>
    <w:tcPr>
      <w:shd w:val="clear" w:color="auto" w:fill="5B9BD5"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676882"/>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676882"/>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676882"/>
    <w:pPr>
      <w:spacing w:after="0" w:line="240" w:lineRule="auto"/>
    </w:pPr>
    <w:rPr>
      <w:color w:val="2F5496" w:themeColor="accent1" w:themeShade="BF"/>
    </w:rPr>
    <w:tblPr>
      <w:tblStyleRowBandSize w:val="1"/>
      <w:tblStyleColBandSize w:val="1"/>
      <w:tblBorders>
        <w:top w:val="single" w:sz="4" w:space="0" w:color="4472C4" w:themeColor="accent1"/>
        <w:bottom w:val="single" w:sz="4" w:space="0" w:color="4472C4" w:themeColor="accent1"/>
      </w:tblBorders>
    </w:tblPr>
    <w:tblStylePr w:type="firstRow">
      <w:rPr>
        <w:b/>
        <w:bCs/>
      </w:rPr>
      <w:tblPr/>
      <w:tcPr>
        <w:tcBorders>
          <w:bottom w:val="single" w:sz="4" w:space="0" w:color="4472C4" w:themeColor="accent1"/>
        </w:tcBorders>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6Colorful-Accent2">
    <w:name w:val="List Table 6 Colorful Accent 2"/>
    <w:basedOn w:val="TableNormal"/>
    <w:uiPriority w:val="51"/>
    <w:rsid w:val="00676882"/>
    <w:pPr>
      <w:spacing w:after="0" w:line="240" w:lineRule="auto"/>
    </w:pPr>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6Colorful-Accent3">
    <w:name w:val="List Table 6 Colorful Accent 3"/>
    <w:basedOn w:val="TableNormal"/>
    <w:uiPriority w:val="51"/>
    <w:rsid w:val="00676882"/>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6Colorful-Accent4">
    <w:name w:val="List Table 6 Colorful Accent 4"/>
    <w:basedOn w:val="TableNormal"/>
    <w:uiPriority w:val="51"/>
    <w:rsid w:val="00676882"/>
    <w:pPr>
      <w:spacing w:after="0"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6Colorful-Accent5">
    <w:name w:val="List Table 6 Colorful Accent 5"/>
    <w:basedOn w:val="TableNormal"/>
    <w:uiPriority w:val="51"/>
    <w:rsid w:val="00676882"/>
    <w:pPr>
      <w:spacing w:after="0" w:line="240" w:lineRule="auto"/>
    </w:pPr>
    <w:rPr>
      <w:color w:val="2E74B5" w:themeColor="accent5" w:themeShade="BF"/>
    </w:rPr>
    <w:tblPr>
      <w:tblStyleRowBandSize w:val="1"/>
      <w:tblStyleColBandSize w:val="1"/>
      <w:tblBorders>
        <w:top w:val="single" w:sz="4" w:space="0" w:color="5B9BD5" w:themeColor="accent5"/>
        <w:bottom w:val="single" w:sz="4" w:space="0" w:color="5B9BD5" w:themeColor="accent5"/>
      </w:tblBorders>
    </w:tblPr>
    <w:tblStylePr w:type="firstRow">
      <w:rPr>
        <w:b/>
        <w:bCs/>
      </w:rPr>
      <w:tblPr/>
      <w:tcPr>
        <w:tcBorders>
          <w:bottom w:val="single" w:sz="4" w:space="0" w:color="5B9BD5" w:themeColor="accent5"/>
        </w:tcBorders>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6Colorful-Accent6">
    <w:name w:val="List Table 6 Colorful Accent 6"/>
    <w:basedOn w:val="TableNormal"/>
    <w:uiPriority w:val="51"/>
    <w:rsid w:val="00676882"/>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7Colorful">
    <w:name w:val="List Table 7 Colorful"/>
    <w:basedOn w:val="TableNormal"/>
    <w:uiPriority w:val="52"/>
    <w:rsid w:val="00676882"/>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676882"/>
    <w:pPr>
      <w:spacing w:after="0" w:line="240" w:lineRule="auto"/>
    </w:pPr>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676882"/>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676882"/>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676882"/>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676882"/>
    <w:pPr>
      <w:spacing w:after="0" w:line="240" w:lineRule="auto"/>
    </w:pPr>
    <w:rPr>
      <w:color w:val="2E74B5"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5"/>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676882"/>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unhideWhenUsed/>
    <w:rsid w:val="00676882"/>
    <w:pPr>
      <w:tabs>
        <w:tab w:val="left" w:pos="480"/>
        <w:tab w:val="left" w:pos="960"/>
        <w:tab w:val="left" w:pos="1440"/>
        <w:tab w:val="left" w:pos="1920"/>
        <w:tab w:val="left" w:pos="2400"/>
        <w:tab w:val="left" w:pos="2880"/>
        <w:tab w:val="left" w:pos="3360"/>
        <w:tab w:val="left" w:pos="3840"/>
        <w:tab w:val="left" w:pos="4320"/>
      </w:tabs>
      <w:spacing w:after="0"/>
    </w:pPr>
    <w:rPr>
      <w:rFonts w:ascii="Arial Narrow" w:hAnsi="Arial Narrow" w:cs="Arial"/>
      <w:sz w:val="20"/>
      <w:szCs w:val="20"/>
    </w:rPr>
  </w:style>
  <w:style w:type="character" w:customStyle="1" w:styleId="MacroTextChar">
    <w:name w:val="Macro Text Char"/>
    <w:basedOn w:val="DefaultParagraphFont"/>
    <w:link w:val="MacroText"/>
    <w:uiPriority w:val="99"/>
    <w:rsid w:val="00676882"/>
    <w:rPr>
      <w:rFonts w:ascii="Arial Narrow" w:hAnsi="Arial Narrow" w:cs="Arial"/>
      <w:sz w:val="20"/>
      <w:szCs w:val="20"/>
    </w:rPr>
  </w:style>
  <w:style w:type="table" w:styleId="MediumGrid1">
    <w:name w:val="Medium Grid 1"/>
    <w:basedOn w:val="TableNormal"/>
    <w:uiPriority w:val="67"/>
    <w:unhideWhenUsed/>
    <w:rsid w:val="00676882"/>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unhideWhenUsed/>
    <w:rsid w:val="00676882"/>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MediumGrid1-Accent2">
    <w:name w:val="Medium Grid 1 Accent 2"/>
    <w:basedOn w:val="TableNormal"/>
    <w:uiPriority w:val="67"/>
    <w:unhideWhenUsed/>
    <w:rsid w:val="00676882"/>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MediumGrid1-Accent3">
    <w:name w:val="Medium Grid 1 Accent 3"/>
    <w:basedOn w:val="TableNormal"/>
    <w:uiPriority w:val="67"/>
    <w:unhideWhenUsed/>
    <w:rsid w:val="00676882"/>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rid1-Accent4">
    <w:name w:val="Medium Grid 1 Accent 4"/>
    <w:basedOn w:val="TableNormal"/>
    <w:uiPriority w:val="67"/>
    <w:unhideWhenUsed/>
    <w:rsid w:val="00676882"/>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rid1-Accent5">
    <w:name w:val="Medium Grid 1 Accent 5"/>
    <w:basedOn w:val="TableNormal"/>
    <w:uiPriority w:val="67"/>
    <w:unhideWhenUsed/>
    <w:rsid w:val="00676882"/>
    <w:pPr>
      <w:spacing w:after="0" w:line="240" w:lineRule="auto"/>
    </w:p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insideV w:val="single" w:sz="8" w:space="0" w:color="84B3DF" w:themeColor="accent5" w:themeTint="BF"/>
      </w:tblBorders>
    </w:tblPr>
    <w:tcPr>
      <w:shd w:val="clear" w:color="auto" w:fill="D6E6F4" w:themeFill="accent5" w:themeFillTint="3F"/>
    </w:tcPr>
    <w:tblStylePr w:type="firstRow">
      <w:rPr>
        <w:b/>
        <w:bCs/>
      </w:rPr>
    </w:tblStylePr>
    <w:tblStylePr w:type="lastRow">
      <w:rPr>
        <w:b/>
        <w:bCs/>
      </w:rPr>
      <w:tblPr/>
      <w:tcPr>
        <w:tcBorders>
          <w:top w:val="single" w:sz="18" w:space="0" w:color="84B3DF" w:themeColor="accent5" w:themeTint="BF"/>
        </w:tcBorders>
      </w:tcPr>
    </w:tblStylePr>
    <w:tblStylePr w:type="firstCol">
      <w:rPr>
        <w:b/>
        <w:bCs/>
      </w:rPr>
    </w:tblStylePr>
    <w:tblStylePr w:type="lastCol">
      <w:rPr>
        <w:b/>
        <w:bCs/>
      </w:r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table" w:styleId="MediumGrid1-Accent6">
    <w:name w:val="Medium Grid 1 Accent 6"/>
    <w:basedOn w:val="TableNormal"/>
    <w:uiPriority w:val="67"/>
    <w:unhideWhenUsed/>
    <w:rsid w:val="00676882"/>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rid2">
    <w:name w:val="Medium Grid 2"/>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cPr>
      <w:shd w:val="clear" w:color="auto" w:fill="D0DBF0" w:themeFill="accent1" w:themeFillTint="3F"/>
    </w:tcPr>
    <w:tblStylePr w:type="firstRow">
      <w:rPr>
        <w:b/>
        <w:bCs/>
        <w:color w:val="000000" w:themeColor="text1"/>
      </w:rPr>
      <w:tblPr/>
      <w:tcPr>
        <w:shd w:val="clear" w:color="auto" w:fill="ECF1F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1" w:themeFillTint="33"/>
      </w:tcPr>
    </w:tblStylePr>
    <w:tblStylePr w:type="band1Vert">
      <w:tblPr/>
      <w:tcPr>
        <w:shd w:val="clear" w:color="auto" w:fill="A1B8E1" w:themeFill="accent1" w:themeFillTint="7F"/>
      </w:tcPr>
    </w:tblStylePr>
    <w:tblStylePr w:type="band1Horz">
      <w:tblPr/>
      <w:tcPr>
        <w:tcBorders>
          <w:insideH w:val="single" w:sz="6" w:space="0" w:color="4472C4" w:themeColor="accent1"/>
          <w:insideV w:val="single" w:sz="6" w:space="0" w:color="4472C4" w:themeColor="accent1"/>
        </w:tcBorders>
        <w:shd w:val="clear" w:color="auto" w:fill="A1B8E1"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cPr>
      <w:shd w:val="clear" w:color="auto" w:fill="D6E6F4" w:themeFill="accent5" w:themeFillTint="3F"/>
    </w:tcPr>
    <w:tblStylePr w:type="firstRow">
      <w:rPr>
        <w:b/>
        <w:bCs/>
        <w:color w:val="000000" w:themeColor="text1"/>
      </w:rPr>
      <w:tblPr/>
      <w:tcPr>
        <w:shd w:val="clear" w:color="auto" w:fill="EEF5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5" w:themeFillTint="33"/>
      </w:tcPr>
    </w:tblStylePr>
    <w:tblStylePr w:type="band1Vert">
      <w:tblPr/>
      <w:tcPr>
        <w:shd w:val="clear" w:color="auto" w:fill="ADCCEA" w:themeFill="accent5" w:themeFillTint="7F"/>
      </w:tcPr>
    </w:tblStylePr>
    <w:tblStylePr w:type="band1Horz">
      <w:tblPr/>
      <w:tcPr>
        <w:tcBorders>
          <w:insideH w:val="single" w:sz="6" w:space="0" w:color="5B9BD5" w:themeColor="accent5"/>
          <w:insideV w:val="single" w:sz="6" w:space="0" w:color="5B9BD5" w:themeColor="accent5"/>
        </w:tcBorders>
        <w:shd w:val="clear" w:color="auto" w:fill="ADCCEA"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unhideWhenUsed/>
    <w:rsid w:val="00676882"/>
    <w:pPr>
      <w:spacing w:after="0" w:line="240" w:lineRule="auto"/>
    </w:pPr>
    <w:rPr>
      <w:rFonts w:eastAsiaTheme="majorEastAsia"/>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1" w:themeFillTint="7F"/>
      </w:tcPr>
    </w:tblStylePr>
  </w:style>
  <w:style w:type="table" w:styleId="MediumGrid3-Accent2">
    <w:name w:val="Medium Grid 3 Accent 2"/>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rid3-Accent3">
    <w:name w:val="Medium Grid 3 Accent 3"/>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rid3-Accent4">
    <w:name w:val="Medium Grid 3 Accent 4"/>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rid3-Accent5">
    <w:name w:val="Medium Grid 3 Accent 5"/>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5" w:themeFillTint="7F"/>
      </w:tcPr>
    </w:tblStylePr>
  </w:style>
  <w:style w:type="table" w:styleId="MediumGrid3-Accent6">
    <w:name w:val="Medium Grid 3 Accent 6"/>
    <w:basedOn w:val="TableNormal"/>
    <w:uiPriority w:val="69"/>
    <w:unhideWhenUsed/>
    <w:rsid w:val="0067688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1">
    <w:name w:val="Medium List 1"/>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4472C4" w:themeColor="accent1"/>
        <w:bottom w:val="single" w:sz="8" w:space="0" w:color="4472C4" w:themeColor="accent1"/>
      </w:tblBorders>
    </w:tblPr>
    <w:tblStylePr w:type="firstRow">
      <w:rPr>
        <w:rFonts w:asciiTheme="majorHAnsi" w:eastAsiaTheme="majorEastAsia" w:hAnsiTheme="majorHAnsi" w:cstheme="majorBidi"/>
      </w:rPr>
      <w:tblPr/>
      <w:tcPr>
        <w:tcBorders>
          <w:top w:val="nil"/>
          <w:bottom w:val="single" w:sz="8" w:space="0" w:color="4472C4" w:themeColor="accent1"/>
        </w:tcBorders>
      </w:tcPr>
    </w:tblStylePr>
    <w:tblStylePr w:type="lastRow">
      <w:rPr>
        <w:b/>
        <w:bCs/>
        <w:color w:val="44546A" w:themeColor="text2"/>
      </w:rPr>
      <w:tblPr/>
      <w:tcPr>
        <w:tcBorders>
          <w:top w:val="single" w:sz="8" w:space="0" w:color="4472C4" w:themeColor="accent1"/>
          <w:bottom w:val="single" w:sz="8" w:space="0" w:color="4472C4" w:themeColor="accent1"/>
        </w:tcBorders>
      </w:tcPr>
    </w:tblStylePr>
    <w:tblStylePr w:type="firstCol">
      <w:rPr>
        <w:b/>
        <w:bCs/>
      </w:rPr>
    </w:tblStylePr>
    <w:tblStylePr w:type="lastCol">
      <w:rPr>
        <w:b/>
        <w:bCs/>
      </w:rPr>
      <w:tblPr/>
      <w:tcPr>
        <w:tcBorders>
          <w:top w:val="single" w:sz="8" w:space="0" w:color="4472C4" w:themeColor="accent1"/>
          <w:bottom w:val="single" w:sz="8" w:space="0" w:color="4472C4" w:themeColor="accent1"/>
        </w:tcBorders>
      </w:tcPr>
    </w:tblStylePr>
    <w:tblStylePr w:type="band1Vert">
      <w:tblPr/>
      <w:tcPr>
        <w:shd w:val="clear" w:color="auto" w:fill="D0DBF0" w:themeFill="accent1" w:themeFillTint="3F"/>
      </w:tcPr>
    </w:tblStylePr>
    <w:tblStylePr w:type="band1Horz">
      <w:tblPr/>
      <w:tcPr>
        <w:shd w:val="clear" w:color="auto" w:fill="D0DBF0" w:themeFill="accent1" w:themeFillTint="3F"/>
      </w:tcPr>
    </w:tblStylePr>
  </w:style>
  <w:style w:type="table" w:styleId="MediumList1-Accent2">
    <w:name w:val="Medium List 1 Accent 2"/>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MediumList1-Accent3">
    <w:name w:val="Medium List 1 Accent 3"/>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1-Accent4">
    <w:name w:val="Medium List 1 Accent 4"/>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MediumList1-Accent5">
    <w:name w:val="Medium List 1 Accent 5"/>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5B9BD5" w:themeColor="accent5"/>
        <w:bottom w:val="single" w:sz="8" w:space="0" w:color="5B9BD5" w:themeColor="accent5"/>
      </w:tblBorders>
    </w:tblPr>
    <w:tblStylePr w:type="firstRow">
      <w:rPr>
        <w:rFonts w:asciiTheme="majorHAnsi" w:eastAsiaTheme="majorEastAsia" w:hAnsiTheme="majorHAnsi" w:cstheme="majorBidi"/>
      </w:rPr>
      <w:tblPr/>
      <w:tcPr>
        <w:tcBorders>
          <w:top w:val="nil"/>
          <w:bottom w:val="single" w:sz="8" w:space="0" w:color="5B9BD5" w:themeColor="accent5"/>
        </w:tcBorders>
      </w:tcPr>
    </w:tblStylePr>
    <w:tblStylePr w:type="lastRow">
      <w:rPr>
        <w:b/>
        <w:bCs/>
        <w:color w:val="44546A" w:themeColor="text2"/>
      </w:rPr>
      <w:tblPr/>
      <w:tcPr>
        <w:tcBorders>
          <w:top w:val="single" w:sz="8" w:space="0" w:color="5B9BD5" w:themeColor="accent5"/>
          <w:bottom w:val="single" w:sz="8" w:space="0" w:color="5B9BD5" w:themeColor="accent5"/>
        </w:tcBorders>
      </w:tcPr>
    </w:tblStylePr>
    <w:tblStylePr w:type="firstCol">
      <w:rPr>
        <w:b/>
        <w:bCs/>
      </w:rPr>
    </w:tblStylePr>
    <w:tblStylePr w:type="lastCol">
      <w:rPr>
        <w:b/>
        <w:bCs/>
      </w:rPr>
      <w:tblPr/>
      <w:tcPr>
        <w:tcBorders>
          <w:top w:val="single" w:sz="8" w:space="0" w:color="5B9BD5" w:themeColor="accent5"/>
          <w:bottom w:val="single" w:sz="8" w:space="0" w:color="5B9BD5" w:themeColor="accent5"/>
        </w:tcBorders>
      </w:tcPr>
    </w:tblStylePr>
    <w:tblStylePr w:type="band1Vert">
      <w:tblPr/>
      <w:tcPr>
        <w:shd w:val="clear" w:color="auto" w:fill="D6E6F4" w:themeFill="accent5" w:themeFillTint="3F"/>
      </w:tcPr>
    </w:tblStylePr>
    <w:tblStylePr w:type="band1Horz">
      <w:tblPr/>
      <w:tcPr>
        <w:shd w:val="clear" w:color="auto" w:fill="D6E6F4" w:themeFill="accent5" w:themeFillTint="3F"/>
      </w:tcPr>
    </w:tblStylePr>
  </w:style>
  <w:style w:type="table" w:styleId="MediumList1-Accent6">
    <w:name w:val="Medium List 1 Accent 6"/>
    <w:basedOn w:val="TableNormal"/>
    <w:uiPriority w:val="65"/>
    <w:unhideWhenUsed/>
    <w:rsid w:val="00676882"/>
    <w:pPr>
      <w:spacing w:after="0" w:line="240" w:lineRule="auto"/>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2">
    <w:name w:val="Medium List 2"/>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single" w:sz="8" w:space="0" w:color="ED7D31"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single" w:sz="8" w:space="0" w:color="A5A5A5"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single" w:sz="8" w:space="0" w:color="FFC00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rPr>
        <w:sz w:val="24"/>
        <w:szCs w:val="24"/>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tblPr/>
      <w:tcPr>
        <w:tcBorders>
          <w:top w:val="single" w:sz="8" w:space="0" w:color="5B9BD5"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5"/>
          <w:insideH w:val="nil"/>
          <w:insideV w:val="nil"/>
        </w:tcBorders>
        <w:shd w:val="clear" w:color="auto" w:fill="FFFFFF" w:themeFill="background1"/>
      </w:tcPr>
    </w:tblStylePr>
    <w:tblStylePr w:type="lastCol">
      <w:tblPr/>
      <w:tcPr>
        <w:tcBorders>
          <w:top w:val="nil"/>
          <w:left w:val="single" w:sz="8" w:space="0" w:color="5B9BD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top w:val="nil"/>
          <w:bottom w:val="nil"/>
          <w:insideH w:val="nil"/>
          <w:insideV w:val="nil"/>
        </w:tcBorders>
        <w:shd w:val="clear" w:color="auto" w:fill="D6E6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unhideWhenUsed/>
    <w:rsid w:val="00676882"/>
    <w:pPr>
      <w:spacing w:after="0" w:line="240" w:lineRule="auto"/>
    </w:pPr>
    <w:rPr>
      <w:rFonts w:eastAsiaTheme="majorEastAsia"/>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single" w:sz="8" w:space="0" w:color="70AD4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unhideWhenUsed/>
    <w:rsid w:val="00676882"/>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unhideWhenUsed/>
    <w:rsid w:val="00676882"/>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unhideWhenUsed/>
    <w:rsid w:val="00676882"/>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unhideWhenUsed/>
    <w:rsid w:val="00676882"/>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unhideWhenUsed/>
    <w:rsid w:val="00676882"/>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unhideWhenUsed/>
    <w:rsid w:val="00676882"/>
    <w:pPr>
      <w:spacing w:after="0" w:line="240" w:lineRule="auto"/>
    </w:p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unhideWhenUsed/>
    <w:rsid w:val="00676882"/>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1"/>
      </w:tcPr>
    </w:tblStylePr>
    <w:tblStylePr w:type="lastCol">
      <w:rPr>
        <w:b/>
        <w:bCs/>
        <w:color w:val="FFFFFF" w:themeColor="background1"/>
      </w:rPr>
      <w:tblPr/>
      <w:tcPr>
        <w:tcBorders>
          <w:left w:val="nil"/>
          <w:right w:val="nil"/>
          <w:insideH w:val="nil"/>
          <w:insideV w:val="nil"/>
        </w:tcBorders>
        <w:shd w:val="clear" w:color="auto" w:fill="4472C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unhideWhenUsed/>
    <w:rsid w:val="0067688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Mention">
    <w:name w:val="Mention"/>
    <w:basedOn w:val="DefaultParagraphFont"/>
    <w:uiPriority w:val="99"/>
    <w:semiHidden/>
    <w:unhideWhenUsed/>
    <w:rsid w:val="00676882"/>
    <w:rPr>
      <w:color w:val="2B579A"/>
      <w:shd w:val="clear" w:color="auto" w:fill="E1DFDD"/>
    </w:rPr>
  </w:style>
  <w:style w:type="paragraph" w:styleId="MessageHeader">
    <w:name w:val="Message Header"/>
    <w:basedOn w:val="Normal"/>
    <w:link w:val="MessageHeaderChar"/>
    <w:uiPriority w:val="99"/>
    <w:unhideWhenUsed/>
    <w:rsid w:val="00676882"/>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eastAsiaTheme="majorEastAsia"/>
      <w:sz w:val="24"/>
      <w:szCs w:val="24"/>
    </w:rPr>
  </w:style>
  <w:style w:type="character" w:customStyle="1" w:styleId="MessageHeaderChar">
    <w:name w:val="Message Header Char"/>
    <w:basedOn w:val="DefaultParagraphFont"/>
    <w:link w:val="MessageHeader"/>
    <w:uiPriority w:val="99"/>
    <w:rsid w:val="00676882"/>
    <w:rPr>
      <w:rFonts w:ascii="Arial Narrow" w:eastAsiaTheme="majorEastAsia" w:hAnsi="Arial Narrow" w:cs="Arial"/>
      <w:sz w:val="24"/>
      <w:szCs w:val="24"/>
      <w:shd w:val="pct20" w:color="auto" w:fill="auto"/>
    </w:rPr>
  </w:style>
  <w:style w:type="paragraph" w:styleId="NoSpacing">
    <w:name w:val="No Spacing"/>
    <w:uiPriority w:val="1"/>
    <w:qFormat/>
    <w:rsid w:val="00676882"/>
    <w:pPr>
      <w:spacing w:after="0" w:line="240" w:lineRule="auto"/>
    </w:pPr>
    <w:rPr>
      <w:rFonts w:ascii="Arial Narrow" w:hAnsi="Arial Narrow" w:cs="Arial"/>
    </w:rPr>
  </w:style>
  <w:style w:type="paragraph" w:styleId="NormalWeb">
    <w:name w:val="Normal (Web)"/>
    <w:basedOn w:val="Normal"/>
    <w:uiPriority w:val="99"/>
    <w:unhideWhenUsed/>
    <w:rsid w:val="00676882"/>
    <w:pPr>
      <w:spacing w:after="160" w:line="259" w:lineRule="auto"/>
    </w:pPr>
    <w:rPr>
      <w:sz w:val="24"/>
      <w:szCs w:val="24"/>
    </w:rPr>
  </w:style>
  <w:style w:type="paragraph" w:styleId="NormalIndent">
    <w:name w:val="Normal Indent"/>
    <w:basedOn w:val="Normal"/>
    <w:uiPriority w:val="99"/>
    <w:unhideWhenUsed/>
    <w:rsid w:val="00676882"/>
    <w:pPr>
      <w:spacing w:after="160" w:line="259" w:lineRule="auto"/>
      <w:ind w:left="720"/>
    </w:pPr>
  </w:style>
  <w:style w:type="paragraph" w:styleId="NoteHeading">
    <w:name w:val="Note Heading"/>
    <w:basedOn w:val="Normal"/>
    <w:next w:val="Normal"/>
    <w:link w:val="NoteHeadingChar"/>
    <w:uiPriority w:val="99"/>
    <w:unhideWhenUsed/>
    <w:rsid w:val="00676882"/>
    <w:pPr>
      <w:spacing w:after="0"/>
    </w:pPr>
  </w:style>
  <w:style w:type="character" w:customStyle="1" w:styleId="NoteHeadingChar">
    <w:name w:val="Note Heading Char"/>
    <w:basedOn w:val="DefaultParagraphFont"/>
    <w:link w:val="NoteHeading"/>
    <w:uiPriority w:val="99"/>
    <w:rsid w:val="00676882"/>
    <w:rPr>
      <w:rFonts w:ascii="Arial Narrow" w:hAnsi="Arial Narrow" w:cs="Arial"/>
    </w:rPr>
  </w:style>
  <w:style w:type="character" w:styleId="PageNumber">
    <w:name w:val="page number"/>
    <w:basedOn w:val="DefaultParagraphFont"/>
    <w:uiPriority w:val="99"/>
    <w:unhideWhenUsed/>
    <w:rsid w:val="00676882"/>
  </w:style>
  <w:style w:type="character" w:styleId="PlaceholderText">
    <w:name w:val="Placeholder Text"/>
    <w:basedOn w:val="DefaultParagraphFont"/>
    <w:uiPriority w:val="99"/>
    <w:semiHidden/>
    <w:rsid w:val="00676882"/>
    <w:rPr>
      <w:color w:val="808080"/>
    </w:rPr>
  </w:style>
  <w:style w:type="table" w:styleId="PlainTable1">
    <w:name w:val="Plain Table 1"/>
    <w:basedOn w:val="TableNormal"/>
    <w:uiPriority w:val="41"/>
    <w:rsid w:val="006768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67688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67688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676882"/>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676882"/>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unhideWhenUsed/>
    <w:rsid w:val="00676882"/>
    <w:pPr>
      <w:spacing w:after="0"/>
    </w:pPr>
    <w:rPr>
      <w:sz w:val="21"/>
      <w:szCs w:val="21"/>
    </w:rPr>
  </w:style>
  <w:style w:type="character" w:customStyle="1" w:styleId="PlainTextChar">
    <w:name w:val="Plain Text Char"/>
    <w:basedOn w:val="DefaultParagraphFont"/>
    <w:link w:val="PlainText"/>
    <w:uiPriority w:val="99"/>
    <w:rsid w:val="00676882"/>
    <w:rPr>
      <w:rFonts w:ascii="Arial Narrow" w:hAnsi="Arial Narrow" w:cs="Arial"/>
      <w:sz w:val="21"/>
      <w:szCs w:val="21"/>
    </w:rPr>
  </w:style>
  <w:style w:type="paragraph" w:styleId="Quote">
    <w:name w:val="Quote"/>
    <w:basedOn w:val="Normal"/>
    <w:next w:val="Normal"/>
    <w:link w:val="QuoteChar"/>
    <w:uiPriority w:val="29"/>
    <w:qFormat/>
    <w:rsid w:val="00676882"/>
    <w:pPr>
      <w:spacing w:before="120" w:after="120"/>
      <w:ind w:left="420"/>
    </w:pPr>
    <w:rPr>
      <w:rFonts w:cstheme="minorBidi"/>
      <w:i/>
      <w:iCs/>
      <w:color w:val="4D4C4D"/>
    </w:rPr>
  </w:style>
  <w:style w:type="character" w:customStyle="1" w:styleId="QuoteChar">
    <w:name w:val="Quote Char"/>
    <w:basedOn w:val="DefaultParagraphFont"/>
    <w:link w:val="Quote"/>
    <w:uiPriority w:val="29"/>
    <w:rsid w:val="00676882"/>
    <w:rPr>
      <w:rFonts w:ascii="Arial Narrow" w:hAnsi="Arial Narrow"/>
      <w:i/>
      <w:iCs/>
      <w:color w:val="4D4C4D"/>
    </w:rPr>
  </w:style>
  <w:style w:type="paragraph" w:styleId="Salutation">
    <w:name w:val="Salutation"/>
    <w:basedOn w:val="Normal"/>
    <w:next w:val="Normal"/>
    <w:link w:val="SalutationChar"/>
    <w:uiPriority w:val="99"/>
    <w:unhideWhenUsed/>
    <w:rsid w:val="00676882"/>
    <w:pPr>
      <w:spacing w:after="160" w:line="259" w:lineRule="auto"/>
    </w:pPr>
  </w:style>
  <w:style w:type="character" w:customStyle="1" w:styleId="SalutationChar">
    <w:name w:val="Salutation Char"/>
    <w:basedOn w:val="DefaultParagraphFont"/>
    <w:link w:val="Salutation"/>
    <w:uiPriority w:val="99"/>
    <w:rsid w:val="00676882"/>
    <w:rPr>
      <w:rFonts w:ascii="Arial Narrow" w:hAnsi="Arial Narrow" w:cs="Arial"/>
    </w:rPr>
  </w:style>
  <w:style w:type="paragraph" w:styleId="Signature">
    <w:name w:val="Signature"/>
    <w:basedOn w:val="Normal"/>
    <w:link w:val="SignatureChar"/>
    <w:uiPriority w:val="99"/>
    <w:unhideWhenUsed/>
    <w:rsid w:val="00676882"/>
    <w:pPr>
      <w:spacing w:after="0"/>
      <w:ind w:left="4252"/>
    </w:pPr>
  </w:style>
  <w:style w:type="character" w:customStyle="1" w:styleId="SignatureChar">
    <w:name w:val="Signature Char"/>
    <w:basedOn w:val="DefaultParagraphFont"/>
    <w:link w:val="Signature"/>
    <w:uiPriority w:val="99"/>
    <w:rsid w:val="00676882"/>
    <w:rPr>
      <w:rFonts w:ascii="Arial Narrow" w:hAnsi="Arial Narrow" w:cs="Arial"/>
    </w:rPr>
  </w:style>
  <w:style w:type="character" w:styleId="SmartHyperlink">
    <w:name w:val="Smart Hyperlink"/>
    <w:basedOn w:val="DefaultParagraphFont"/>
    <w:uiPriority w:val="99"/>
    <w:semiHidden/>
    <w:unhideWhenUsed/>
    <w:rsid w:val="00676882"/>
    <w:rPr>
      <w:u w:val="dotted"/>
    </w:rPr>
  </w:style>
  <w:style w:type="character" w:styleId="SmartLink">
    <w:name w:val="Smart Link"/>
    <w:basedOn w:val="DefaultParagraphFont"/>
    <w:uiPriority w:val="99"/>
    <w:semiHidden/>
    <w:unhideWhenUsed/>
    <w:rsid w:val="00676882"/>
    <w:rPr>
      <w:color w:val="0000FF"/>
      <w:u w:val="single"/>
      <w:shd w:val="clear" w:color="auto" w:fill="F3F2F1"/>
    </w:rPr>
  </w:style>
  <w:style w:type="character" w:styleId="Strong">
    <w:name w:val="Strong"/>
    <w:basedOn w:val="DefaultParagraphFont"/>
    <w:uiPriority w:val="22"/>
    <w:qFormat/>
    <w:rsid w:val="00676882"/>
    <w:rPr>
      <w:b/>
      <w:bCs/>
    </w:rPr>
  </w:style>
  <w:style w:type="paragraph" w:styleId="Subtitle">
    <w:name w:val="Subtitle"/>
    <w:basedOn w:val="Normal"/>
    <w:next w:val="Normal"/>
    <w:link w:val="SubtitleChar"/>
    <w:uiPriority w:val="11"/>
    <w:qFormat/>
    <w:rsid w:val="00676882"/>
    <w:pPr>
      <w:numPr>
        <w:ilvl w:val="1"/>
      </w:numPr>
      <w:spacing w:after="160" w:line="259" w:lineRule="auto"/>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76882"/>
    <w:rPr>
      <w:rFonts w:ascii="Arial Narrow" w:eastAsiaTheme="minorEastAsia" w:hAnsi="Arial Narrow" w:cs="Arial"/>
      <w:color w:val="5A5A5A" w:themeColor="text1" w:themeTint="A5"/>
      <w:spacing w:val="15"/>
    </w:rPr>
  </w:style>
  <w:style w:type="character" w:styleId="SubtleEmphasis">
    <w:name w:val="Subtle Emphasis"/>
    <w:basedOn w:val="DefaultParagraphFont"/>
    <w:uiPriority w:val="19"/>
    <w:qFormat/>
    <w:rsid w:val="00676882"/>
    <w:rPr>
      <w:i/>
      <w:iCs/>
      <w:color w:val="404040" w:themeColor="text1" w:themeTint="BF"/>
    </w:rPr>
  </w:style>
  <w:style w:type="character" w:styleId="SubtleReference">
    <w:name w:val="Subtle Reference"/>
    <w:basedOn w:val="DefaultParagraphFont"/>
    <w:uiPriority w:val="31"/>
    <w:qFormat/>
    <w:rsid w:val="00676882"/>
    <w:rPr>
      <w:smallCaps/>
      <w:color w:val="5A5A5A" w:themeColor="text1" w:themeTint="A5"/>
    </w:rPr>
  </w:style>
  <w:style w:type="table" w:styleId="Table3Deffects1">
    <w:name w:val="Table 3D effects 1"/>
    <w:basedOn w:val="TableNormal"/>
    <w:uiPriority w:val="99"/>
    <w:unhideWhenUsed/>
    <w:rsid w:val="0067688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unhideWhenUsed/>
    <w:rsid w:val="0067688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unhideWhenUsed/>
    <w:rsid w:val="0067688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unhideWhenUsed/>
    <w:rsid w:val="0067688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unhideWhenUsed/>
    <w:rsid w:val="0067688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unhideWhenUsed/>
    <w:rsid w:val="0067688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unhideWhenUsed/>
    <w:rsid w:val="0067688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unhideWhenUsed/>
    <w:rsid w:val="0067688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unhideWhenUsed/>
    <w:rsid w:val="0067688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unhideWhenUsed/>
    <w:rsid w:val="0067688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unhideWhenUsed/>
    <w:rsid w:val="0067688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unhideWhenUsed/>
    <w:rsid w:val="0067688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unhideWhenUsed/>
    <w:rsid w:val="0067688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unhideWhenUsed/>
    <w:rsid w:val="0067688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unhideWhenUsed/>
    <w:rsid w:val="0067688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unhideWhenUsed/>
    <w:rsid w:val="0067688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unhideWhenUsed/>
    <w:rsid w:val="0067688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aliases w:val="DPS Table Grid,none,EP Table Grid,EY Question Table,CV table,EY Table,ICB Table,EYTable,CV1,new tab,Equifax table,Header Table,Format for the table,Header Table Grid,McLL Table General Text,PB Table,1TableGrid,~Tender Table,SGS Numeric Table"/>
    <w:basedOn w:val="TableNormal"/>
    <w:uiPriority w:val="39"/>
    <w:rsid w:val="006768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unhideWhenUsed/>
    <w:rsid w:val="0067688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unhideWhenUsed/>
    <w:rsid w:val="0067688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unhideWhenUsed/>
    <w:rsid w:val="0067688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unhideWhenUsed/>
    <w:rsid w:val="0067688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unhideWhenUsed/>
    <w:rsid w:val="0067688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unhideWhenUsed/>
    <w:rsid w:val="0067688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unhideWhenUsed/>
    <w:rsid w:val="0067688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unhideWhenUsed/>
    <w:rsid w:val="0067688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67688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unhideWhenUsed/>
    <w:rsid w:val="0067688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unhideWhenUsed/>
    <w:rsid w:val="0067688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unhideWhenUsed/>
    <w:rsid w:val="0067688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unhideWhenUsed/>
    <w:rsid w:val="0067688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unhideWhenUsed/>
    <w:rsid w:val="0067688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unhideWhenUsed/>
    <w:rsid w:val="0067688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unhideWhenUsed/>
    <w:rsid w:val="0067688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unhideWhenUsed/>
    <w:rsid w:val="0067688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unhideWhenUsed/>
    <w:rsid w:val="00676882"/>
    <w:pPr>
      <w:tabs>
        <w:tab w:val="right" w:pos="7643"/>
      </w:tabs>
      <w:spacing w:after="0" w:line="259" w:lineRule="auto"/>
      <w:ind w:left="1164" w:hanging="1164"/>
    </w:pPr>
  </w:style>
  <w:style w:type="paragraph" w:styleId="TableofFigures">
    <w:name w:val="table of figures"/>
    <w:basedOn w:val="Normal"/>
    <w:next w:val="Normal"/>
    <w:uiPriority w:val="99"/>
    <w:unhideWhenUsed/>
    <w:rsid w:val="00676882"/>
    <w:pPr>
      <w:tabs>
        <w:tab w:val="right" w:pos="7643"/>
      </w:tabs>
      <w:spacing w:before="0" w:after="0" w:line="260" w:lineRule="exact"/>
      <w:ind w:left="1123" w:right="851" w:hanging="1123"/>
    </w:pPr>
  </w:style>
  <w:style w:type="table" w:styleId="TableProfessional">
    <w:name w:val="Table Professional"/>
    <w:basedOn w:val="TableNormal"/>
    <w:uiPriority w:val="99"/>
    <w:unhideWhenUsed/>
    <w:rsid w:val="0067688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unhideWhenUsed/>
    <w:rsid w:val="0067688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unhideWhenUsed/>
    <w:rsid w:val="0067688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unhideWhenUsed/>
    <w:rsid w:val="0067688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unhideWhenUsed/>
    <w:rsid w:val="0067688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unhideWhenUsed/>
    <w:rsid w:val="0067688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unhideWhenUsed/>
    <w:rsid w:val="006768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unhideWhenUsed/>
    <w:rsid w:val="0067688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unhideWhenUsed/>
    <w:rsid w:val="0067688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unhideWhenUsed/>
    <w:rsid w:val="0067688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0"/>
    <w:qFormat/>
    <w:rsid w:val="00676882"/>
    <w:pPr>
      <w:spacing w:after="0"/>
      <w:contextualSpacing/>
    </w:pPr>
    <w:rPr>
      <w:rFonts w:eastAsiaTheme="majorEastAsia"/>
      <w:spacing w:val="-10"/>
      <w:kern w:val="28"/>
      <w:sz w:val="56"/>
      <w:szCs w:val="56"/>
    </w:rPr>
  </w:style>
  <w:style w:type="character" w:customStyle="1" w:styleId="TitleChar">
    <w:name w:val="Title Char"/>
    <w:basedOn w:val="DefaultParagraphFont"/>
    <w:link w:val="Title"/>
    <w:uiPriority w:val="10"/>
    <w:rsid w:val="00676882"/>
    <w:rPr>
      <w:rFonts w:ascii="Arial Narrow" w:eastAsiaTheme="majorEastAsia" w:hAnsi="Arial Narrow" w:cs="Arial"/>
      <w:spacing w:val="-10"/>
      <w:kern w:val="28"/>
      <w:sz w:val="56"/>
      <w:szCs w:val="56"/>
    </w:rPr>
  </w:style>
  <w:style w:type="paragraph" w:styleId="TOAHeading">
    <w:name w:val="toa heading"/>
    <w:basedOn w:val="Normal"/>
    <w:next w:val="Normal"/>
    <w:uiPriority w:val="99"/>
    <w:unhideWhenUsed/>
    <w:rsid w:val="00676882"/>
    <w:pPr>
      <w:spacing w:before="120" w:after="160" w:line="259" w:lineRule="auto"/>
    </w:pPr>
    <w:rPr>
      <w:rFonts w:eastAsiaTheme="majorEastAsia"/>
      <w:b/>
      <w:bCs/>
      <w:sz w:val="24"/>
      <w:szCs w:val="24"/>
    </w:rPr>
  </w:style>
  <w:style w:type="paragraph" w:styleId="TOC1">
    <w:name w:val="toc 1"/>
    <w:basedOn w:val="Normal"/>
    <w:next w:val="Normal"/>
    <w:uiPriority w:val="39"/>
    <w:rsid w:val="00676882"/>
    <w:pPr>
      <w:tabs>
        <w:tab w:val="right" w:pos="7643"/>
      </w:tabs>
      <w:spacing w:before="300" w:after="360" w:line="240" w:lineRule="exact"/>
    </w:pPr>
    <w:rPr>
      <w:rFonts w:ascii="Yu Gothic Medium" w:eastAsia="Yu Gothic Medium" w:hAnsi="Yu Gothic Medium" w:cstheme="minorBidi"/>
      <w:b/>
      <w:noProof/>
      <w:color w:val="6C3F99"/>
      <w:sz w:val="24"/>
    </w:rPr>
  </w:style>
  <w:style w:type="paragraph" w:styleId="TOC2">
    <w:name w:val="toc 2"/>
    <w:basedOn w:val="Normal"/>
    <w:next w:val="Normal"/>
    <w:uiPriority w:val="39"/>
    <w:rsid w:val="00676882"/>
    <w:pPr>
      <w:keepNext/>
      <w:tabs>
        <w:tab w:val="right" w:pos="7643"/>
      </w:tabs>
      <w:spacing w:before="292" w:after="168" w:line="240" w:lineRule="exact"/>
      <w:ind w:left="561" w:right="851" w:hanging="561"/>
    </w:pPr>
    <w:rPr>
      <w:rFonts w:ascii="Yu Gothic Medium" w:eastAsia="Yu Gothic Medium" w:hAnsi="Yu Gothic Medium" w:cstheme="minorBidi"/>
      <w:b/>
      <w:noProof/>
      <w:color w:val="000100"/>
      <w:sz w:val="24"/>
    </w:rPr>
  </w:style>
  <w:style w:type="paragraph" w:styleId="TOC3">
    <w:name w:val="toc 3"/>
    <w:basedOn w:val="Normal"/>
    <w:next w:val="Normal"/>
    <w:uiPriority w:val="39"/>
    <w:rsid w:val="00676882"/>
    <w:pPr>
      <w:tabs>
        <w:tab w:val="right" w:pos="7643"/>
      </w:tabs>
      <w:spacing w:before="0" w:after="0" w:line="240" w:lineRule="auto"/>
      <w:ind w:left="1122" w:right="851" w:hanging="561"/>
    </w:pPr>
    <w:rPr>
      <w:rFonts w:cstheme="minorBidi"/>
      <w:noProof/>
      <w:color w:val="000100"/>
      <w:position w:val="-6"/>
    </w:rPr>
  </w:style>
  <w:style w:type="paragraph" w:styleId="TOC4">
    <w:name w:val="toc 4"/>
    <w:basedOn w:val="Normal"/>
    <w:next w:val="Normal"/>
    <w:uiPriority w:val="39"/>
    <w:rsid w:val="00676882"/>
    <w:pPr>
      <w:tabs>
        <w:tab w:val="right" w:pos="7643"/>
      </w:tabs>
      <w:spacing w:before="0" w:after="60"/>
      <w:ind w:left="1684" w:right="851" w:hanging="561"/>
      <w:contextualSpacing/>
    </w:pPr>
    <w:rPr>
      <w:rFonts w:cstheme="minorBidi"/>
      <w:noProof/>
      <w:color w:val="000100"/>
      <w:sz w:val="20"/>
    </w:rPr>
  </w:style>
  <w:style w:type="paragraph" w:styleId="TOC5">
    <w:name w:val="toc 5"/>
    <w:basedOn w:val="Normal"/>
    <w:next w:val="Normal"/>
    <w:uiPriority w:val="39"/>
    <w:rsid w:val="00676882"/>
    <w:pPr>
      <w:tabs>
        <w:tab w:val="right" w:pos="5670"/>
      </w:tabs>
      <w:spacing w:after="32"/>
      <w:ind w:left="454" w:right="283" w:hanging="454"/>
    </w:pPr>
    <w:rPr>
      <w:rFonts w:cstheme="minorBidi"/>
      <w:noProof/>
      <w:color w:val="000100"/>
      <w:spacing w:val="-4"/>
      <w:sz w:val="21"/>
    </w:rPr>
  </w:style>
  <w:style w:type="paragraph" w:styleId="TOC6">
    <w:name w:val="toc 6"/>
    <w:basedOn w:val="Normal"/>
    <w:next w:val="Normal"/>
    <w:uiPriority w:val="39"/>
    <w:rsid w:val="00676882"/>
    <w:pPr>
      <w:numPr>
        <w:ilvl w:val="5"/>
        <w:numId w:val="16"/>
      </w:numPr>
      <w:pBdr>
        <w:bottom w:val="single" w:sz="4" w:space="1" w:color="auto"/>
        <w:between w:val="single" w:sz="4" w:space="1" w:color="auto"/>
      </w:pBdr>
      <w:tabs>
        <w:tab w:val="right" w:pos="5670"/>
      </w:tabs>
      <w:spacing w:before="240" w:after="0" w:line="240" w:lineRule="exact"/>
      <w:ind w:left="0" w:firstLine="0"/>
    </w:pPr>
    <w:rPr>
      <w:rFonts w:cstheme="minorBidi"/>
      <w:noProof/>
      <w:color w:val="000100"/>
      <w:sz w:val="20"/>
    </w:rPr>
  </w:style>
  <w:style w:type="paragraph" w:styleId="TOC7">
    <w:name w:val="toc 7"/>
    <w:basedOn w:val="Normal"/>
    <w:next w:val="Normal"/>
    <w:uiPriority w:val="39"/>
    <w:rsid w:val="00676882"/>
    <w:pPr>
      <w:keepNext/>
      <w:numPr>
        <w:ilvl w:val="6"/>
        <w:numId w:val="16"/>
      </w:numPr>
      <w:spacing w:before="240" w:after="0" w:line="240" w:lineRule="exact"/>
      <w:contextualSpacing/>
    </w:pPr>
    <w:rPr>
      <w:rFonts w:ascii="Yu Gothic Medium" w:eastAsia="Yu Gothic Medium" w:hAnsi="Yu Gothic Medium" w:cstheme="minorBidi"/>
      <w:b/>
      <w:color w:val="000100"/>
      <w:sz w:val="24"/>
    </w:rPr>
  </w:style>
  <w:style w:type="paragraph" w:styleId="TOC8">
    <w:name w:val="toc 8"/>
    <w:basedOn w:val="Normal"/>
    <w:next w:val="Normal"/>
    <w:uiPriority w:val="39"/>
    <w:rsid w:val="00676882"/>
    <w:pPr>
      <w:tabs>
        <w:tab w:val="right" w:pos="8478"/>
      </w:tabs>
      <w:spacing w:after="100"/>
      <w:contextualSpacing/>
    </w:pPr>
    <w:rPr>
      <w:rFonts w:cstheme="minorBidi"/>
      <w:noProof/>
      <w:color w:val="000100"/>
      <w:sz w:val="18"/>
    </w:rPr>
  </w:style>
  <w:style w:type="paragraph" w:styleId="TOC9">
    <w:name w:val="toc 9"/>
    <w:basedOn w:val="Normal"/>
    <w:next w:val="Normal"/>
    <w:uiPriority w:val="39"/>
    <w:rsid w:val="00676882"/>
    <w:pPr>
      <w:spacing w:after="100"/>
    </w:pPr>
    <w:rPr>
      <w:rFonts w:cstheme="minorBidi"/>
      <w:color w:val="000100"/>
      <w:spacing w:val="-4"/>
      <w:sz w:val="19"/>
    </w:rPr>
  </w:style>
  <w:style w:type="paragraph" w:styleId="TOCHeading">
    <w:name w:val="TOC Heading"/>
    <w:basedOn w:val="Heading1"/>
    <w:next w:val="Normal"/>
    <w:uiPriority w:val="39"/>
    <w:unhideWhenUsed/>
    <w:qFormat/>
    <w:rsid w:val="00676882"/>
    <w:pPr>
      <w:numPr>
        <w:numId w:val="0"/>
      </w:numPr>
      <w:outlineLvl w:val="9"/>
    </w:pPr>
    <w:rPr>
      <w:rFonts w:eastAsia="Yu Gothic Medium"/>
      <w:color w:val="6C3D99"/>
    </w:rPr>
  </w:style>
  <w:style w:type="character" w:styleId="UnresolvedMention">
    <w:name w:val="Unresolved Mention"/>
    <w:basedOn w:val="DefaultParagraphFont"/>
    <w:uiPriority w:val="99"/>
    <w:semiHidden/>
    <w:unhideWhenUsed/>
    <w:rsid w:val="00676882"/>
    <w:rPr>
      <w:color w:val="605E5C"/>
      <w:shd w:val="clear" w:color="auto" w:fill="E1DFDD"/>
    </w:rPr>
  </w:style>
  <w:style w:type="numbering" w:customStyle="1" w:styleId="aaclstStyleBullets">
    <w:name w:val="aac_lstStyle_Bullets"/>
    <w:uiPriority w:val="99"/>
    <w:rsid w:val="00676882"/>
    <w:pPr>
      <w:numPr>
        <w:numId w:val="5"/>
      </w:numPr>
    </w:pPr>
  </w:style>
  <w:style w:type="numbering" w:customStyle="1" w:styleId="aaclstStyleListNumber">
    <w:name w:val="aac_lstStyle_ListNumber"/>
    <w:uiPriority w:val="99"/>
    <w:rsid w:val="00676882"/>
    <w:pPr>
      <w:numPr>
        <w:numId w:val="6"/>
      </w:numPr>
    </w:pPr>
  </w:style>
  <w:style w:type="numbering" w:customStyle="1" w:styleId="aaclstStyleHeadingNumbered">
    <w:name w:val="aac_lstStyle_HeadingNumbered"/>
    <w:uiPriority w:val="99"/>
    <w:rsid w:val="00676882"/>
    <w:pPr>
      <w:numPr>
        <w:numId w:val="7"/>
      </w:numPr>
    </w:pPr>
  </w:style>
  <w:style w:type="paragraph" w:customStyle="1" w:styleId="Normal-nospace">
    <w:name w:val="Normal - no space"/>
    <w:basedOn w:val="Normal"/>
    <w:qFormat/>
    <w:rsid w:val="00676882"/>
    <w:pPr>
      <w:spacing w:before="0" w:after="0"/>
    </w:pPr>
    <w:rPr>
      <w:color w:val="000100"/>
    </w:rPr>
  </w:style>
  <w:style w:type="paragraph" w:customStyle="1" w:styleId="Heading2ES">
    <w:name w:val="Heading 2 (ES)"/>
    <w:basedOn w:val="Normal-nospace"/>
    <w:next w:val="BodyText"/>
    <w:qFormat/>
    <w:rsid w:val="00676882"/>
    <w:pPr>
      <w:keepNext/>
      <w:numPr>
        <w:ilvl w:val="1"/>
        <w:numId w:val="31"/>
      </w:numPr>
      <w:pBdr>
        <w:bottom w:val="single" w:sz="4" w:space="1" w:color="6C3E99"/>
      </w:pBdr>
      <w:spacing w:before="240" w:after="216"/>
    </w:pPr>
    <w:rPr>
      <w:b/>
      <w:color w:val="6C3E99"/>
      <w:sz w:val="28"/>
    </w:rPr>
  </w:style>
  <w:style w:type="paragraph" w:customStyle="1" w:styleId="Introduction">
    <w:name w:val="Introduction"/>
    <w:basedOn w:val="Normal-nospace"/>
    <w:qFormat/>
    <w:rsid w:val="00676882"/>
    <w:pPr>
      <w:spacing w:before="240" w:after="460" w:line="300" w:lineRule="exact"/>
      <w:ind w:right="120"/>
      <w:contextualSpacing/>
    </w:pPr>
    <w:rPr>
      <w:i/>
      <w:color w:val="7D7C7D"/>
      <w:sz w:val="24"/>
    </w:rPr>
  </w:style>
  <w:style w:type="paragraph" w:customStyle="1" w:styleId="Heading3ES">
    <w:name w:val="Heading 3 (ES)"/>
    <w:basedOn w:val="Normal-nospace"/>
    <w:next w:val="BodyText"/>
    <w:qFormat/>
    <w:rsid w:val="00676882"/>
    <w:pPr>
      <w:keepNext/>
      <w:numPr>
        <w:ilvl w:val="2"/>
        <w:numId w:val="31"/>
      </w:numPr>
      <w:pBdr>
        <w:bottom w:val="single" w:sz="4" w:space="0" w:color="000100"/>
      </w:pBdr>
      <w:spacing w:before="240" w:after="160" w:line="240" w:lineRule="atLeast"/>
    </w:pPr>
    <w:rPr>
      <w:b/>
    </w:rPr>
  </w:style>
  <w:style w:type="paragraph" w:customStyle="1" w:styleId="Heading4ES">
    <w:name w:val="Heading 4 (ES)"/>
    <w:basedOn w:val="Normal-nospace"/>
    <w:next w:val="BodyText"/>
    <w:qFormat/>
    <w:rsid w:val="00676882"/>
    <w:pPr>
      <w:keepNext/>
      <w:numPr>
        <w:ilvl w:val="3"/>
        <w:numId w:val="31"/>
      </w:numPr>
      <w:spacing w:before="240" w:after="160" w:line="240" w:lineRule="atLeast"/>
    </w:pPr>
    <w:rPr>
      <w:b/>
    </w:rPr>
  </w:style>
  <w:style w:type="paragraph" w:customStyle="1" w:styleId="Heading5ES">
    <w:name w:val="Heading 5 (ES)"/>
    <w:basedOn w:val="Normal-nospace"/>
    <w:next w:val="BodyText"/>
    <w:qFormat/>
    <w:rsid w:val="00676882"/>
    <w:pPr>
      <w:keepNext/>
      <w:numPr>
        <w:ilvl w:val="4"/>
        <w:numId w:val="31"/>
      </w:numPr>
      <w:spacing w:before="240" w:after="160" w:line="240" w:lineRule="atLeast"/>
    </w:pPr>
    <w:rPr>
      <w:b/>
      <w:i/>
    </w:rPr>
  </w:style>
  <w:style w:type="paragraph" w:customStyle="1" w:styleId="Heading6ES">
    <w:name w:val="Heading 6 (ES)"/>
    <w:basedOn w:val="Normal-nospace"/>
    <w:next w:val="BodyText"/>
    <w:qFormat/>
    <w:rsid w:val="00676882"/>
    <w:pPr>
      <w:keepNext/>
      <w:numPr>
        <w:ilvl w:val="5"/>
        <w:numId w:val="31"/>
      </w:numPr>
      <w:spacing w:before="240" w:after="160" w:line="240" w:lineRule="atLeast"/>
    </w:pPr>
    <w:rPr>
      <w:b/>
      <w:i/>
      <w:color w:val="959495"/>
    </w:rPr>
  </w:style>
  <w:style w:type="numbering" w:customStyle="1" w:styleId="aaclstStyleHeadingsES">
    <w:name w:val="aac_lstStyle_HeadingsES"/>
    <w:uiPriority w:val="99"/>
    <w:rsid w:val="00676882"/>
    <w:pPr>
      <w:numPr>
        <w:numId w:val="10"/>
      </w:numPr>
    </w:pPr>
  </w:style>
  <w:style w:type="paragraph" w:customStyle="1" w:styleId="Header-CompanyName">
    <w:name w:val="Header-Company Name"/>
    <w:basedOn w:val="Normal-nospace"/>
    <w:qFormat/>
    <w:rsid w:val="00676882"/>
    <w:pPr>
      <w:spacing w:before="16" w:line="240" w:lineRule="auto"/>
      <w:jc w:val="right"/>
    </w:pPr>
    <w:rPr>
      <w:sz w:val="14"/>
    </w:rPr>
  </w:style>
  <w:style w:type="paragraph" w:customStyle="1" w:styleId="FooterText">
    <w:name w:val="Footer Text"/>
    <w:basedOn w:val="Normal-nospace"/>
    <w:qFormat/>
    <w:rsid w:val="00676882"/>
    <w:pPr>
      <w:spacing w:line="240" w:lineRule="auto"/>
    </w:pPr>
    <w:rPr>
      <w:rFonts w:ascii="Yu Gothic Medium" w:eastAsia="Yu Gothic Medium" w:hAnsi="Yu Gothic Medium"/>
      <w:spacing w:val="6"/>
      <w:sz w:val="15"/>
    </w:rPr>
  </w:style>
  <w:style w:type="paragraph" w:customStyle="1" w:styleId="pageNumber0">
    <w:name w:val="pageNumber"/>
    <w:basedOn w:val="Normal-nospace"/>
    <w:qFormat/>
    <w:rsid w:val="00676882"/>
    <w:pPr>
      <w:spacing w:after="20" w:line="280" w:lineRule="exact"/>
      <w:jc w:val="center"/>
    </w:pPr>
    <w:rPr>
      <w:rFonts w:ascii="Yu Gothic Medium" w:eastAsia="Yu Gothic Medium" w:hAnsi="Yu Gothic Medium"/>
      <w:color w:val="959495"/>
      <w:sz w:val="25"/>
    </w:rPr>
  </w:style>
  <w:style w:type="paragraph" w:customStyle="1" w:styleId="CpTitle">
    <w:name w:val="Cp Title"/>
    <w:basedOn w:val="Normal-nospace"/>
    <w:qFormat/>
    <w:rsid w:val="00676882"/>
    <w:pPr>
      <w:spacing w:after="400" w:line="168" w:lineRule="auto"/>
    </w:pPr>
    <w:rPr>
      <w:rFonts w:ascii="Yu Gothic Medium" w:hAnsi="Yu Gothic Medium"/>
      <w:b/>
      <w:color w:val="FFFFFF" w:themeColor="background1"/>
      <w:sz w:val="80"/>
    </w:rPr>
  </w:style>
  <w:style w:type="paragraph" w:customStyle="1" w:styleId="CpSubTitle">
    <w:name w:val="Cp SubTitle"/>
    <w:basedOn w:val="Normalrgb"/>
    <w:qFormat/>
    <w:rsid w:val="00676882"/>
    <w:pPr>
      <w:spacing w:after="400" w:line="168" w:lineRule="auto"/>
    </w:pPr>
    <w:rPr>
      <w:rFonts w:ascii="Yu Gothic Medium" w:hAnsi="Yu Gothic Medium"/>
      <w:sz w:val="48"/>
    </w:rPr>
  </w:style>
  <w:style w:type="numbering" w:customStyle="1" w:styleId="aaclstStyleAppendices">
    <w:name w:val="aac_lstStyle_Appendices"/>
    <w:uiPriority w:val="99"/>
    <w:rsid w:val="00676882"/>
    <w:pPr>
      <w:numPr>
        <w:numId w:val="11"/>
      </w:numPr>
    </w:pPr>
  </w:style>
  <w:style w:type="paragraph" w:customStyle="1" w:styleId="CpReportDate">
    <w:name w:val="Cp Report Date"/>
    <w:basedOn w:val="Normalrgb"/>
    <w:qFormat/>
    <w:rsid w:val="00676882"/>
    <w:pPr>
      <w:spacing w:before="90" w:line="260" w:lineRule="exact"/>
    </w:pPr>
    <w:rPr>
      <w:rFonts w:ascii="Yu Gothic Medium" w:eastAsia="Yu Gothic Medium" w:hAnsi="Yu Gothic Medium"/>
      <w:sz w:val="20"/>
    </w:rPr>
  </w:style>
  <w:style w:type="paragraph" w:customStyle="1" w:styleId="CpReportTo">
    <w:name w:val="Cp Report To"/>
    <w:basedOn w:val="Normalrgb"/>
    <w:qFormat/>
    <w:rsid w:val="00676882"/>
    <w:pPr>
      <w:spacing w:before="90" w:line="260" w:lineRule="exact"/>
    </w:pPr>
    <w:rPr>
      <w:rFonts w:ascii="Yu Gothic Medium" w:eastAsia="Yu Gothic Medium" w:hAnsi="Yu Gothic Medium"/>
      <w:sz w:val="20"/>
    </w:rPr>
  </w:style>
  <w:style w:type="paragraph" w:customStyle="1" w:styleId="CpClientName">
    <w:name w:val="Cp Client Name"/>
    <w:basedOn w:val="Normalrgb"/>
    <w:qFormat/>
    <w:rsid w:val="00676882"/>
    <w:pPr>
      <w:spacing w:before="90" w:line="260" w:lineRule="exact"/>
    </w:pPr>
    <w:rPr>
      <w:rFonts w:ascii="Yu Gothic Medium" w:eastAsia="Yu Gothic Medium" w:hAnsi="Yu Gothic Medium"/>
      <w:sz w:val="20"/>
    </w:rPr>
  </w:style>
  <w:style w:type="paragraph" w:customStyle="1" w:styleId="Style1">
    <w:name w:val="Style1"/>
    <w:basedOn w:val="Normal-nospace"/>
    <w:qFormat/>
    <w:rsid w:val="00676882"/>
    <w:pPr>
      <w:spacing w:after="400" w:line="216" w:lineRule="auto"/>
    </w:pPr>
    <w:rPr>
      <w:rFonts w:ascii="Yu Gothic Medium" w:hAnsi="Yu Gothic Medium"/>
      <w:b/>
      <w:color w:val="FF0000"/>
      <w:sz w:val="80"/>
    </w:rPr>
  </w:style>
  <w:style w:type="numbering" w:customStyle="1" w:styleId="lstStyleBullets">
    <w:name w:val="lstStyle_Bullets"/>
    <w:uiPriority w:val="99"/>
    <w:rsid w:val="00676882"/>
  </w:style>
  <w:style w:type="numbering" w:customStyle="1" w:styleId="lstStyleListNumber">
    <w:name w:val="lstStyle_ListNumber"/>
    <w:uiPriority w:val="99"/>
    <w:rsid w:val="00676882"/>
    <w:pPr>
      <w:numPr>
        <w:numId w:val="13"/>
      </w:numPr>
    </w:pPr>
  </w:style>
  <w:style w:type="numbering" w:customStyle="1" w:styleId="lstStyleHeadingNumbered">
    <w:name w:val="lstStyle_Heading_Numbered"/>
    <w:uiPriority w:val="99"/>
    <w:rsid w:val="00676882"/>
    <w:pPr>
      <w:numPr>
        <w:numId w:val="14"/>
      </w:numPr>
    </w:pPr>
  </w:style>
  <w:style w:type="paragraph" w:customStyle="1" w:styleId="spacer">
    <w:name w:val="spacer"/>
    <w:basedOn w:val="Normal-nospace"/>
    <w:qFormat/>
    <w:rsid w:val="00676882"/>
    <w:pPr>
      <w:spacing w:line="240" w:lineRule="auto"/>
    </w:pPr>
    <w:rPr>
      <w:sz w:val="4"/>
    </w:rPr>
  </w:style>
  <w:style w:type="paragraph" w:customStyle="1" w:styleId="spacertbl">
    <w:name w:val="spacer_tbl"/>
    <w:basedOn w:val="spacer"/>
    <w:qFormat/>
    <w:rsid w:val="00676882"/>
  </w:style>
  <w:style w:type="paragraph" w:customStyle="1" w:styleId="tagchapterBanner">
    <w:name w:val="tag_chapterBanner"/>
    <w:basedOn w:val="spacer"/>
    <w:qFormat/>
    <w:rsid w:val="00676882"/>
    <w:pPr>
      <w:keepNext/>
      <w:pageBreakBefore/>
    </w:pPr>
  </w:style>
  <w:style w:type="paragraph" w:customStyle="1" w:styleId="HeadingChapter">
    <w:name w:val="Heading (Chapter)"/>
    <w:basedOn w:val="Normal-nospace"/>
    <w:qFormat/>
    <w:rsid w:val="00676882"/>
    <w:pPr>
      <w:spacing w:line="1960" w:lineRule="exact"/>
      <w:ind w:left="216" w:right="62"/>
      <w:jc w:val="right"/>
    </w:pPr>
    <w:rPr>
      <w:rFonts w:ascii="Yu Gothic Medium" w:hAnsi="Yu Gothic Medium"/>
      <w:color w:val="FFFEFF"/>
      <w:sz w:val="160"/>
    </w:rPr>
  </w:style>
  <w:style w:type="paragraph" w:customStyle="1" w:styleId="Heading1ES">
    <w:name w:val="Heading 1 (ES)"/>
    <w:basedOn w:val="Normal"/>
    <w:qFormat/>
    <w:rsid w:val="00676882"/>
    <w:pPr>
      <w:numPr>
        <w:numId w:val="31"/>
      </w:numPr>
      <w:spacing w:before="0" w:after="200" w:line="192" w:lineRule="auto"/>
    </w:pPr>
    <w:rPr>
      <w:rFonts w:ascii="Yu Gothic Medium" w:hAnsi="Yu Gothic Medium"/>
      <w:color w:val="FFFEFF"/>
      <w:sz w:val="52"/>
    </w:rPr>
  </w:style>
  <w:style w:type="paragraph" w:customStyle="1" w:styleId="tagexecBanner">
    <w:name w:val="tag_execBanner"/>
    <w:basedOn w:val="spacer"/>
    <w:qFormat/>
    <w:rsid w:val="00676882"/>
    <w:pPr>
      <w:keepNext/>
      <w:pageBreakBefore/>
    </w:pPr>
  </w:style>
  <w:style w:type="paragraph" w:customStyle="1" w:styleId="HeadingAppendix">
    <w:name w:val="Heading (Appendix)"/>
    <w:basedOn w:val="HeadingChapter"/>
    <w:qFormat/>
    <w:rsid w:val="00676882"/>
  </w:style>
  <w:style w:type="paragraph" w:customStyle="1" w:styleId="tagappendixChapter">
    <w:name w:val="tag_appendixChapter"/>
    <w:basedOn w:val="spacer"/>
    <w:qFormat/>
    <w:rsid w:val="00676882"/>
    <w:pPr>
      <w:keepNext/>
      <w:pageBreakBefore/>
    </w:pPr>
  </w:style>
  <w:style w:type="table" w:customStyle="1" w:styleId="aacTableBasic">
    <w:name w:val="aac Table (Basic)"/>
    <w:basedOn w:val="TableNormal"/>
    <w:next w:val="TableGrid"/>
    <w:uiPriority w:val="39"/>
    <w:rsid w:val="00676882"/>
    <w:pPr>
      <w:spacing w:before="60" w:after="0" w:line="240" w:lineRule="atLeast"/>
    </w:pPr>
    <w:rPr>
      <w:rFonts w:ascii="Arial Narrow" w:hAnsi="Arial Narrow"/>
      <w:lang w:val="en-US"/>
    </w:rPr>
    <w:tblPr>
      <w:tblBorders>
        <w:bottom w:val="single" w:sz="4" w:space="0" w:color="auto"/>
        <w:insideH w:val="single" w:sz="4" w:space="0" w:color="auto"/>
      </w:tblBorders>
      <w:tblCellMar>
        <w:left w:w="0" w:type="dxa"/>
        <w:right w:w="0" w:type="dxa"/>
      </w:tblCellMar>
    </w:tblPr>
    <w:tcPr>
      <w:shd w:val="clear" w:color="auto" w:fill="auto"/>
    </w:tcPr>
    <w:tblStylePr w:type="firstRow">
      <w:pPr>
        <w:jc w:val="left"/>
      </w:pPr>
      <w:rPr>
        <w:color w:val="FFFFFF" w:themeColor="background1"/>
      </w:rPr>
      <w:tblPr/>
      <w:tcPr>
        <w:shd w:val="clear" w:color="auto" w:fill="E7E6E6" w:themeFill="background2"/>
      </w:tcPr>
    </w:tblStylePr>
  </w:style>
  <w:style w:type="paragraph" w:customStyle="1" w:styleId="tagcoverPage">
    <w:name w:val="tag_coverPage"/>
    <w:basedOn w:val="spacer"/>
    <w:qFormat/>
    <w:rsid w:val="00676882"/>
    <w:rPr>
      <w:b/>
      <w:bCs/>
    </w:rPr>
  </w:style>
  <w:style w:type="paragraph" w:customStyle="1" w:styleId="tagcontactsPage-Front">
    <w:name w:val="tag_contactsPage-Front"/>
    <w:basedOn w:val="spacer"/>
    <w:qFormat/>
    <w:rsid w:val="00676882"/>
    <w:pPr>
      <w:keepNext/>
      <w:pageBreakBefore/>
    </w:pPr>
  </w:style>
  <w:style w:type="paragraph" w:customStyle="1" w:styleId="tagcontactsPage-Back">
    <w:name w:val="tag_contactsPage-Back"/>
    <w:basedOn w:val="spacer"/>
    <w:qFormat/>
    <w:rsid w:val="00676882"/>
  </w:style>
  <w:style w:type="paragraph" w:customStyle="1" w:styleId="tagpartBanner">
    <w:name w:val="tag_partBanner"/>
    <w:basedOn w:val="spacer"/>
    <w:qFormat/>
    <w:rsid w:val="00676882"/>
    <w:pPr>
      <w:keepNext/>
      <w:pageBreakBefore/>
    </w:pPr>
  </w:style>
  <w:style w:type="paragraph" w:customStyle="1" w:styleId="tagappendixPart">
    <w:name w:val="tag_appendixPart"/>
    <w:basedOn w:val="spacer"/>
    <w:qFormat/>
    <w:rsid w:val="00676882"/>
  </w:style>
  <w:style w:type="paragraph" w:customStyle="1" w:styleId="Tabletext">
    <w:name w:val="Table text"/>
    <w:basedOn w:val="Normal-nospace"/>
    <w:link w:val="TabletextChar"/>
    <w:qFormat/>
    <w:rsid w:val="00676882"/>
    <w:pPr>
      <w:spacing w:before="60" w:line="240" w:lineRule="atLeast"/>
      <w:ind w:right="119"/>
    </w:pPr>
    <w:rPr>
      <w:sz w:val="20"/>
    </w:rPr>
  </w:style>
  <w:style w:type="paragraph" w:customStyle="1" w:styleId="Tabletextsmall">
    <w:name w:val="Table text (small)"/>
    <w:basedOn w:val="Normal-nospace"/>
    <w:qFormat/>
    <w:rsid w:val="00676882"/>
    <w:pPr>
      <w:spacing w:before="40" w:line="180" w:lineRule="exact"/>
      <w:ind w:right="119"/>
    </w:pPr>
    <w:rPr>
      <w:sz w:val="16"/>
    </w:rPr>
  </w:style>
  <w:style w:type="paragraph" w:customStyle="1" w:styleId="Tableunitsrow">
    <w:name w:val="Table units row"/>
    <w:basedOn w:val="Normal-nospace"/>
    <w:qFormat/>
    <w:rsid w:val="00676882"/>
    <w:pPr>
      <w:spacing w:before="60" w:line="240" w:lineRule="atLeast"/>
      <w:ind w:right="119"/>
    </w:pPr>
    <w:rPr>
      <w:sz w:val="20"/>
    </w:rPr>
  </w:style>
  <w:style w:type="paragraph" w:customStyle="1" w:styleId="Tablecolumnheadings">
    <w:name w:val="Table column headings"/>
    <w:basedOn w:val="Tabletext"/>
    <w:qFormat/>
    <w:rsid w:val="00676882"/>
    <w:pPr>
      <w:keepNext/>
      <w:spacing w:before="40" w:after="40"/>
    </w:pPr>
    <w:rPr>
      <w:b/>
      <w:color w:val="FFFFFF" w:themeColor="background1"/>
    </w:rPr>
  </w:style>
  <w:style w:type="paragraph" w:customStyle="1" w:styleId="Source">
    <w:name w:val="Source"/>
    <w:aliases w:val="s,source,source Char,s Char"/>
    <w:basedOn w:val="Normal-nospace"/>
    <w:link w:val="SourceChar"/>
    <w:qFormat/>
    <w:rsid w:val="00676882"/>
    <w:pPr>
      <w:keepNext/>
      <w:spacing w:before="52" w:line="240" w:lineRule="auto"/>
    </w:pPr>
    <w:rPr>
      <w:i/>
      <w:sz w:val="16"/>
    </w:rPr>
  </w:style>
  <w:style w:type="paragraph" w:customStyle="1" w:styleId="CpAboutAcilAllen">
    <w:name w:val="Cp About Acil Allen"/>
    <w:basedOn w:val="Normalrgb"/>
    <w:qFormat/>
    <w:rsid w:val="00676882"/>
    <w:pPr>
      <w:spacing w:after="100" w:line="240" w:lineRule="auto"/>
    </w:pPr>
    <w:rPr>
      <w:sz w:val="24"/>
    </w:rPr>
  </w:style>
  <w:style w:type="paragraph" w:customStyle="1" w:styleId="CpDisclaimer">
    <w:name w:val="Cp Disclaimer"/>
    <w:basedOn w:val="Normal-nospace"/>
    <w:qFormat/>
    <w:rsid w:val="00676882"/>
    <w:pPr>
      <w:spacing w:after="100" w:line="240" w:lineRule="auto"/>
      <w:ind w:right="323"/>
    </w:pPr>
    <w:rPr>
      <w:color w:val="FFFEFF"/>
      <w:sz w:val="14"/>
    </w:rPr>
  </w:style>
  <w:style w:type="paragraph" w:customStyle="1" w:styleId="CpDisclaimer9pt">
    <w:name w:val="Cp Disclaimer 9pt"/>
    <w:basedOn w:val="Normal-nospace"/>
    <w:qFormat/>
    <w:rsid w:val="00676882"/>
    <w:pPr>
      <w:spacing w:after="100" w:line="240" w:lineRule="auto"/>
    </w:pPr>
    <w:rPr>
      <w:color w:val="FFFEFF"/>
      <w:sz w:val="18"/>
    </w:rPr>
  </w:style>
  <w:style w:type="paragraph" w:customStyle="1" w:styleId="Part-HeadingBanner">
    <w:name w:val="Part - Heading (Banner)"/>
    <w:basedOn w:val="Normal-nospace"/>
    <w:next w:val="Part-SubHeadBanner"/>
    <w:qFormat/>
    <w:rsid w:val="00676882"/>
    <w:pPr>
      <w:spacing w:line="192" w:lineRule="auto"/>
    </w:pPr>
    <w:rPr>
      <w:rFonts w:ascii="Yu Gothic Medium" w:hAnsi="Yu Gothic Medium"/>
      <w:b/>
      <w:color w:val="FFFEFF"/>
      <w:sz w:val="52"/>
    </w:rPr>
  </w:style>
  <w:style w:type="paragraph" w:customStyle="1" w:styleId="Part-SubHeadBanner">
    <w:name w:val="Part - SubHead (Banner)"/>
    <w:basedOn w:val="Normalrgb"/>
    <w:qFormat/>
    <w:rsid w:val="00676882"/>
    <w:pPr>
      <w:spacing w:line="192" w:lineRule="auto"/>
    </w:pPr>
    <w:rPr>
      <w:rFonts w:ascii="Yu Gothic Medium" w:hAnsi="Yu Gothic Medium"/>
      <w:b/>
      <w:sz w:val="52"/>
    </w:rPr>
  </w:style>
  <w:style w:type="paragraph" w:customStyle="1" w:styleId="Partxx">
    <w:name w:val="Part xx"/>
    <w:basedOn w:val="spacer"/>
    <w:qFormat/>
    <w:rsid w:val="00676882"/>
    <w:rPr>
      <w:color w:val="140134"/>
    </w:rPr>
  </w:style>
  <w:style w:type="paragraph" w:customStyle="1" w:styleId="Part-Number">
    <w:name w:val="Part - Number"/>
    <w:basedOn w:val="BodyText"/>
    <w:qFormat/>
    <w:rsid w:val="00676882"/>
    <w:pPr>
      <w:spacing w:before="24" w:after="0" w:line="1600" w:lineRule="exact"/>
      <w:jc w:val="right"/>
    </w:pPr>
    <w:rPr>
      <w:rFonts w:ascii="Yu Gothic Medium" w:eastAsia="Yu Gothic Medium" w:hAnsi="Yu Gothic Medium"/>
      <w:color w:val="FFFEFF"/>
      <w:position w:val="-16"/>
      <w:sz w:val="160"/>
    </w:rPr>
  </w:style>
  <w:style w:type="paragraph" w:customStyle="1" w:styleId="App-DividerHeading">
    <w:name w:val="App - Divider (Heading)"/>
    <w:basedOn w:val="Part-HeadingBanner"/>
    <w:next w:val="App-DividerSubHeading"/>
    <w:qFormat/>
    <w:rsid w:val="00676882"/>
  </w:style>
  <w:style w:type="paragraph" w:customStyle="1" w:styleId="App-DividerSubHeading">
    <w:name w:val="App - Divider (Sub Heading)"/>
    <w:basedOn w:val="Part-SubHeadBanner"/>
    <w:qFormat/>
    <w:rsid w:val="00676882"/>
  </w:style>
  <w:style w:type="paragraph" w:customStyle="1" w:styleId="CpContactDetails">
    <w:name w:val="Cp Contact Details"/>
    <w:basedOn w:val="Normal"/>
    <w:qFormat/>
    <w:rsid w:val="00676882"/>
    <w:pPr>
      <w:spacing w:before="0" w:after="0" w:line="250" w:lineRule="exact"/>
    </w:pPr>
    <w:rPr>
      <w:color w:val="FFFEFF"/>
    </w:rPr>
  </w:style>
  <w:style w:type="paragraph" w:customStyle="1" w:styleId="LetterHeading1">
    <w:name w:val="Letter Heading 1"/>
    <w:basedOn w:val="BodyText"/>
    <w:next w:val="BodyText"/>
    <w:uiPriority w:val="7"/>
    <w:qFormat/>
    <w:rsid w:val="00676882"/>
    <w:rPr>
      <w:b/>
      <w:color w:val="000100"/>
    </w:rPr>
  </w:style>
  <w:style w:type="paragraph" w:customStyle="1" w:styleId="LetterDate">
    <w:name w:val="LetterDate"/>
    <w:basedOn w:val="Normal-nospace"/>
    <w:next w:val="LetterRef"/>
    <w:uiPriority w:val="99"/>
    <w:qFormat/>
    <w:rsid w:val="00676882"/>
    <w:pPr>
      <w:spacing w:before="600" w:line="280" w:lineRule="exact"/>
    </w:pPr>
  </w:style>
  <w:style w:type="paragraph" w:customStyle="1" w:styleId="LetterRef">
    <w:name w:val="LetterRef"/>
    <w:basedOn w:val="Normal-nospace"/>
    <w:next w:val="LetterName"/>
    <w:qFormat/>
    <w:rsid w:val="00676882"/>
    <w:pPr>
      <w:spacing w:before="40" w:after="600"/>
    </w:pPr>
  </w:style>
  <w:style w:type="paragraph" w:customStyle="1" w:styleId="LetterName">
    <w:name w:val="LetterName"/>
    <w:basedOn w:val="Normal-nospace"/>
    <w:next w:val="LetterTitle"/>
    <w:uiPriority w:val="99"/>
    <w:qFormat/>
    <w:rsid w:val="00676882"/>
    <w:pPr>
      <w:spacing w:line="280" w:lineRule="exact"/>
    </w:pPr>
  </w:style>
  <w:style w:type="paragraph" w:customStyle="1" w:styleId="LetterTitle">
    <w:name w:val="LetterTitle"/>
    <w:basedOn w:val="Normal-nospace"/>
    <w:next w:val="LetterCompany"/>
    <w:uiPriority w:val="99"/>
    <w:qFormat/>
    <w:rsid w:val="00676882"/>
    <w:pPr>
      <w:spacing w:line="280" w:lineRule="exact"/>
    </w:pPr>
  </w:style>
  <w:style w:type="paragraph" w:customStyle="1" w:styleId="LetterCompany">
    <w:name w:val="LetterCompany"/>
    <w:basedOn w:val="Normal-nospace"/>
    <w:next w:val="LetterAddress"/>
    <w:uiPriority w:val="99"/>
    <w:qFormat/>
    <w:rsid w:val="00676882"/>
    <w:pPr>
      <w:spacing w:line="280" w:lineRule="exact"/>
    </w:pPr>
  </w:style>
  <w:style w:type="paragraph" w:customStyle="1" w:styleId="LetterAddress">
    <w:name w:val="LetterAddress"/>
    <w:basedOn w:val="Normal-nospace"/>
    <w:next w:val="LetterCityStatePostcode"/>
    <w:uiPriority w:val="99"/>
    <w:qFormat/>
    <w:rsid w:val="00676882"/>
    <w:pPr>
      <w:spacing w:line="280" w:lineRule="exact"/>
    </w:pPr>
  </w:style>
  <w:style w:type="paragraph" w:customStyle="1" w:styleId="LetterCityStatePostcode">
    <w:name w:val="LetterCityStatePostcode"/>
    <w:basedOn w:val="Normal-nospace"/>
    <w:next w:val="LetterSubject"/>
    <w:uiPriority w:val="99"/>
    <w:qFormat/>
    <w:rsid w:val="00676882"/>
    <w:pPr>
      <w:spacing w:line="280" w:lineRule="exact"/>
    </w:pPr>
  </w:style>
  <w:style w:type="paragraph" w:customStyle="1" w:styleId="LetterSubject">
    <w:name w:val="LetterSubject"/>
    <w:basedOn w:val="Normal-nospace"/>
    <w:next w:val="BodyText"/>
    <w:uiPriority w:val="99"/>
    <w:qFormat/>
    <w:rsid w:val="00676882"/>
    <w:pPr>
      <w:spacing w:before="400" w:after="200" w:line="260" w:lineRule="exact"/>
    </w:pPr>
    <w:rPr>
      <w:b/>
      <w:sz w:val="24"/>
    </w:rPr>
  </w:style>
  <w:style w:type="paragraph" w:customStyle="1" w:styleId="SignatureBlock">
    <w:name w:val="Signature Block"/>
    <w:basedOn w:val="Normal-nospace"/>
    <w:qFormat/>
    <w:rsid w:val="00676882"/>
    <w:pPr>
      <w:keepNext/>
      <w:keepLines/>
      <w:spacing w:line="240" w:lineRule="auto"/>
    </w:pPr>
  </w:style>
  <w:style w:type="paragraph" w:customStyle="1" w:styleId="StationeryConfidentiality">
    <w:name w:val="Stationery Confidentiality"/>
    <w:basedOn w:val="Normal-nospace"/>
    <w:qFormat/>
    <w:rsid w:val="00676882"/>
    <w:pPr>
      <w:spacing w:before="120" w:after="120" w:line="280" w:lineRule="exact"/>
    </w:pPr>
    <w:rPr>
      <w:i/>
    </w:rPr>
  </w:style>
  <w:style w:type="paragraph" w:customStyle="1" w:styleId="StationeryContact">
    <w:name w:val="StationeryContact"/>
    <w:basedOn w:val="Normal-nospace"/>
    <w:qFormat/>
    <w:rsid w:val="00676882"/>
    <w:pPr>
      <w:spacing w:line="240" w:lineRule="auto"/>
    </w:pPr>
  </w:style>
  <w:style w:type="paragraph" w:customStyle="1" w:styleId="StationeryType">
    <w:name w:val="StationeryType"/>
    <w:basedOn w:val="Normal-nospace"/>
    <w:qFormat/>
    <w:rsid w:val="00676882"/>
    <w:pPr>
      <w:spacing w:before="90" w:after="84" w:line="240" w:lineRule="auto"/>
    </w:pPr>
    <w:rPr>
      <w:b/>
      <w:color w:val="FFFEFF"/>
      <w:sz w:val="24"/>
    </w:rPr>
  </w:style>
  <w:style w:type="paragraph" w:customStyle="1" w:styleId="StationeryLabel">
    <w:name w:val="StationeryLabel"/>
    <w:basedOn w:val="Normal-nospace"/>
    <w:qFormat/>
    <w:rsid w:val="00676882"/>
    <w:pPr>
      <w:spacing w:line="240" w:lineRule="auto"/>
    </w:pPr>
    <w:rPr>
      <w:b/>
      <w:spacing w:val="8"/>
    </w:rPr>
  </w:style>
  <w:style w:type="paragraph" w:customStyle="1" w:styleId="StationeryRefMemo">
    <w:name w:val="StationeryRef_Memo"/>
    <w:basedOn w:val="StationeryContact"/>
    <w:qFormat/>
    <w:rsid w:val="00676882"/>
  </w:style>
  <w:style w:type="paragraph" w:customStyle="1" w:styleId="FooterLetter">
    <w:name w:val="Footer (Letter)"/>
    <w:basedOn w:val="Normal"/>
    <w:qFormat/>
    <w:rsid w:val="00676882"/>
    <w:pPr>
      <w:spacing w:before="26" w:after="0" w:line="240" w:lineRule="auto"/>
    </w:pPr>
    <w:rPr>
      <w:rFonts w:cstheme="minorBidi"/>
      <w:color w:val="000100"/>
      <w:sz w:val="16"/>
    </w:rPr>
  </w:style>
  <w:style w:type="paragraph" w:customStyle="1" w:styleId="FooterLetter-Contact">
    <w:name w:val="Footer (Letter-Contact)"/>
    <w:basedOn w:val="FooterLetter"/>
    <w:qFormat/>
    <w:rsid w:val="00676882"/>
    <w:pPr>
      <w:spacing w:before="20" w:after="20"/>
      <w:jc w:val="right"/>
    </w:pPr>
    <w:rPr>
      <w:color w:val="6C3E99"/>
    </w:rPr>
  </w:style>
  <w:style w:type="paragraph" w:customStyle="1" w:styleId="FooterText0">
    <w:name w:val="Footer (Text)"/>
    <w:basedOn w:val="Footer"/>
    <w:qFormat/>
    <w:rsid w:val="00676882"/>
    <w:pPr>
      <w:tabs>
        <w:tab w:val="clear" w:pos="4513"/>
        <w:tab w:val="clear" w:pos="9026"/>
        <w:tab w:val="right" w:pos="9360"/>
      </w:tabs>
      <w:jc w:val="right"/>
    </w:pPr>
    <w:rPr>
      <w:rFonts w:eastAsia="Yu Gothic Medium" w:cstheme="minorBidi"/>
      <w:spacing w:val="6"/>
    </w:rPr>
  </w:style>
  <w:style w:type="paragraph" w:customStyle="1" w:styleId="TOCGeneral">
    <w:name w:val="TOC General"/>
    <w:basedOn w:val="Normal"/>
    <w:qFormat/>
    <w:rsid w:val="00676882"/>
    <w:pPr>
      <w:spacing w:before="0" w:after="0" w:line="240" w:lineRule="auto"/>
    </w:pPr>
    <w:rPr>
      <w:rFonts w:cstheme="minorBidi"/>
      <w:vanish/>
      <w:color w:val="000100"/>
      <w:sz w:val="8"/>
    </w:rPr>
  </w:style>
  <w:style w:type="numbering" w:customStyle="1" w:styleId="TOCList">
    <w:name w:val="TOC List"/>
    <w:uiPriority w:val="99"/>
    <w:rsid w:val="00676882"/>
    <w:pPr>
      <w:numPr>
        <w:numId w:val="15"/>
      </w:numPr>
    </w:pPr>
  </w:style>
  <w:style w:type="paragraph" w:customStyle="1" w:styleId="FooterLetter-Logo">
    <w:name w:val="Footer (Letter-Logo)"/>
    <w:basedOn w:val="FooterLetter-Contact"/>
    <w:qFormat/>
    <w:rsid w:val="00676882"/>
    <w:rPr>
      <w:lang w:val="en-US"/>
    </w:rPr>
  </w:style>
  <w:style w:type="paragraph" w:customStyle="1" w:styleId="Headingglossary">
    <w:name w:val="Heading (glossary)"/>
    <w:basedOn w:val="Normal-nospace"/>
    <w:qFormat/>
    <w:rsid w:val="00676882"/>
    <w:pPr>
      <w:spacing w:after="200" w:line="192" w:lineRule="auto"/>
      <w:ind w:left="250"/>
    </w:pPr>
    <w:rPr>
      <w:rFonts w:ascii="Yu Gothic Medium" w:hAnsi="Yu Gothic Medium"/>
      <w:color w:val="FFFEFF"/>
      <w:sz w:val="52"/>
    </w:rPr>
  </w:style>
  <w:style w:type="character" w:customStyle="1" w:styleId="CaptionLabel">
    <w:name w:val="Caption Label"/>
    <w:basedOn w:val="DefaultParagraphFont"/>
    <w:uiPriority w:val="1"/>
    <w:qFormat/>
    <w:rsid w:val="00676882"/>
    <w:rPr>
      <w:b/>
      <w:color w:val="000100"/>
    </w:rPr>
  </w:style>
  <w:style w:type="paragraph" w:customStyle="1" w:styleId="BoxListBullet">
    <w:name w:val="Box List Bullet"/>
    <w:basedOn w:val="Normal"/>
    <w:qFormat/>
    <w:rsid w:val="00676882"/>
    <w:pPr>
      <w:keepNext/>
      <w:numPr>
        <w:numId w:val="36"/>
      </w:numPr>
      <w:spacing w:before="60" w:after="60" w:line="240" w:lineRule="atLeast"/>
    </w:pPr>
    <w:rPr>
      <w:rFonts w:cstheme="minorBidi"/>
      <w:color w:val="000100"/>
      <w:sz w:val="20"/>
    </w:rPr>
  </w:style>
  <w:style w:type="paragraph" w:customStyle="1" w:styleId="BoxListBullet2">
    <w:name w:val="Box List Bullet 2"/>
    <w:basedOn w:val="Normal"/>
    <w:qFormat/>
    <w:rsid w:val="00676882"/>
    <w:pPr>
      <w:keepNext/>
      <w:numPr>
        <w:ilvl w:val="1"/>
        <w:numId w:val="36"/>
      </w:numPr>
      <w:spacing w:before="0" w:after="60" w:line="240" w:lineRule="atLeast"/>
    </w:pPr>
    <w:rPr>
      <w:rFonts w:cstheme="minorBidi"/>
      <w:color w:val="000100"/>
      <w:sz w:val="20"/>
    </w:rPr>
  </w:style>
  <w:style w:type="paragraph" w:customStyle="1" w:styleId="BoxListBullet3">
    <w:name w:val="Box List Bullet 3"/>
    <w:basedOn w:val="Normal"/>
    <w:qFormat/>
    <w:rsid w:val="00676882"/>
    <w:pPr>
      <w:keepNext/>
      <w:numPr>
        <w:ilvl w:val="2"/>
        <w:numId w:val="36"/>
      </w:numPr>
      <w:spacing w:before="0" w:after="60" w:line="240" w:lineRule="atLeast"/>
    </w:pPr>
    <w:rPr>
      <w:rFonts w:cstheme="minorBidi"/>
      <w:color w:val="000100"/>
      <w:sz w:val="20"/>
    </w:rPr>
  </w:style>
  <w:style w:type="numbering" w:customStyle="1" w:styleId="aaclstStyleBoxListBullets">
    <w:name w:val="aac_lstStyle_BoxListBullets"/>
    <w:uiPriority w:val="99"/>
    <w:rsid w:val="00676882"/>
    <w:pPr>
      <w:numPr>
        <w:numId w:val="17"/>
      </w:numPr>
    </w:pPr>
  </w:style>
  <w:style w:type="paragraph" w:customStyle="1" w:styleId="BoxListNumber">
    <w:name w:val="Box List Number"/>
    <w:basedOn w:val="Normal"/>
    <w:qFormat/>
    <w:rsid w:val="00676882"/>
    <w:pPr>
      <w:keepNext/>
      <w:numPr>
        <w:numId w:val="25"/>
      </w:numPr>
      <w:spacing w:before="60" w:after="60" w:line="240" w:lineRule="atLeast"/>
    </w:pPr>
    <w:rPr>
      <w:rFonts w:cstheme="minorBidi"/>
      <w:color w:val="000100"/>
      <w:sz w:val="20"/>
    </w:rPr>
  </w:style>
  <w:style w:type="paragraph" w:customStyle="1" w:styleId="BoxText">
    <w:name w:val="Box Text"/>
    <w:basedOn w:val="Normal"/>
    <w:qFormat/>
    <w:rsid w:val="00676882"/>
    <w:pPr>
      <w:keepNext/>
      <w:spacing w:before="60" w:after="60" w:line="240" w:lineRule="atLeast"/>
      <w:ind w:left="252"/>
    </w:pPr>
    <w:rPr>
      <w:rFonts w:cstheme="minorBidi"/>
      <w:color w:val="000100"/>
      <w:sz w:val="20"/>
    </w:rPr>
  </w:style>
  <w:style w:type="paragraph" w:customStyle="1" w:styleId="BoxListNumber2">
    <w:name w:val="Box List Number 2"/>
    <w:basedOn w:val="BoxText"/>
    <w:qFormat/>
    <w:rsid w:val="00676882"/>
    <w:pPr>
      <w:numPr>
        <w:ilvl w:val="1"/>
        <w:numId w:val="25"/>
      </w:numPr>
      <w:spacing w:before="0"/>
    </w:pPr>
  </w:style>
  <w:style w:type="paragraph" w:customStyle="1" w:styleId="BoxListNumber3">
    <w:name w:val="Box List Number 3"/>
    <w:basedOn w:val="BoxText"/>
    <w:qFormat/>
    <w:rsid w:val="00676882"/>
    <w:pPr>
      <w:numPr>
        <w:ilvl w:val="2"/>
        <w:numId w:val="25"/>
      </w:numPr>
      <w:spacing w:before="0"/>
    </w:pPr>
  </w:style>
  <w:style w:type="paragraph" w:customStyle="1" w:styleId="BoxQuote">
    <w:name w:val="Box Quote"/>
    <w:basedOn w:val="BoxText"/>
    <w:qFormat/>
    <w:rsid w:val="00676882"/>
    <w:pPr>
      <w:numPr>
        <w:ilvl w:val="3"/>
        <w:numId w:val="36"/>
      </w:numPr>
    </w:pPr>
    <w:rPr>
      <w:i/>
      <w:color w:val="595959" w:themeColor="text1" w:themeTint="A6"/>
      <w:sz w:val="18"/>
    </w:rPr>
  </w:style>
  <w:style w:type="paragraph" w:customStyle="1" w:styleId="BoxQuoteListBullet">
    <w:name w:val="Box Quote List Bullet"/>
    <w:basedOn w:val="Normal-nospace"/>
    <w:qFormat/>
    <w:rsid w:val="00676882"/>
    <w:pPr>
      <w:numPr>
        <w:ilvl w:val="4"/>
        <w:numId w:val="36"/>
      </w:numPr>
      <w:spacing w:before="60" w:after="60" w:line="240" w:lineRule="atLeast"/>
      <w:ind w:right="400"/>
    </w:pPr>
    <w:rPr>
      <w:rFonts w:cstheme="minorBidi"/>
      <w:i/>
      <w:color w:val="404040" w:themeColor="text1" w:themeTint="BF"/>
      <w:sz w:val="18"/>
    </w:rPr>
  </w:style>
  <w:style w:type="paragraph" w:customStyle="1" w:styleId="BoxQuoteSource">
    <w:name w:val="Box Quote Source"/>
    <w:basedOn w:val="Normal-nospace"/>
    <w:qFormat/>
    <w:rsid w:val="00676882"/>
    <w:pPr>
      <w:spacing w:before="90" w:line="240" w:lineRule="auto"/>
      <w:ind w:right="400"/>
      <w:jc w:val="right"/>
    </w:pPr>
    <w:rPr>
      <w:rFonts w:cstheme="minorBidi"/>
      <w:i/>
      <w:color w:val="595959" w:themeColor="text1" w:themeTint="A6"/>
      <w:sz w:val="18"/>
    </w:rPr>
  </w:style>
  <w:style w:type="paragraph" w:customStyle="1" w:styleId="BoxSideHeading1">
    <w:name w:val="Box Side Heading 1"/>
    <w:basedOn w:val="BoxText"/>
    <w:next w:val="BoxText"/>
    <w:qFormat/>
    <w:rsid w:val="00676882"/>
    <w:pPr>
      <w:spacing w:before="0"/>
    </w:pPr>
    <w:rPr>
      <w:b/>
      <w:i/>
    </w:rPr>
  </w:style>
  <w:style w:type="paragraph" w:customStyle="1" w:styleId="BoxSideHeading2">
    <w:name w:val="Box Side Heading 2"/>
    <w:basedOn w:val="BoxText"/>
    <w:next w:val="BoxText"/>
    <w:qFormat/>
    <w:rsid w:val="00676882"/>
    <w:pPr>
      <w:spacing w:before="0"/>
    </w:pPr>
    <w:rPr>
      <w:i/>
    </w:rPr>
  </w:style>
  <w:style w:type="paragraph" w:customStyle="1" w:styleId="BoxTextBoldItalic">
    <w:name w:val="Box Text (Bold Italic)"/>
    <w:basedOn w:val="Normal"/>
    <w:qFormat/>
    <w:rsid w:val="00676882"/>
    <w:pPr>
      <w:spacing w:after="61" w:line="240" w:lineRule="atLeast"/>
      <w:ind w:left="252"/>
    </w:pPr>
    <w:rPr>
      <w:rFonts w:cstheme="minorBidi"/>
      <w:b/>
      <w:i/>
      <w:color w:val="000100"/>
      <w:sz w:val="20"/>
    </w:rPr>
  </w:style>
  <w:style w:type="paragraph" w:customStyle="1" w:styleId="BoxTextHeading">
    <w:name w:val="Box Text Heading"/>
    <w:basedOn w:val="Normal"/>
    <w:qFormat/>
    <w:rsid w:val="00676882"/>
    <w:pPr>
      <w:keepNext/>
      <w:spacing w:after="61" w:line="240" w:lineRule="atLeast"/>
      <w:ind w:left="442"/>
    </w:pPr>
    <w:rPr>
      <w:rFonts w:cstheme="minorBidi"/>
      <w:b/>
      <w:color w:val="000100"/>
      <w:sz w:val="20"/>
    </w:rPr>
  </w:style>
  <w:style w:type="paragraph" w:customStyle="1" w:styleId="Figure">
    <w:name w:val="Figure"/>
    <w:basedOn w:val="Normal-nospace"/>
    <w:qFormat/>
    <w:rsid w:val="00676882"/>
    <w:pPr>
      <w:keepNext/>
      <w:spacing w:line="240" w:lineRule="auto"/>
    </w:pPr>
    <w:rPr>
      <w:sz w:val="16"/>
    </w:rPr>
  </w:style>
  <w:style w:type="numbering" w:customStyle="1" w:styleId="aacTableListBullets">
    <w:name w:val="aac Table List Bullets"/>
    <w:uiPriority w:val="99"/>
    <w:rsid w:val="00676882"/>
    <w:pPr>
      <w:numPr>
        <w:numId w:val="18"/>
      </w:numPr>
    </w:pPr>
  </w:style>
  <w:style w:type="numbering" w:customStyle="1" w:styleId="aacTableListBulletssmall">
    <w:name w:val="aac Table List Bullets (small)"/>
    <w:uiPriority w:val="99"/>
    <w:rsid w:val="00676882"/>
    <w:pPr>
      <w:numPr>
        <w:numId w:val="19"/>
      </w:numPr>
    </w:pPr>
  </w:style>
  <w:style w:type="numbering" w:customStyle="1" w:styleId="aacTableListNumbers">
    <w:name w:val="aac Table List Numbers"/>
    <w:uiPriority w:val="99"/>
    <w:rsid w:val="00676882"/>
    <w:pPr>
      <w:numPr>
        <w:numId w:val="20"/>
      </w:numPr>
    </w:pPr>
  </w:style>
  <w:style w:type="numbering" w:customStyle="1" w:styleId="aacTableListNumberssmall">
    <w:name w:val="aac Table List Numbers (small)"/>
    <w:uiPriority w:val="99"/>
    <w:rsid w:val="00676882"/>
    <w:pPr>
      <w:numPr>
        <w:numId w:val="21"/>
      </w:numPr>
    </w:pPr>
  </w:style>
  <w:style w:type="paragraph" w:customStyle="1" w:styleId="Tablelistbullet">
    <w:name w:val="Table list bullet"/>
    <w:basedOn w:val="Tabletext"/>
    <w:qFormat/>
    <w:rsid w:val="00676882"/>
    <w:pPr>
      <w:numPr>
        <w:numId w:val="22"/>
      </w:numPr>
      <w:tabs>
        <w:tab w:val="num" w:pos="360"/>
      </w:tabs>
      <w:spacing w:before="40" w:after="40"/>
      <w:ind w:left="278" w:hanging="278"/>
    </w:pPr>
    <w:rPr>
      <w:rFonts w:cstheme="minorBidi"/>
    </w:rPr>
  </w:style>
  <w:style w:type="paragraph" w:customStyle="1" w:styleId="Tablelistbulletsmall">
    <w:name w:val="Table list bullet (small)"/>
    <w:basedOn w:val="Tabletextsmall"/>
    <w:qFormat/>
    <w:rsid w:val="00676882"/>
    <w:pPr>
      <w:numPr>
        <w:numId w:val="23"/>
      </w:numPr>
      <w:spacing w:after="40"/>
      <w:ind w:right="85"/>
    </w:pPr>
    <w:rPr>
      <w:rFonts w:cstheme="minorBidi"/>
    </w:rPr>
  </w:style>
  <w:style w:type="paragraph" w:customStyle="1" w:styleId="Tablelistbullet2">
    <w:name w:val="Table list bullet 2"/>
    <w:basedOn w:val="Tablelistbullet"/>
    <w:qFormat/>
    <w:rsid w:val="00676882"/>
    <w:pPr>
      <w:numPr>
        <w:ilvl w:val="1"/>
      </w:numPr>
      <w:tabs>
        <w:tab w:val="num" w:pos="360"/>
      </w:tabs>
      <w:spacing w:before="0"/>
      <w:ind w:left="516" w:hanging="238"/>
    </w:pPr>
  </w:style>
  <w:style w:type="paragraph" w:customStyle="1" w:styleId="Tablelistbullet2small">
    <w:name w:val="Table list bullet 2 (small)"/>
    <w:basedOn w:val="Tabletextsmall"/>
    <w:qFormat/>
    <w:rsid w:val="00676882"/>
    <w:pPr>
      <w:numPr>
        <w:ilvl w:val="1"/>
        <w:numId w:val="23"/>
      </w:numPr>
      <w:spacing w:before="0" w:after="40"/>
      <w:ind w:right="85"/>
    </w:pPr>
    <w:rPr>
      <w:rFonts w:cstheme="minorBidi"/>
    </w:rPr>
  </w:style>
  <w:style w:type="paragraph" w:customStyle="1" w:styleId="Tablelistbullet3">
    <w:name w:val="Table list bullet 3"/>
    <w:basedOn w:val="Tabletext"/>
    <w:qFormat/>
    <w:rsid w:val="00676882"/>
    <w:pPr>
      <w:numPr>
        <w:ilvl w:val="2"/>
        <w:numId w:val="22"/>
      </w:numPr>
      <w:tabs>
        <w:tab w:val="num" w:pos="360"/>
      </w:tabs>
      <w:spacing w:before="0" w:after="40"/>
      <w:ind w:left="0" w:hanging="238"/>
    </w:pPr>
    <w:rPr>
      <w:rFonts w:cstheme="minorBidi"/>
    </w:rPr>
  </w:style>
  <w:style w:type="paragraph" w:customStyle="1" w:styleId="Tablelistbullet3small">
    <w:name w:val="Table list bullet 3 (small)"/>
    <w:basedOn w:val="Tabletextsmall"/>
    <w:qFormat/>
    <w:rsid w:val="00676882"/>
    <w:pPr>
      <w:numPr>
        <w:ilvl w:val="2"/>
        <w:numId w:val="23"/>
      </w:numPr>
      <w:spacing w:before="0" w:after="40"/>
      <w:ind w:right="85"/>
    </w:pPr>
    <w:rPr>
      <w:rFonts w:cstheme="minorBidi"/>
    </w:rPr>
  </w:style>
  <w:style w:type="paragraph" w:customStyle="1" w:styleId="Tablelistnumber">
    <w:name w:val="Table list number"/>
    <w:basedOn w:val="Tabletext"/>
    <w:qFormat/>
    <w:rsid w:val="00676882"/>
    <w:pPr>
      <w:numPr>
        <w:numId w:val="20"/>
      </w:numPr>
      <w:spacing w:before="40" w:after="40"/>
    </w:pPr>
    <w:rPr>
      <w:rFonts w:cstheme="minorBidi"/>
    </w:rPr>
  </w:style>
  <w:style w:type="paragraph" w:customStyle="1" w:styleId="Tablelistnumbersmall">
    <w:name w:val="Table list number (small)"/>
    <w:basedOn w:val="Tabletextsmall"/>
    <w:qFormat/>
    <w:rsid w:val="00676882"/>
    <w:pPr>
      <w:numPr>
        <w:numId w:val="21"/>
      </w:numPr>
      <w:spacing w:after="40"/>
      <w:ind w:right="85"/>
    </w:pPr>
    <w:rPr>
      <w:rFonts w:cstheme="minorBidi"/>
    </w:rPr>
  </w:style>
  <w:style w:type="paragraph" w:customStyle="1" w:styleId="Tablelistnumber2">
    <w:name w:val="Table list number 2"/>
    <w:basedOn w:val="Tabletext"/>
    <w:qFormat/>
    <w:rsid w:val="00676882"/>
    <w:pPr>
      <w:numPr>
        <w:ilvl w:val="1"/>
        <w:numId w:val="20"/>
      </w:numPr>
      <w:tabs>
        <w:tab w:val="num" w:pos="360"/>
      </w:tabs>
      <w:spacing w:before="0" w:after="40"/>
      <w:ind w:left="0" w:firstLine="0"/>
    </w:pPr>
    <w:rPr>
      <w:rFonts w:cstheme="minorBidi"/>
    </w:rPr>
  </w:style>
  <w:style w:type="paragraph" w:customStyle="1" w:styleId="Tablelistnumber2small">
    <w:name w:val="Table list number 2 (small)"/>
    <w:basedOn w:val="Tabletextsmall"/>
    <w:qFormat/>
    <w:rsid w:val="00676882"/>
    <w:pPr>
      <w:numPr>
        <w:ilvl w:val="1"/>
        <w:numId w:val="21"/>
      </w:numPr>
      <w:spacing w:before="0" w:after="40"/>
      <w:ind w:right="85"/>
    </w:pPr>
    <w:rPr>
      <w:rFonts w:cstheme="minorBidi"/>
    </w:rPr>
  </w:style>
  <w:style w:type="paragraph" w:customStyle="1" w:styleId="Tablelistnumber3">
    <w:name w:val="Table list number 3"/>
    <w:basedOn w:val="Tabletext"/>
    <w:qFormat/>
    <w:rsid w:val="00676882"/>
    <w:pPr>
      <w:numPr>
        <w:ilvl w:val="2"/>
        <w:numId w:val="20"/>
      </w:numPr>
      <w:tabs>
        <w:tab w:val="num" w:pos="360"/>
      </w:tabs>
      <w:spacing w:before="0" w:after="40"/>
      <w:ind w:left="0" w:firstLine="0"/>
    </w:pPr>
    <w:rPr>
      <w:rFonts w:cstheme="minorBidi"/>
    </w:rPr>
  </w:style>
  <w:style w:type="paragraph" w:customStyle="1" w:styleId="Tablelistnumber3small">
    <w:name w:val="Table list number 3 (small)"/>
    <w:basedOn w:val="Tabletextsmall"/>
    <w:qFormat/>
    <w:rsid w:val="00676882"/>
    <w:pPr>
      <w:numPr>
        <w:ilvl w:val="2"/>
        <w:numId w:val="21"/>
      </w:numPr>
      <w:spacing w:before="0" w:after="40"/>
      <w:ind w:right="85"/>
    </w:pPr>
    <w:rPr>
      <w:rFonts w:cstheme="minorBidi"/>
    </w:rPr>
  </w:style>
  <w:style w:type="numbering" w:customStyle="1" w:styleId="aaclstStyleBoxListNumbers">
    <w:name w:val="aac_lstStyle_BoxListNumbers"/>
    <w:uiPriority w:val="99"/>
    <w:rsid w:val="00676882"/>
    <w:pPr>
      <w:numPr>
        <w:numId w:val="24"/>
      </w:numPr>
    </w:pPr>
  </w:style>
  <w:style w:type="paragraph" w:customStyle="1" w:styleId="Tablesideheading1">
    <w:name w:val="Table side heading 1"/>
    <w:basedOn w:val="Tabletext"/>
    <w:next w:val="Tabletext"/>
    <w:qFormat/>
    <w:rsid w:val="00676882"/>
    <w:rPr>
      <w:rFonts w:cstheme="minorBidi"/>
      <w:b/>
      <w:spacing w:val="3"/>
    </w:rPr>
  </w:style>
  <w:style w:type="paragraph" w:customStyle="1" w:styleId="Tablesideheading1small">
    <w:name w:val="Table side heading 1 (small)"/>
    <w:basedOn w:val="Tablesideheading1"/>
    <w:qFormat/>
    <w:rsid w:val="00676882"/>
    <w:pPr>
      <w:spacing w:before="40" w:line="180" w:lineRule="exact"/>
    </w:pPr>
    <w:rPr>
      <w:sz w:val="16"/>
    </w:rPr>
  </w:style>
  <w:style w:type="paragraph" w:customStyle="1" w:styleId="Tablesideheading2">
    <w:name w:val="Table side heading 2"/>
    <w:basedOn w:val="Tabletext"/>
    <w:qFormat/>
    <w:rsid w:val="00676882"/>
    <w:rPr>
      <w:rFonts w:cstheme="minorBidi"/>
      <w:b/>
      <w:i/>
    </w:rPr>
  </w:style>
  <w:style w:type="paragraph" w:customStyle="1" w:styleId="Tablesideheading2small">
    <w:name w:val="Table side heading 2 (small)"/>
    <w:basedOn w:val="Tablesideheading2"/>
    <w:qFormat/>
    <w:rsid w:val="00676882"/>
    <w:pPr>
      <w:spacing w:line="180" w:lineRule="exact"/>
    </w:pPr>
    <w:rPr>
      <w:sz w:val="16"/>
    </w:rPr>
  </w:style>
  <w:style w:type="paragraph" w:customStyle="1" w:styleId="Note">
    <w:name w:val="Note"/>
    <w:rsid w:val="00676882"/>
    <w:pPr>
      <w:keepNext/>
      <w:keepLines/>
      <w:spacing w:before="40" w:after="0" w:line="180" w:lineRule="exact"/>
    </w:pPr>
    <w:rPr>
      <w:rFonts w:ascii="Arial Narrow" w:eastAsia="Times New Roman" w:hAnsi="Arial Narrow" w:cs="Times New Roman"/>
      <w:sz w:val="16"/>
      <w:szCs w:val="24"/>
    </w:rPr>
  </w:style>
  <w:style w:type="paragraph" w:customStyle="1" w:styleId="SideNoteItalicRight">
    <w:name w:val="SideNote (Italic Right)"/>
    <w:basedOn w:val="Normal-nospace"/>
    <w:qFormat/>
    <w:rsid w:val="00676882"/>
    <w:pPr>
      <w:spacing w:before="64" w:line="240" w:lineRule="atLeast"/>
      <w:contextualSpacing/>
      <w:jc w:val="right"/>
    </w:pPr>
    <w:rPr>
      <w:rFonts w:cstheme="minorBidi"/>
      <w:b/>
      <w:i/>
      <w:color w:val="140134"/>
      <w:sz w:val="28"/>
    </w:rPr>
  </w:style>
  <w:style w:type="paragraph" w:customStyle="1" w:styleId="SideNoteItalicLeft">
    <w:name w:val="SideNote (Italic Left)"/>
    <w:basedOn w:val="SideNoteItalicRight"/>
    <w:qFormat/>
    <w:rsid w:val="00676882"/>
    <w:pPr>
      <w:jc w:val="left"/>
    </w:pPr>
  </w:style>
  <w:style w:type="paragraph" w:customStyle="1" w:styleId="SideNoteRegularLeft">
    <w:name w:val="SideNote (Regular Left)"/>
    <w:basedOn w:val="Normal-nospace"/>
    <w:qFormat/>
    <w:rsid w:val="00676882"/>
    <w:pPr>
      <w:spacing w:before="64" w:line="240" w:lineRule="atLeast"/>
      <w:contextualSpacing/>
    </w:pPr>
    <w:rPr>
      <w:b/>
      <w:color w:val="E7E6E6" w:themeColor="background2"/>
      <w:sz w:val="28"/>
    </w:rPr>
  </w:style>
  <w:style w:type="paragraph" w:customStyle="1" w:styleId="SideNoteRegularRight">
    <w:name w:val="SideNote (Regular Right)"/>
    <w:basedOn w:val="SideNoteRegularLeft"/>
    <w:qFormat/>
    <w:rsid w:val="00676882"/>
    <w:pPr>
      <w:jc w:val="right"/>
    </w:pPr>
  </w:style>
  <w:style w:type="paragraph" w:customStyle="1" w:styleId="SideNoteBullet">
    <w:name w:val="SideNote Bullet"/>
    <w:basedOn w:val="SideNoteRegularLeft"/>
    <w:rsid w:val="00676882"/>
    <w:pPr>
      <w:numPr>
        <w:ilvl w:val="1"/>
        <w:numId w:val="26"/>
      </w:numPr>
      <w:spacing w:before="0" w:after="64"/>
    </w:pPr>
  </w:style>
  <w:style w:type="paragraph" w:customStyle="1" w:styleId="SideNoteDash">
    <w:name w:val="SideNote Dash"/>
    <w:basedOn w:val="SideNoteRegularLeft"/>
    <w:qFormat/>
    <w:rsid w:val="00676882"/>
    <w:pPr>
      <w:numPr>
        <w:numId w:val="26"/>
      </w:numPr>
    </w:pPr>
  </w:style>
  <w:style w:type="paragraph" w:customStyle="1" w:styleId="PullOutTitle">
    <w:name w:val="PullOut Title"/>
    <w:basedOn w:val="Normal-nospace"/>
    <w:qFormat/>
    <w:rsid w:val="00676882"/>
    <w:pPr>
      <w:spacing w:before="90"/>
    </w:pPr>
    <w:rPr>
      <w:rFonts w:cstheme="minorBidi"/>
      <w:b/>
    </w:rPr>
  </w:style>
  <w:style w:type="character" w:customStyle="1" w:styleId="SourceChar">
    <w:name w:val="Source Char"/>
    <w:basedOn w:val="DefaultParagraphFont"/>
    <w:link w:val="Source"/>
    <w:locked/>
    <w:rsid w:val="00676882"/>
    <w:rPr>
      <w:rFonts w:ascii="Arial Narrow" w:hAnsi="Arial Narrow" w:cs="Arial"/>
      <w:i/>
      <w:color w:val="000100"/>
      <w:sz w:val="16"/>
    </w:rPr>
  </w:style>
  <w:style w:type="table" w:customStyle="1" w:styleId="aacTableBanded-Odd">
    <w:name w:val="aac Table (Banded-Odd)"/>
    <w:basedOn w:val="TableNormal"/>
    <w:uiPriority w:val="99"/>
    <w:rsid w:val="00676882"/>
    <w:pPr>
      <w:spacing w:before="60" w:after="0" w:line="240" w:lineRule="atLeast"/>
      <w:ind w:right="119"/>
    </w:pPr>
    <w:rPr>
      <w:rFonts w:ascii="Arial Narrow" w:hAnsi="Arial Narrow"/>
    </w:rPr>
    <w:tblPr>
      <w:tblStyleRowBandSize w:val="1"/>
      <w:tblBorders>
        <w:bottom w:val="single" w:sz="4" w:space="0" w:color="auto"/>
        <w:insideH w:val="single" w:sz="4" w:space="0" w:color="auto"/>
      </w:tblBorders>
      <w:tblCellMar>
        <w:left w:w="0" w:type="dxa"/>
        <w:right w:w="0" w:type="dxa"/>
      </w:tblCellMar>
    </w:tblPr>
    <w:tblStylePr w:type="firstRow">
      <w:tblPr/>
      <w:tcPr>
        <w:shd w:val="clear" w:color="auto" w:fill="140134"/>
      </w:tcPr>
    </w:tblStylePr>
    <w:tblStylePr w:type="band1Horz">
      <w:tblPr/>
      <w:tcPr>
        <w:shd w:val="clear" w:color="auto" w:fill="E5E4E5"/>
      </w:tcPr>
    </w:tblStylePr>
  </w:style>
  <w:style w:type="table" w:customStyle="1" w:styleId="aacTableBanded-Even">
    <w:name w:val="aac Table (Banded-Even)"/>
    <w:basedOn w:val="TableNormal"/>
    <w:uiPriority w:val="99"/>
    <w:rsid w:val="00676882"/>
    <w:pPr>
      <w:spacing w:after="0" w:line="240" w:lineRule="auto"/>
    </w:pPr>
    <w:rPr>
      <w:rFonts w:ascii="Arial Narrow" w:hAnsi="Arial Narrow"/>
    </w:rPr>
    <w:tblPr>
      <w:tblStyleRowBandSize w:val="1"/>
      <w:tblBorders>
        <w:bottom w:val="single" w:sz="4" w:space="0" w:color="auto"/>
        <w:insideH w:val="single" w:sz="4" w:space="0" w:color="auto"/>
      </w:tblBorders>
      <w:tblCellMar>
        <w:left w:w="0" w:type="dxa"/>
        <w:right w:w="0" w:type="dxa"/>
      </w:tblCellMar>
    </w:tblPr>
    <w:tblStylePr w:type="firstRow">
      <w:tblPr/>
      <w:tcPr>
        <w:shd w:val="clear" w:color="auto" w:fill="140134"/>
      </w:tcPr>
    </w:tblStylePr>
    <w:tblStylePr w:type="band2Horz">
      <w:tblPr/>
      <w:tcPr>
        <w:shd w:val="clear" w:color="auto" w:fill="E5E4E5"/>
      </w:tcPr>
    </w:tblStylePr>
  </w:style>
  <w:style w:type="numbering" w:customStyle="1" w:styleId="aaHeadingnonumberList">
    <w:name w:val="aa Heading (no number) List"/>
    <w:uiPriority w:val="99"/>
    <w:rsid w:val="00676882"/>
    <w:pPr>
      <w:numPr>
        <w:numId w:val="27"/>
      </w:numPr>
    </w:pPr>
  </w:style>
  <w:style w:type="paragraph" w:customStyle="1" w:styleId="Heading1AP">
    <w:name w:val="Heading 1 (AP)"/>
    <w:basedOn w:val="Normal-nospace"/>
    <w:next w:val="BodyText"/>
    <w:qFormat/>
    <w:rsid w:val="00676882"/>
    <w:pPr>
      <w:numPr>
        <w:numId w:val="29"/>
      </w:numPr>
      <w:spacing w:after="200" w:line="192" w:lineRule="auto"/>
    </w:pPr>
    <w:rPr>
      <w:rFonts w:ascii="Yu Gothic Medium" w:hAnsi="Yu Gothic Medium"/>
      <w:color w:val="FFFEFF"/>
      <w:sz w:val="52"/>
    </w:rPr>
  </w:style>
  <w:style w:type="paragraph" w:customStyle="1" w:styleId="Heading2AP">
    <w:name w:val="Heading 2 (AP)"/>
    <w:basedOn w:val="Normal-nospace"/>
    <w:next w:val="BodyText"/>
    <w:qFormat/>
    <w:rsid w:val="00676882"/>
    <w:pPr>
      <w:keepNext/>
      <w:numPr>
        <w:ilvl w:val="1"/>
        <w:numId w:val="29"/>
      </w:numPr>
      <w:pBdr>
        <w:bottom w:val="single" w:sz="4" w:space="0" w:color="6C3E99"/>
      </w:pBdr>
      <w:spacing w:before="240" w:after="216"/>
    </w:pPr>
    <w:rPr>
      <w:b/>
      <w:color w:val="6C3E99"/>
      <w:sz w:val="28"/>
    </w:rPr>
  </w:style>
  <w:style w:type="paragraph" w:customStyle="1" w:styleId="Heading3AP">
    <w:name w:val="Heading 3 (AP)"/>
    <w:basedOn w:val="Normal-nospace"/>
    <w:next w:val="BodyText"/>
    <w:qFormat/>
    <w:rsid w:val="00676882"/>
    <w:pPr>
      <w:keepNext/>
      <w:numPr>
        <w:ilvl w:val="2"/>
        <w:numId w:val="29"/>
      </w:numPr>
      <w:pBdr>
        <w:bottom w:val="single" w:sz="4" w:space="0" w:color="000100"/>
      </w:pBdr>
      <w:spacing w:before="240" w:after="160" w:line="240" w:lineRule="atLeast"/>
    </w:pPr>
    <w:rPr>
      <w:b/>
    </w:rPr>
  </w:style>
  <w:style w:type="paragraph" w:customStyle="1" w:styleId="Heading4AP">
    <w:name w:val="Heading 4 (AP)"/>
    <w:basedOn w:val="Normal-nospace"/>
    <w:next w:val="BodyText"/>
    <w:qFormat/>
    <w:rsid w:val="00676882"/>
    <w:pPr>
      <w:keepNext/>
      <w:numPr>
        <w:ilvl w:val="3"/>
        <w:numId w:val="29"/>
      </w:numPr>
      <w:spacing w:before="240" w:after="160" w:line="240" w:lineRule="atLeast"/>
    </w:pPr>
    <w:rPr>
      <w:b/>
    </w:rPr>
  </w:style>
  <w:style w:type="paragraph" w:customStyle="1" w:styleId="Heading5AP">
    <w:name w:val="Heading 5 (AP)"/>
    <w:basedOn w:val="Normal-nospace"/>
    <w:next w:val="BodyText"/>
    <w:qFormat/>
    <w:rsid w:val="00676882"/>
    <w:pPr>
      <w:keepNext/>
      <w:numPr>
        <w:ilvl w:val="4"/>
        <w:numId w:val="29"/>
      </w:numPr>
      <w:spacing w:before="240" w:after="160" w:line="240" w:lineRule="atLeast"/>
    </w:pPr>
    <w:rPr>
      <w:b/>
      <w:i/>
    </w:rPr>
  </w:style>
  <w:style w:type="paragraph" w:customStyle="1" w:styleId="Heading6AP">
    <w:name w:val="Heading 6 (AP)"/>
    <w:basedOn w:val="Normal-nospace"/>
    <w:next w:val="BodyText"/>
    <w:qFormat/>
    <w:rsid w:val="00676882"/>
    <w:pPr>
      <w:keepNext/>
      <w:numPr>
        <w:ilvl w:val="5"/>
        <w:numId w:val="29"/>
      </w:numPr>
      <w:spacing w:before="240" w:after="160" w:line="240" w:lineRule="atLeast"/>
    </w:pPr>
    <w:rPr>
      <w:b/>
      <w:i/>
      <w:color w:val="959495"/>
    </w:rPr>
  </w:style>
  <w:style w:type="numbering" w:customStyle="1" w:styleId="aaclstStyleHeadingApp">
    <w:name w:val="aac_lstStyle_HeadingApp"/>
    <w:uiPriority w:val="99"/>
    <w:rsid w:val="00676882"/>
    <w:pPr>
      <w:numPr>
        <w:numId w:val="28"/>
      </w:numPr>
    </w:pPr>
  </w:style>
  <w:style w:type="numbering" w:customStyle="1" w:styleId="aaReportListDash">
    <w:name w:val="aa Report List Dash"/>
    <w:uiPriority w:val="99"/>
    <w:rsid w:val="00676882"/>
    <w:pPr>
      <w:numPr>
        <w:numId w:val="30"/>
      </w:numPr>
    </w:pPr>
  </w:style>
  <w:style w:type="paragraph" w:customStyle="1" w:styleId="waterMarkaadraftstat">
    <w:name w:val="waterMark_aa_draft_stat"/>
    <w:rsid w:val="00676882"/>
    <w:rPr>
      <w:rFonts w:eastAsiaTheme="minorEastAsia" w:cs="Times New Roman"/>
      <w:sz w:val="3276"/>
      <w:szCs w:val="3276"/>
      <w:lang w:val="en-US"/>
    </w:rPr>
  </w:style>
  <w:style w:type="paragraph" w:customStyle="1" w:styleId="waterMarkaaCabinetsec">
    <w:name w:val="waterMark_aa_Cabinet_sec"/>
    <w:rsid w:val="00676882"/>
    <w:rPr>
      <w:rFonts w:eastAsiaTheme="minorEastAsia" w:cs="Times New Roman"/>
      <w:sz w:val="3276"/>
      <w:szCs w:val="3276"/>
      <w:lang w:val="en-US"/>
    </w:rPr>
  </w:style>
  <w:style w:type="paragraph" w:customStyle="1" w:styleId="waterMarkaaCommercialsec">
    <w:name w:val="waterMark_aa_Commercial_sec"/>
    <w:rsid w:val="00676882"/>
    <w:rPr>
      <w:rFonts w:eastAsiaTheme="minorEastAsia" w:cs="Times New Roman"/>
      <w:sz w:val="3276"/>
      <w:szCs w:val="3276"/>
      <w:lang w:val="en-US"/>
    </w:rPr>
  </w:style>
  <w:style w:type="paragraph" w:customStyle="1" w:styleId="waterMarkaadraftOnlyBodstat">
    <w:name w:val="waterMark_aa_draftOnlyBod_stat"/>
    <w:rsid w:val="00676882"/>
    <w:rPr>
      <w:rFonts w:eastAsiaTheme="minorEastAsia" w:cs="Times New Roman"/>
      <w:sz w:val="3276"/>
      <w:szCs w:val="3276"/>
      <w:lang w:val="en-US"/>
    </w:rPr>
  </w:style>
  <w:style w:type="paragraph" w:customStyle="1" w:styleId="waterMarkaaConfidentialsec">
    <w:name w:val="waterMark_aa_Confidential_sec"/>
    <w:rsid w:val="00676882"/>
    <w:rPr>
      <w:rFonts w:eastAsiaTheme="minorEastAsia" w:cs="Times New Roman"/>
      <w:sz w:val="3276"/>
      <w:szCs w:val="3276"/>
      <w:lang w:val="en-US"/>
    </w:rPr>
  </w:style>
  <w:style w:type="paragraph" w:customStyle="1" w:styleId="TableQuoteSource">
    <w:name w:val="Table Quote Source"/>
    <w:basedOn w:val="Normal-nospace"/>
    <w:qFormat/>
    <w:rsid w:val="00676882"/>
    <w:pPr>
      <w:spacing w:before="90" w:after="60" w:line="240" w:lineRule="auto"/>
      <w:ind w:right="200"/>
      <w:jc w:val="right"/>
    </w:pPr>
    <w:rPr>
      <w:rFonts w:cstheme="minorBidi"/>
      <w:i/>
      <w:color w:val="404040" w:themeColor="text1" w:themeTint="BF"/>
      <w:sz w:val="20"/>
    </w:rPr>
  </w:style>
  <w:style w:type="paragraph" w:customStyle="1" w:styleId="TableQuoteSourcesmall">
    <w:name w:val="Table Quote Source (small)"/>
    <w:basedOn w:val="BodyText"/>
    <w:qFormat/>
    <w:rsid w:val="00676882"/>
    <w:pPr>
      <w:spacing w:before="0" w:line="240" w:lineRule="auto"/>
      <w:ind w:right="200"/>
      <w:jc w:val="right"/>
    </w:pPr>
    <w:rPr>
      <w:rFonts w:cstheme="minorBidi"/>
      <w:i/>
      <w:color w:val="403F40"/>
      <w:sz w:val="16"/>
    </w:rPr>
  </w:style>
  <w:style w:type="paragraph" w:customStyle="1" w:styleId="TableQuote">
    <w:name w:val="Table Quote"/>
    <w:basedOn w:val="Normal-nospace"/>
    <w:qFormat/>
    <w:rsid w:val="00676882"/>
    <w:pPr>
      <w:spacing w:before="60" w:line="240" w:lineRule="atLeast"/>
      <w:ind w:right="199"/>
    </w:pPr>
    <w:rPr>
      <w:rFonts w:cstheme="minorBidi"/>
      <w:i/>
      <w:color w:val="404040" w:themeColor="text1" w:themeTint="BF"/>
      <w:sz w:val="20"/>
    </w:rPr>
  </w:style>
  <w:style w:type="paragraph" w:customStyle="1" w:styleId="QuoteListBullet">
    <w:name w:val="Quote List Bullet"/>
    <w:basedOn w:val="Quote"/>
    <w:qFormat/>
    <w:rsid w:val="00676882"/>
    <w:pPr>
      <w:numPr>
        <w:numId w:val="33"/>
      </w:numPr>
      <w:spacing w:before="0"/>
      <w:ind w:left="777" w:hanging="357"/>
      <w:contextualSpacing/>
    </w:pPr>
  </w:style>
  <w:style w:type="paragraph" w:customStyle="1" w:styleId="QuoteSource">
    <w:name w:val="Quote Source"/>
    <w:basedOn w:val="Quote"/>
    <w:next w:val="BodyText"/>
    <w:qFormat/>
    <w:rsid w:val="00676882"/>
    <w:pPr>
      <w:contextualSpacing/>
      <w:jc w:val="right"/>
    </w:pPr>
  </w:style>
  <w:style w:type="paragraph" w:customStyle="1" w:styleId="TableQuotesmall">
    <w:name w:val="Table Quote (small)"/>
    <w:basedOn w:val="Normal-nospace"/>
    <w:qFormat/>
    <w:rsid w:val="00676882"/>
    <w:pPr>
      <w:spacing w:before="60" w:line="180" w:lineRule="exact"/>
      <w:ind w:right="199"/>
    </w:pPr>
    <w:rPr>
      <w:rFonts w:cstheme="minorBidi"/>
      <w:i/>
      <w:color w:val="403F40"/>
      <w:sz w:val="16"/>
    </w:rPr>
  </w:style>
  <w:style w:type="paragraph" w:customStyle="1" w:styleId="TableQuoteBullet">
    <w:name w:val="Table Quote Bullet"/>
    <w:basedOn w:val="Normal-nospace"/>
    <w:qFormat/>
    <w:rsid w:val="00676882"/>
    <w:pPr>
      <w:numPr>
        <w:numId w:val="34"/>
      </w:numPr>
      <w:spacing w:before="60" w:after="60" w:line="240" w:lineRule="auto"/>
      <w:ind w:left="360" w:right="200"/>
      <w:contextualSpacing/>
    </w:pPr>
    <w:rPr>
      <w:rFonts w:cstheme="minorBidi"/>
      <w:i/>
      <w:color w:val="404040" w:themeColor="text1" w:themeTint="BF"/>
      <w:sz w:val="20"/>
    </w:rPr>
  </w:style>
  <w:style w:type="paragraph" w:customStyle="1" w:styleId="TableQuoteBulletsmall">
    <w:name w:val="Table Quote Bullet (small)"/>
    <w:basedOn w:val="Normal-nospace"/>
    <w:qFormat/>
    <w:rsid w:val="00676882"/>
    <w:pPr>
      <w:numPr>
        <w:numId w:val="35"/>
      </w:numPr>
      <w:spacing w:before="40" w:after="60" w:line="240" w:lineRule="auto"/>
      <w:ind w:left="360"/>
      <w:contextualSpacing/>
    </w:pPr>
    <w:rPr>
      <w:rFonts w:cstheme="minorBidi"/>
      <w:i/>
      <w:color w:val="403F40"/>
      <w:sz w:val="16"/>
    </w:rPr>
  </w:style>
  <w:style w:type="paragraph" w:customStyle="1" w:styleId="SubHeading1">
    <w:name w:val="Sub Heading 1"/>
    <w:basedOn w:val="Normalrgb"/>
    <w:qFormat/>
    <w:rsid w:val="00676882"/>
    <w:pPr>
      <w:spacing w:line="240" w:lineRule="auto"/>
      <w:contextualSpacing/>
    </w:pPr>
    <w:rPr>
      <w:sz w:val="40"/>
    </w:rPr>
  </w:style>
  <w:style w:type="paragraph" w:customStyle="1" w:styleId="tagglossaryChpt">
    <w:name w:val="tag_glossary_Chpt"/>
    <w:basedOn w:val="spacer"/>
    <w:rsid w:val="00676882"/>
  </w:style>
  <w:style w:type="paragraph" w:customStyle="1" w:styleId="tagbiblioChpt">
    <w:name w:val="tag_biblio_Chpt"/>
    <w:basedOn w:val="spacer"/>
    <w:qFormat/>
    <w:rsid w:val="00676882"/>
  </w:style>
  <w:style w:type="paragraph" w:customStyle="1" w:styleId="tagrefsChpt">
    <w:name w:val="tag_refs_Chpt"/>
    <w:basedOn w:val="spacer"/>
    <w:qFormat/>
    <w:rsid w:val="00676882"/>
  </w:style>
  <w:style w:type="paragraph" w:customStyle="1" w:styleId="tagworksCitedChpt">
    <w:name w:val="tag_worksCited_Chpt"/>
    <w:basedOn w:val="spacer"/>
    <w:qFormat/>
    <w:rsid w:val="00676882"/>
  </w:style>
  <w:style w:type="paragraph" w:customStyle="1" w:styleId="TOCTOFSubHeading">
    <w:name w:val="TOC TOFSubHeading"/>
    <w:basedOn w:val="Normal-nospace"/>
    <w:qFormat/>
    <w:rsid w:val="00676882"/>
    <w:pPr>
      <w:keepNext/>
      <w:spacing w:before="240" w:after="60" w:line="260" w:lineRule="exact"/>
    </w:pPr>
    <w:rPr>
      <w:rFonts w:ascii="Yu Gothic Medium" w:hAnsi="Yu Gothic Medium"/>
      <w:b/>
    </w:rPr>
  </w:style>
  <w:style w:type="paragraph" w:customStyle="1" w:styleId="Heading2nonumber">
    <w:name w:val="Heading 2 (no number)"/>
    <w:basedOn w:val="Normal-nospace"/>
    <w:next w:val="BodyText"/>
    <w:qFormat/>
    <w:rsid w:val="00676882"/>
    <w:pPr>
      <w:pBdr>
        <w:bottom w:val="single" w:sz="4" w:space="1" w:color="6C3E99"/>
      </w:pBdr>
      <w:spacing w:before="240" w:after="216"/>
    </w:pPr>
    <w:rPr>
      <w:b/>
      <w:color w:val="6C3E99"/>
      <w:sz w:val="28"/>
    </w:rPr>
  </w:style>
  <w:style w:type="paragraph" w:customStyle="1" w:styleId="Heading3nonumber">
    <w:name w:val="Heading 3 (no number)"/>
    <w:basedOn w:val="Normal-nospace"/>
    <w:next w:val="BodyText"/>
    <w:qFormat/>
    <w:rsid w:val="00676882"/>
    <w:pPr>
      <w:pBdr>
        <w:bottom w:val="single" w:sz="4" w:space="0" w:color="000100"/>
      </w:pBdr>
      <w:spacing w:before="240" w:after="160" w:line="240" w:lineRule="atLeast"/>
    </w:pPr>
    <w:rPr>
      <w:b/>
    </w:rPr>
  </w:style>
  <w:style w:type="paragraph" w:customStyle="1" w:styleId="Heading4nonumber">
    <w:name w:val="Heading 4 (no number)"/>
    <w:basedOn w:val="Normal-nospace"/>
    <w:next w:val="BodyText"/>
    <w:qFormat/>
    <w:rsid w:val="00676882"/>
    <w:pPr>
      <w:keepNext/>
      <w:spacing w:before="240" w:after="160" w:line="240" w:lineRule="atLeast"/>
    </w:pPr>
    <w:rPr>
      <w:b/>
    </w:rPr>
  </w:style>
  <w:style w:type="paragraph" w:customStyle="1" w:styleId="LetterHeading2">
    <w:name w:val="Letter Heading 2"/>
    <w:basedOn w:val="LetterHeading1"/>
    <w:next w:val="BodyText"/>
    <w:uiPriority w:val="7"/>
    <w:qFormat/>
    <w:rsid w:val="00676882"/>
    <w:rPr>
      <w:i/>
    </w:rPr>
  </w:style>
  <w:style w:type="paragraph" w:customStyle="1" w:styleId="LetterHeading3">
    <w:name w:val="Letter Heading 3"/>
    <w:basedOn w:val="LetterHeading1"/>
    <w:next w:val="BodyText"/>
    <w:uiPriority w:val="7"/>
    <w:qFormat/>
    <w:rsid w:val="00676882"/>
    <w:rPr>
      <w:b w:val="0"/>
      <w:i/>
    </w:rPr>
  </w:style>
  <w:style w:type="paragraph" w:customStyle="1" w:styleId="FigureSubHeadings">
    <w:name w:val="Figure (Sub Headings)"/>
    <w:basedOn w:val="Normal-nospace"/>
    <w:qFormat/>
    <w:rsid w:val="00676882"/>
    <w:pPr>
      <w:spacing w:before="60" w:after="120" w:line="240" w:lineRule="auto"/>
    </w:pPr>
    <w:rPr>
      <w:sz w:val="18"/>
    </w:rPr>
  </w:style>
  <w:style w:type="table" w:customStyle="1" w:styleId="aacTablenolines">
    <w:name w:val="aac Table (no lines)"/>
    <w:basedOn w:val="TableNormal"/>
    <w:uiPriority w:val="99"/>
    <w:rsid w:val="00676882"/>
    <w:pPr>
      <w:spacing w:after="0" w:line="240" w:lineRule="auto"/>
    </w:pPr>
    <w:tblPr>
      <w:tblCellMar>
        <w:left w:w="0" w:type="dxa"/>
        <w:right w:w="0" w:type="dxa"/>
      </w:tblCellMar>
    </w:tblPr>
  </w:style>
  <w:style w:type="character" w:customStyle="1" w:styleId="Notelabel">
    <w:name w:val="Note label"/>
    <w:basedOn w:val="DefaultParagraphFont"/>
    <w:qFormat/>
    <w:rsid w:val="00676882"/>
    <w:rPr>
      <w:b/>
      <w:vertAlign w:val="superscript"/>
    </w:rPr>
  </w:style>
  <w:style w:type="paragraph" w:customStyle="1" w:styleId="LetterConfidentiality">
    <w:name w:val="Letter Confidentiality"/>
    <w:basedOn w:val="BodyText"/>
    <w:qFormat/>
    <w:rsid w:val="00676882"/>
    <w:rPr>
      <w:color w:val="000000"/>
    </w:rPr>
  </w:style>
  <w:style w:type="paragraph" w:customStyle="1" w:styleId="Normalrgb">
    <w:name w:val="Normal_rgb"/>
    <w:basedOn w:val="Normal-nospace"/>
    <w:qFormat/>
    <w:rsid w:val="00676882"/>
    <w:rPr>
      <w:color w:val="9D85BE"/>
    </w:rPr>
  </w:style>
  <w:style w:type="paragraph" w:customStyle="1" w:styleId="CpContactDetailsWeb">
    <w:name w:val="Cp Contact Details Web"/>
    <w:basedOn w:val="Normalrgb"/>
    <w:qFormat/>
    <w:rsid w:val="00676882"/>
    <w:pPr>
      <w:spacing w:line="250" w:lineRule="exact"/>
    </w:pPr>
  </w:style>
  <w:style w:type="paragraph" w:customStyle="1" w:styleId="CpContactDetailsHeading">
    <w:name w:val="Cp Contact Details Heading"/>
    <w:basedOn w:val="Normalrgb"/>
    <w:next w:val="CpContactDetails"/>
    <w:qFormat/>
    <w:rsid w:val="00676882"/>
    <w:pPr>
      <w:spacing w:line="250" w:lineRule="exact"/>
    </w:pPr>
    <w:rPr>
      <w:b/>
    </w:rPr>
  </w:style>
  <w:style w:type="paragraph" w:customStyle="1" w:styleId="tagaaRptTestStyle00">
    <w:name w:val="tag_aa_RptTestStyle_#?_00"/>
    <w:basedOn w:val="BodyText"/>
    <w:qFormat/>
    <w:rsid w:val="00676882"/>
    <w:pPr>
      <w:spacing w:before="0" w:after="0" w:line="240" w:lineRule="auto"/>
    </w:pPr>
    <w:rPr>
      <w:sz w:val="16"/>
    </w:rPr>
  </w:style>
  <w:style w:type="character" w:customStyle="1" w:styleId="ListBulletChar">
    <w:name w:val="List Bullet Char"/>
    <w:aliases w:val="List Bullet Char1 Char,List Bullet Char Char Char,List Bullet Char1 Char Char Char,List Bullet Char Char Char1 Char Char,List Bullet Char Char Char Char Char Char,List Bullet Char3 Char,List Bullet Char2 Char Char,List Bullet1 Char"/>
    <w:basedOn w:val="DefaultParagraphFont"/>
    <w:link w:val="ListBullet"/>
    <w:uiPriority w:val="99"/>
    <w:rsid w:val="00676882"/>
    <w:rPr>
      <w:rFonts w:ascii="Arial Narrow" w:hAnsi="Arial Narrow" w:cs="Arial"/>
    </w:rPr>
  </w:style>
  <w:style w:type="character" w:customStyle="1" w:styleId="CaptionChar1">
    <w:name w:val="Caption Char1"/>
    <w:aliases w:val="Caption Char Char,Char1 Char Char Char1,Char1 Char Char1,Char1 Char Char Char Char1,Char1 Char Char Char Char Char,Char Char Char,Caption Char Char Char Char,1 Char,Char1 Char1,Char Char1,Text Caption Char,minor heading Char,Caption1 Char"/>
    <w:basedOn w:val="DefaultParagraphFont"/>
    <w:link w:val="Caption"/>
    <w:uiPriority w:val="35"/>
    <w:rsid w:val="00676882"/>
    <w:rPr>
      <w:rFonts w:ascii="Arial Narrow" w:hAnsi="Arial Narrow" w:cs="Arial"/>
      <w:iCs/>
      <w:color w:val="000100"/>
      <w:szCs w:val="18"/>
    </w:rPr>
  </w:style>
  <w:style w:type="character" w:customStyle="1" w:styleId="TabletextChar">
    <w:name w:val="Table text Char"/>
    <w:link w:val="Tabletext"/>
    <w:locked/>
    <w:rsid w:val="00676882"/>
    <w:rPr>
      <w:rFonts w:ascii="Arial Narrow" w:hAnsi="Arial Narrow" w:cs="Arial"/>
      <w:color w:val="000100"/>
      <w:sz w:val="20"/>
    </w:rPr>
  </w:style>
  <w:style w:type="character" w:customStyle="1" w:styleId="normaltextrun">
    <w:name w:val="normaltextrun"/>
    <w:basedOn w:val="DefaultParagraphFont"/>
    <w:rsid w:val="00676882"/>
  </w:style>
  <w:style w:type="character" w:customStyle="1" w:styleId="eop">
    <w:name w:val="eop"/>
    <w:basedOn w:val="DefaultParagraphFont"/>
    <w:rsid w:val="00676882"/>
  </w:style>
  <w:style w:type="paragraph" w:customStyle="1" w:styleId="msonormal0">
    <w:name w:val="msonormal"/>
    <w:basedOn w:val="Normal"/>
    <w:uiPriority w:val="99"/>
    <w:rsid w:val="00676882"/>
    <w:pPr>
      <w:spacing w:before="0" w:after="240" w:line="240" w:lineRule="auto"/>
    </w:pPr>
    <w:rPr>
      <w:rFonts w:asciiTheme="minorHAnsi" w:eastAsiaTheme="minorEastAsia" w:hAnsiTheme="minorHAnsi" w:cstheme="minorBidi"/>
      <w:sz w:val="24"/>
      <w:szCs w:val="24"/>
      <w:lang w:eastAsia="ja-JP"/>
    </w:rPr>
  </w:style>
  <w:style w:type="paragraph" w:styleId="Revision">
    <w:name w:val="Revision"/>
    <w:uiPriority w:val="99"/>
    <w:semiHidden/>
    <w:rsid w:val="00676882"/>
    <w:pPr>
      <w:spacing w:after="0" w:line="240" w:lineRule="auto"/>
    </w:pPr>
    <w:rPr>
      <w:rFonts w:eastAsiaTheme="minorEastAsia"/>
      <w:sz w:val="24"/>
      <w:szCs w:val="24"/>
      <w:lang w:eastAsia="ja-JP"/>
    </w:rPr>
  </w:style>
  <w:style w:type="paragraph" w:customStyle="1" w:styleId="AddressBlock">
    <w:name w:val="Address Block"/>
    <w:basedOn w:val="Normal"/>
    <w:uiPriority w:val="4"/>
    <w:rsid w:val="00676882"/>
    <w:pPr>
      <w:spacing w:before="0" w:after="0" w:line="200" w:lineRule="atLeast"/>
    </w:pPr>
    <w:rPr>
      <w:rFonts w:asciiTheme="majorHAnsi" w:eastAsiaTheme="majorEastAsia" w:hAnsiTheme="majorHAnsi" w:cstheme="majorBidi"/>
      <w:sz w:val="16"/>
      <w:szCs w:val="16"/>
      <w:lang w:eastAsia="ja-JP"/>
    </w:rPr>
  </w:style>
  <w:style w:type="paragraph" w:customStyle="1" w:styleId="ClientNameCrossRef">
    <w:name w:val="Client Name Cross Ref"/>
    <w:basedOn w:val="Normal"/>
    <w:uiPriority w:val="4"/>
    <w:rsid w:val="00676882"/>
    <w:pPr>
      <w:spacing w:before="0" w:after="180" w:line="200" w:lineRule="atLeast"/>
    </w:pPr>
    <w:rPr>
      <w:rFonts w:asciiTheme="majorHAnsi" w:eastAsiaTheme="minorEastAsia" w:hAnsiTheme="majorHAnsi" w:cstheme="majorBidi"/>
      <w:sz w:val="16"/>
      <w:szCs w:val="16"/>
      <w:lang w:eastAsia="ja-JP"/>
    </w:rPr>
  </w:style>
  <w:style w:type="paragraph" w:customStyle="1" w:styleId="HeadingU">
    <w:name w:val="Heading U"/>
    <w:basedOn w:val="Heading1"/>
    <w:next w:val="BodyText"/>
    <w:qFormat/>
    <w:rsid w:val="00676882"/>
    <w:pPr>
      <w:numPr>
        <w:numId w:val="0"/>
      </w:numPr>
      <w:spacing w:after="240" w:line="240" w:lineRule="auto"/>
    </w:pPr>
    <w:rPr>
      <w:rFonts w:asciiTheme="majorHAnsi" w:hAnsiTheme="majorHAnsi" w:cstheme="majorBidi"/>
      <w:b/>
      <w:color w:val="auto"/>
      <w:sz w:val="28"/>
      <w:szCs w:val="28"/>
      <w:lang w:eastAsia="ja-JP"/>
    </w:rPr>
  </w:style>
  <w:style w:type="paragraph" w:customStyle="1" w:styleId="DraftMarkings">
    <w:name w:val="Draft Markings"/>
    <w:basedOn w:val="ClientNameCrossRef"/>
    <w:rsid w:val="00676882"/>
    <w:pPr>
      <w:spacing w:after="0" w:line="240" w:lineRule="auto"/>
      <w:jc w:val="right"/>
    </w:pPr>
    <w:rPr>
      <w:rFonts w:eastAsiaTheme="majorEastAsia"/>
      <w:b/>
      <w:sz w:val="20"/>
      <w:szCs w:val="20"/>
    </w:rPr>
  </w:style>
  <w:style w:type="paragraph" w:customStyle="1" w:styleId="HeadingU2">
    <w:name w:val="Heading U2"/>
    <w:basedOn w:val="Heading2"/>
    <w:next w:val="BodyText"/>
    <w:qFormat/>
    <w:rsid w:val="00676882"/>
    <w:pPr>
      <w:numPr>
        <w:ilvl w:val="0"/>
        <w:numId w:val="0"/>
      </w:numPr>
      <w:pBdr>
        <w:bottom w:val="none" w:sz="0" w:space="0" w:color="auto"/>
        <w:between w:val="none" w:sz="0" w:space="0" w:color="auto"/>
      </w:pBdr>
      <w:spacing w:before="0" w:after="240" w:line="240" w:lineRule="auto"/>
    </w:pPr>
    <w:rPr>
      <w:rFonts w:asciiTheme="majorHAnsi" w:hAnsiTheme="majorHAnsi" w:cstheme="majorBidi"/>
      <w:bCs/>
      <w:color w:val="auto"/>
      <w:sz w:val="26"/>
      <w:lang w:eastAsia="ja-JP"/>
    </w:rPr>
  </w:style>
  <w:style w:type="paragraph" w:customStyle="1" w:styleId="Exhibit">
    <w:name w:val="Exhibit"/>
    <w:basedOn w:val="Normal"/>
    <w:next w:val="Normal"/>
    <w:qFormat/>
    <w:rsid w:val="00676882"/>
    <w:pPr>
      <w:keepLines/>
      <w:numPr>
        <w:numId w:val="48"/>
      </w:numPr>
      <w:spacing w:before="0" w:after="260" w:line="240" w:lineRule="auto"/>
    </w:pPr>
    <w:rPr>
      <w:rFonts w:asciiTheme="minorHAnsi" w:eastAsiaTheme="minorEastAsia" w:hAnsiTheme="minorHAnsi" w:cstheme="minorBidi"/>
      <w:i/>
      <w:sz w:val="24"/>
      <w:szCs w:val="24"/>
      <w:lang w:eastAsia="ja-JP"/>
    </w:rPr>
  </w:style>
  <w:style w:type="paragraph" w:customStyle="1" w:styleId="ClientName">
    <w:name w:val="Client Name"/>
    <w:basedOn w:val="Normal"/>
    <w:uiPriority w:val="4"/>
    <w:rsid w:val="00676882"/>
    <w:pPr>
      <w:spacing w:before="0" w:after="240" w:line="520" w:lineRule="atLeast"/>
    </w:pPr>
    <w:rPr>
      <w:rFonts w:asciiTheme="majorHAnsi" w:eastAsiaTheme="majorEastAsia" w:hAnsiTheme="majorHAnsi" w:cstheme="majorBidi"/>
      <w:sz w:val="44"/>
      <w:szCs w:val="44"/>
      <w:lang w:eastAsia="ja-JP"/>
    </w:rPr>
  </w:style>
  <w:style w:type="paragraph" w:customStyle="1" w:styleId="Filestamp">
    <w:name w:val="Filestamp"/>
    <w:basedOn w:val="Normal"/>
    <w:uiPriority w:val="4"/>
    <w:rsid w:val="00676882"/>
    <w:pPr>
      <w:spacing w:before="460" w:after="240" w:line="240" w:lineRule="atLeast"/>
    </w:pPr>
    <w:rPr>
      <w:rFonts w:asciiTheme="minorHAnsi" w:eastAsiaTheme="minorEastAsia" w:hAnsiTheme="minorHAnsi" w:cstheme="minorBidi"/>
      <w:sz w:val="10"/>
      <w:szCs w:val="10"/>
      <w:lang w:eastAsia="ja-JP"/>
    </w:rPr>
  </w:style>
  <w:style w:type="paragraph" w:customStyle="1" w:styleId="LetterDate0">
    <w:name w:val="Letter Date"/>
    <w:basedOn w:val="Normal"/>
    <w:next w:val="Normal"/>
    <w:uiPriority w:val="4"/>
    <w:rsid w:val="00676882"/>
    <w:pPr>
      <w:spacing w:before="0" w:after="240" w:line="360" w:lineRule="atLeast"/>
    </w:pPr>
    <w:rPr>
      <w:rFonts w:asciiTheme="minorHAnsi" w:eastAsiaTheme="minorEastAsia" w:hAnsiTheme="minorHAnsi" w:cstheme="minorBidi"/>
      <w:sz w:val="28"/>
      <w:szCs w:val="28"/>
      <w:lang w:eastAsia="ja-JP"/>
    </w:rPr>
  </w:style>
  <w:style w:type="paragraph" w:customStyle="1" w:styleId="ReportCrossRef">
    <w:name w:val="Report Cross Ref"/>
    <w:basedOn w:val="Normal"/>
    <w:uiPriority w:val="4"/>
    <w:rsid w:val="00676882"/>
    <w:pPr>
      <w:spacing w:before="0" w:after="240" w:line="200" w:lineRule="atLeast"/>
    </w:pPr>
    <w:rPr>
      <w:rFonts w:asciiTheme="majorHAnsi" w:eastAsiaTheme="majorEastAsia" w:hAnsiTheme="majorHAnsi" w:cstheme="majorBidi"/>
      <w:sz w:val="24"/>
      <w:szCs w:val="24"/>
      <w:lang w:eastAsia="ja-JP"/>
    </w:rPr>
  </w:style>
  <w:style w:type="paragraph" w:customStyle="1" w:styleId="ReportTitle">
    <w:name w:val="Report Title"/>
    <w:basedOn w:val="Normal"/>
    <w:next w:val="LetterDate0"/>
    <w:uiPriority w:val="4"/>
    <w:rsid w:val="00676882"/>
    <w:pPr>
      <w:spacing w:before="300" w:after="240" w:line="520" w:lineRule="atLeast"/>
    </w:pPr>
    <w:rPr>
      <w:rFonts w:asciiTheme="majorHAnsi" w:eastAsiaTheme="majorEastAsia" w:hAnsiTheme="majorHAnsi" w:cstheme="majorBidi"/>
      <w:b/>
      <w:sz w:val="44"/>
      <w:szCs w:val="44"/>
      <w:lang w:eastAsia="ja-JP"/>
    </w:rPr>
  </w:style>
  <w:style w:type="paragraph" w:customStyle="1" w:styleId="TextBox">
    <w:name w:val="TextBox"/>
    <w:basedOn w:val="Normal"/>
    <w:next w:val="Normal"/>
    <w:qFormat/>
    <w:rsid w:val="00676882"/>
    <w:pPr>
      <w:pBdr>
        <w:top w:val="single" w:sz="6" w:space="12" w:color="auto"/>
        <w:left w:val="single" w:sz="6" w:space="12" w:color="auto"/>
        <w:bottom w:val="single" w:sz="6" w:space="12" w:color="auto"/>
        <w:right w:val="single" w:sz="6" w:space="12" w:color="auto"/>
      </w:pBdr>
      <w:spacing w:before="0" w:after="300" w:line="240" w:lineRule="auto"/>
      <w:ind w:left="288" w:right="302"/>
    </w:pPr>
    <w:rPr>
      <w:rFonts w:asciiTheme="minorHAnsi" w:eastAsiaTheme="minorEastAsia" w:hAnsiTheme="minorHAnsi" w:cstheme="minorBidi"/>
      <w:sz w:val="24"/>
      <w:szCs w:val="24"/>
      <w:lang w:eastAsia="ja-JP"/>
    </w:rPr>
  </w:style>
  <w:style w:type="paragraph" w:customStyle="1" w:styleId="TextBoxBullet">
    <w:name w:val="TextBoxBullet"/>
    <w:basedOn w:val="ListBullet"/>
    <w:qFormat/>
    <w:rsid w:val="00676882"/>
    <w:pPr>
      <w:numPr>
        <w:numId w:val="0"/>
      </w:numPr>
      <w:pBdr>
        <w:top w:val="single" w:sz="4" w:space="12" w:color="auto"/>
        <w:left w:val="single" w:sz="4" w:space="12" w:color="auto"/>
        <w:bottom w:val="single" w:sz="4" w:space="12" w:color="auto"/>
        <w:right w:val="single" w:sz="4" w:space="12" w:color="auto"/>
      </w:pBdr>
      <w:spacing w:before="0" w:after="120" w:line="260" w:lineRule="atLeast"/>
      <w:ind w:right="301"/>
      <w:outlineLvl w:val="4"/>
    </w:pPr>
    <w:rPr>
      <w:rFonts w:asciiTheme="minorHAnsi" w:eastAsiaTheme="minorEastAsia" w:hAnsiTheme="minorHAnsi" w:cstheme="minorHAnsi"/>
      <w:sz w:val="24"/>
      <w:szCs w:val="20"/>
      <w:lang w:eastAsia="ja-JP"/>
    </w:rPr>
  </w:style>
  <w:style w:type="paragraph" w:customStyle="1" w:styleId="DocNum">
    <w:name w:val="DocNum"/>
    <w:basedOn w:val="Normal"/>
    <w:uiPriority w:val="4"/>
    <w:rsid w:val="00676882"/>
    <w:pPr>
      <w:spacing w:before="0" w:after="0" w:line="240" w:lineRule="auto"/>
    </w:pPr>
    <w:rPr>
      <w:rFonts w:asciiTheme="majorHAnsi" w:eastAsiaTheme="majorEastAsia" w:hAnsiTheme="majorHAnsi" w:cstheme="majorBidi"/>
      <w:sz w:val="14"/>
      <w:szCs w:val="14"/>
      <w:lang w:eastAsia="ja-JP"/>
    </w:rPr>
  </w:style>
  <w:style w:type="paragraph" w:customStyle="1" w:styleId="Table">
    <w:name w:val="Table"/>
    <w:basedOn w:val="Normal"/>
    <w:uiPriority w:val="4"/>
    <w:qFormat/>
    <w:rsid w:val="00676882"/>
    <w:pPr>
      <w:keepNext/>
      <w:spacing w:before="0" w:after="0" w:line="240" w:lineRule="auto"/>
      <w:jc w:val="both"/>
    </w:pPr>
    <w:rPr>
      <w:rFonts w:asciiTheme="majorHAnsi" w:eastAsiaTheme="majorEastAsia" w:hAnsiTheme="majorHAnsi" w:cstheme="majorBidi"/>
      <w:sz w:val="24"/>
      <w:szCs w:val="24"/>
      <w:lang w:eastAsia="ja-JP"/>
    </w:rPr>
  </w:style>
  <w:style w:type="paragraph" w:customStyle="1" w:styleId="TableLogoText">
    <w:name w:val="Table Logo Text"/>
    <w:basedOn w:val="Normal"/>
    <w:rsid w:val="00676882"/>
    <w:pPr>
      <w:spacing w:before="0" w:after="240" w:line="240" w:lineRule="auto"/>
    </w:pPr>
    <w:rPr>
      <w:rFonts w:asciiTheme="majorHAnsi" w:eastAsiaTheme="majorEastAsia" w:hAnsiTheme="majorHAnsi" w:cstheme="majorBidi"/>
      <w:sz w:val="24"/>
      <w:szCs w:val="24"/>
      <w:lang w:eastAsia="ja-JP"/>
    </w:rPr>
  </w:style>
  <w:style w:type="character" w:customStyle="1" w:styleId="AddresseeInfoChar">
    <w:name w:val="Addressee Info Char"/>
    <w:basedOn w:val="DefaultParagraphFont"/>
    <w:link w:val="AddresseeInfo"/>
    <w:uiPriority w:val="4"/>
    <w:locked/>
    <w:rsid w:val="00676882"/>
    <w:rPr>
      <w:rFonts w:asciiTheme="majorHAnsi" w:eastAsia="MS PGothic" w:hAnsiTheme="majorHAnsi" w:cstheme="majorHAnsi"/>
      <w:b/>
      <w:bCs/>
      <w:caps/>
      <w:sz w:val="14"/>
      <w:szCs w:val="14"/>
      <w:lang w:eastAsia="ja-JP"/>
    </w:rPr>
  </w:style>
  <w:style w:type="paragraph" w:customStyle="1" w:styleId="AddresseeInfo">
    <w:name w:val="Addressee Info"/>
    <w:basedOn w:val="Normal"/>
    <w:link w:val="AddresseeInfoChar"/>
    <w:uiPriority w:val="4"/>
    <w:rsid w:val="00676882"/>
    <w:pPr>
      <w:spacing w:before="0" w:after="0"/>
    </w:pPr>
    <w:rPr>
      <w:rFonts w:asciiTheme="majorHAnsi" w:eastAsia="MS PGothic" w:hAnsiTheme="majorHAnsi" w:cstheme="majorHAnsi"/>
      <w:b/>
      <w:bCs/>
      <w:caps/>
      <w:sz w:val="14"/>
      <w:szCs w:val="14"/>
      <w:lang w:eastAsia="ja-JP"/>
    </w:rPr>
  </w:style>
  <w:style w:type="paragraph" w:customStyle="1" w:styleId="DocumentName">
    <w:name w:val="Document Name"/>
    <w:basedOn w:val="Normal"/>
    <w:next w:val="Normal"/>
    <w:uiPriority w:val="4"/>
    <w:rsid w:val="00676882"/>
    <w:pPr>
      <w:spacing w:before="0" w:after="240" w:line="240" w:lineRule="auto"/>
    </w:pPr>
    <w:rPr>
      <w:rFonts w:asciiTheme="majorHAnsi" w:eastAsia="MS PGothic" w:hAnsiTheme="majorHAnsi" w:cs="Arial Black"/>
      <w:caps/>
      <w:sz w:val="36"/>
      <w:szCs w:val="40"/>
      <w:lang w:eastAsia="ja-JP"/>
    </w:rPr>
  </w:style>
  <w:style w:type="character" w:customStyle="1" w:styleId="SubjectChar">
    <w:name w:val="Subject Char"/>
    <w:basedOn w:val="DefaultParagraphFont"/>
    <w:link w:val="Subject"/>
    <w:uiPriority w:val="4"/>
    <w:locked/>
    <w:rsid w:val="00676882"/>
    <w:rPr>
      <w:rFonts w:asciiTheme="majorHAnsi" w:eastAsiaTheme="majorEastAsia" w:hAnsiTheme="majorHAnsi" w:cstheme="majorBidi"/>
      <w:sz w:val="20"/>
      <w:szCs w:val="20"/>
      <w:lang w:eastAsia="ja-JP"/>
    </w:rPr>
  </w:style>
  <w:style w:type="paragraph" w:customStyle="1" w:styleId="Subject">
    <w:name w:val="Subject"/>
    <w:basedOn w:val="Normal"/>
    <w:link w:val="SubjectChar"/>
    <w:uiPriority w:val="4"/>
    <w:rsid w:val="00676882"/>
    <w:pPr>
      <w:spacing w:before="0" w:after="0"/>
    </w:pPr>
    <w:rPr>
      <w:rFonts w:asciiTheme="majorHAnsi" w:eastAsiaTheme="majorEastAsia" w:hAnsiTheme="majorHAnsi" w:cstheme="majorBidi"/>
      <w:sz w:val="20"/>
      <w:szCs w:val="20"/>
      <w:lang w:eastAsia="ja-JP"/>
    </w:rPr>
  </w:style>
  <w:style w:type="paragraph" w:customStyle="1" w:styleId="Logo">
    <w:name w:val="Logo"/>
    <w:basedOn w:val="Normal"/>
    <w:uiPriority w:val="4"/>
    <w:rsid w:val="00676882"/>
    <w:pPr>
      <w:spacing w:before="0" w:after="0" w:line="560" w:lineRule="exact"/>
      <w:jc w:val="center"/>
    </w:pPr>
    <w:rPr>
      <w:rFonts w:ascii="Arial" w:eastAsia="Times New Roman" w:hAnsi="Arial"/>
      <w:sz w:val="16"/>
      <w:szCs w:val="16"/>
      <w:lang w:eastAsia="ja-JP"/>
    </w:rPr>
  </w:style>
  <w:style w:type="paragraph" w:customStyle="1" w:styleId="EmployeeName">
    <w:name w:val="Employee Name"/>
    <w:basedOn w:val="Normal"/>
    <w:uiPriority w:val="4"/>
    <w:rsid w:val="00676882"/>
    <w:pPr>
      <w:spacing w:before="0" w:after="0" w:line="220" w:lineRule="atLeast"/>
      <w:ind w:left="6120"/>
    </w:pPr>
    <w:rPr>
      <w:rFonts w:asciiTheme="majorHAnsi" w:eastAsia="MS PGothic" w:hAnsiTheme="majorHAnsi" w:cstheme="majorBidi"/>
      <w:b/>
      <w:bCs/>
      <w:sz w:val="17"/>
      <w:szCs w:val="17"/>
      <w:lang w:eastAsia="ja-JP"/>
    </w:rPr>
  </w:style>
  <w:style w:type="paragraph" w:customStyle="1" w:styleId="HeadingA">
    <w:name w:val="Heading A"/>
    <w:basedOn w:val="Heading1"/>
    <w:next w:val="Normal"/>
    <w:qFormat/>
    <w:rsid w:val="00676882"/>
    <w:pPr>
      <w:numPr>
        <w:numId w:val="0"/>
      </w:numPr>
      <w:tabs>
        <w:tab w:val="left" w:pos="-720"/>
        <w:tab w:val="left" w:pos="720"/>
        <w:tab w:val="left" w:pos="1440"/>
      </w:tabs>
      <w:spacing w:after="240" w:line="240" w:lineRule="auto"/>
      <w:outlineLvl w:val="9"/>
    </w:pPr>
    <w:rPr>
      <w:rFonts w:asciiTheme="majorHAnsi" w:hAnsiTheme="majorHAnsi" w:cstheme="majorBidi"/>
      <w:b/>
      <w:bCs/>
      <w:color w:val="auto"/>
      <w:sz w:val="28"/>
      <w:szCs w:val="28"/>
      <w:lang w:eastAsia="ja-JP"/>
    </w:rPr>
  </w:style>
  <w:style w:type="paragraph" w:customStyle="1" w:styleId="HeadingNumber1">
    <w:name w:val="Heading Number 1"/>
    <w:basedOn w:val="Normal"/>
    <w:next w:val="Normal"/>
    <w:uiPriority w:val="4"/>
    <w:rsid w:val="00676882"/>
    <w:pPr>
      <w:keepNext/>
      <w:numPr>
        <w:ilvl w:val="4"/>
        <w:numId w:val="49"/>
      </w:numPr>
      <w:spacing w:before="60" w:after="60" w:line="240" w:lineRule="auto"/>
      <w:outlineLvl w:val="4"/>
    </w:pPr>
    <w:rPr>
      <w:rFonts w:asciiTheme="majorHAnsi" w:eastAsiaTheme="minorEastAsia" w:hAnsiTheme="majorHAnsi" w:cs="Arial Black"/>
      <w:b/>
      <w:sz w:val="24"/>
      <w:szCs w:val="24"/>
      <w:lang w:eastAsia="ja-JP"/>
    </w:rPr>
  </w:style>
  <w:style w:type="paragraph" w:customStyle="1" w:styleId="HeadingNumber2">
    <w:name w:val="Heading Number 2"/>
    <w:basedOn w:val="Normal"/>
    <w:next w:val="Normal"/>
    <w:uiPriority w:val="4"/>
    <w:rsid w:val="00676882"/>
    <w:pPr>
      <w:keepNext/>
      <w:numPr>
        <w:ilvl w:val="5"/>
        <w:numId w:val="49"/>
      </w:numPr>
      <w:spacing w:before="60" w:after="60" w:line="240" w:lineRule="auto"/>
      <w:outlineLvl w:val="5"/>
    </w:pPr>
    <w:rPr>
      <w:rFonts w:asciiTheme="majorHAnsi" w:eastAsiaTheme="minorEastAsia" w:hAnsiTheme="majorHAnsi"/>
      <w:sz w:val="24"/>
      <w:szCs w:val="24"/>
      <w:lang w:eastAsia="ja-JP"/>
    </w:rPr>
  </w:style>
  <w:style w:type="paragraph" w:customStyle="1" w:styleId="HeadingNumber3">
    <w:name w:val="Heading Number 3"/>
    <w:basedOn w:val="Normal"/>
    <w:next w:val="Normal"/>
    <w:uiPriority w:val="4"/>
    <w:rsid w:val="00676882"/>
    <w:pPr>
      <w:keepNext/>
      <w:numPr>
        <w:ilvl w:val="6"/>
        <w:numId w:val="49"/>
      </w:numPr>
      <w:spacing w:before="60" w:after="60" w:line="240" w:lineRule="auto"/>
      <w:outlineLvl w:val="6"/>
    </w:pPr>
    <w:rPr>
      <w:rFonts w:asciiTheme="majorHAnsi" w:eastAsiaTheme="minorEastAsia" w:hAnsiTheme="majorHAnsi" w:cs="Arial Black"/>
      <w:b/>
      <w:sz w:val="20"/>
      <w:szCs w:val="24"/>
      <w:lang w:eastAsia="ja-JP"/>
    </w:rPr>
  </w:style>
  <w:style w:type="paragraph" w:customStyle="1" w:styleId="HeadingNumber4">
    <w:name w:val="Heading Number 4"/>
    <w:basedOn w:val="Normal"/>
    <w:next w:val="Normal"/>
    <w:uiPriority w:val="4"/>
    <w:rsid w:val="00676882"/>
    <w:pPr>
      <w:keepNext/>
      <w:numPr>
        <w:ilvl w:val="7"/>
        <w:numId w:val="49"/>
      </w:numPr>
      <w:spacing w:before="60" w:after="60" w:line="240" w:lineRule="auto"/>
      <w:outlineLvl w:val="7"/>
    </w:pPr>
    <w:rPr>
      <w:rFonts w:asciiTheme="majorHAnsi" w:eastAsiaTheme="minorEastAsia" w:hAnsiTheme="majorHAnsi"/>
      <w:sz w:val="20"/>
      <w:szCs w:val="24"/>
      <w:lang w:eastAsia="ja-JP"/>
    </w:rPr>
  </w:style>
  <w:style w:type="paragraph" w:customStyle="1" w:styleId="HeadingU3">
    <w:name w:val="Heading U3"/>
    <w:basedOn w:val="Heading3"/>
    <w:next w:val="BodyText"/>
    <w:qFormat/>
    <w:rsid w:val="00676882"/>
    <w:pPr>
      <w:numPr>
        <w:ilvl w:val="0"/>
        <w:numId w:val="0"/>
      </w:numPr>
      <w:pBdr>
        <w:bottom w:val="none" w:sz="0" w:space="0" w:color="auto"/>
        <w:between w:val="none" w:sz="0" w:space="0" w:color="auto"/>
      </w:pBdr>
      <w:spacing w:before="0" w:after="240" w:line="240" w:lineRule="auto"/>
    </w:pPr>
    <w:rPr>
      <w:rFonts w:asciiTheme="majorHAnsi" w:hAnsiTheme="majorHAnsi" w:cstheme="majorBidi"/>
      <w:bCs/>
      <w:color w:val="auto"/>
      <w:sz w:val="24"/>
      <w:lang w:eastAsia="ja-JP"/>
    </w:rPr>
  </w:style>
  <w:style w:type="paragraph" w:customStyle="1" w:styleId="HeadingU4">
    <w:name w:val="Heading U4"/>
    <w:basedOn w:val="Heading4"/>
    <w:next w:val="BodyText"/>
    <w:qFormat/>
    <w:rsid w:val="00676882"/>
    <w:pPr>
      <w:numPr>
        <w:ilvl w:val="0"/>
        <w:numId w:val="0"/>
      </w:numPr>
      <w:spacing w:before="0" w:after="240" w:line="240" w:lineRule="auto"/>
    </w:pPr>
    <w:rPr>
      <w:rFonts w:asciiTheme="majorHAnsi" w:hAnsiTheme="majorHAnsi" w:cstheme="majorBidi"/>
      <w:b w:val="0"/>
      <w:iCs w:val="0"/>
      <w:color w:val="auto"/>
      <w:sz w:val="24"/>
      <w:szCs w:val="24"/>
      <w:lang w:eastAsia="ja-JP"/>
    </w:rPr>
  </w:style>
  <w:style w:type="paragraph" w:customStyle="1" w:styleId="HeadingU5">
    <w:name w:val="Heading U5"/>
    <w:basedOn w:val="Heading5"/>
    <w:next w:val="BodyText"/>
    <w:qFormat/>
    <w:rsid w:val="00676882"/>
    <w:pPr>
      <w:numPr>
        <w:ilvl w:val="0"/>
        <w:numId w:val="0"/>
      </w:numPr>
      <w:spacing w:before="0" w:after="240" w:line="240" w:lineRule="auto"/>
    </w:pPr>
    <w:rPr>
      <w:rFonts w:asciiTheme="majorHAnsi" w:hAnsiTheme="majorHAnsi" w:cstheme="majorBidi"/>
      <w:b w:val="0"/>
      <w:iCs/>
      <w:color w:val="auto"/>
      <w:sz w:val="24"/>
      <w:szCs w:val="24"/>
      <w:lang w:eastAsia="ja-JP"/>
    </w:rPr>
  </w:style>
  <w:style w:type="paragraph" w:customStyle="1" w:styleId="HeadingU6">
    <w:name w:val="Heading U6"/>
    <w:basedOn w:val="Heading6"/>
    <w:next w:val="BodyText"/>
    <w:rsid w:val="00676882"/>
    <w:pPr>
      <w:numPr>
        <w:ilvl w:val="0"/>
        <w:numId w:val="0"/>
      </w:numPr>
      <w:spacing w:before="200" w:after="0" w:line="240" w:lineRule="auto"/>
    </w:pPr>
    <w:rPr>
      <w:rFonts w:asciiTheme="majorHAnsi" w:hAnsiTheme="majorHAnsi" w:cstheme="majorBidi"/>
      <w:b w:val="0"/>
      <w:i w:val="0"/>
      <w:iCs/>
      <w:color w:val="auto"/>
      <w:sz w:val="24"/>
      <w:szCs w:val="24"/>
      <w:lang w:eastAsia="ja-JP"/>
    </w:rPr>
  </w:style>
  <w:style w:type="paragraph" w:customStyle="1" w:styleId="HeadingU7">
    <w:name w:val="Heading U7"/>
    <w:basedOn w:val="Heading7"/>
    <w:next w:val="BodyText"/>
    <w:rsid w:val="00676882"/>
    <w:pPr>
      <w:spacing w:before="200" w:after="0" w:line="240" w:lineRule="auto"/>
    </w:pPr>
    <w:rPr>
      <w:rFonts w:asciiTheme="majorHAnsi" w:hAnsiTheme="majorHAnsi" w:cstheme="majorBidi"/>
      <w:color w:val="auto"/>
      <w:sz w:val="24"/>
      <w:szCs w:val="24"/>
      <w:lang w:eastAsia="ja-JP"/>
    </w:rPr>
  </w:style>
  <w:style w:type="paragraph" w:customStyle="1" w:styleId="HeadingU8">
    <w:name w:val="Heading U8"/>
    <w:basedOn w:val="Heading8"/>
    <w:next w:val="BodyText"/>
    <w:rsid w:val="00676882"/>
    <w:pPr>
      <w:pBdr>
        <w:bottom w:val="none" w:sz="0" w:space="0" w:color="auto"/>
        <w:between w:val="none" w:sz="0" w:space="0" w:color="auto"/>
      </w:pBdr>
      <w:spacing w:before="200" w:after="0" w:line="240" w:lineRule="auto"/>
    </w:pPr>
    <w:rPr>
      <w:rFonts w:asciiTheme="majorHAnsi" w:hAnsiTheme="majorHAnsi" w:cstheme="majorBidi"/>
      <w:b w:val="0"/>
      <w:color w:val="auto"/>
      <w:sz w:val="20"/>
      <w:szCs w:val="24"/>
      <w:lang w:eastAsia="ja-JP"/>
    </w:rPr>
  </w:style>
  <w:style w:type="paragraph" w:customStyle="1" w:styleId="HeadingU9">
    <w:name w:val="Heading U9"/>
    <w:basedOn w:val="Heading9"/>
    <w:next w:val="BodyText"/>
    <w:rsid w:val="00676882"/>
    <w:pPr>
      <w:numPr>
        <w:numId w:val="0"/>
      </w:numPr>
      <w:pBdr>
        <w:between w:val="none" w:sz="0" w:space="0" w:color="auto"/>
      </w:pBdr>
      <w:spacing w:before="200"/>
    </w:pPr>
    <w:rPr>
      <w:rFonts w:asciiTheme="majorHAnsi" w:hAnsiTheme="majorHAnsi" w:cstheme="majorBidi"/>
      <w:b w:val="0"/>
      <w:color w:val="auto"/>
      <w:sz w:val="20"/>
      <w:szCs w:val="24"/>
      <w:lang w:eastAsia="ja-JP"/>
    </w:rPr>
  </w:style>
  <w:style w:type="paragraph" w:customStyle="1" w:styleId="Legalcopy">
    <w:name w:val="Legal copy"/>
    <w:basedOn w:val="Normal"/>
    <w:uiPriority w:val="4"/>
    <w:rsid w:val="00676882"/>
    <w:pPr>
      <w:framePr w:hSpace="187" w:vSpace="187" w:wrap="around" w:hAnchor="text" w:yAlign="bottom"/>
      <w:spacing w:before="0" w:after="90" w:line="130" w:lineRule="atLeast"/>
    </w:pPr>
    <w:rPr>
      <w:rFonts w:asciiTheme="majorHAnsi" w:eastAsia="MS PGothic" w:hAnsiTheme="majorHAnsi"/>
      <w:sz w:val="11"/>
      <w:szCs w:val="11"/>
      <w:lang w:eastAsia="ja-JP"/>
    </w:rPr>
  </w:style>
  <w:style w:type="paragraph" w:customStyle="1" w:styleId="LogoHide">
    <w:name w:val="Logo Hide"/>
    <w:basedOn w:val="Normal"/>
    <w:uiPriority w:val="4"/>
    <w:rsid w:val="00676882"/>
    <w:pPr>
      <w:spacing w:before="0" w:after="240" w:line="20" w:lineRule="exact"/>
    </w:pPr>
    <w:rPr>
      <w:rFonts w:asciiTheme="minorHAnsi" w:eastAsiaTheme="minorEastAsia" w:hAnsiTheme="minorHAnsi" w:cstheme="minorBidi"/>
      <w:sz w:val="2"/>
      <w:szCs w:val="2"/>
      <w:lang w:eastAsia="ja-JP"/>
    </w:rPr>
  </w:style>
  <w:style w:type="paragraph" w:customStyle="1" w:styleId="NormalIndent1">
    <w:name w:val="Normal Indent 1"/>
    <w:basedOn w:val="Normal"/>
    <w:uiPriority w:val="4"/>
    <w:rsid w:val="00676882"/>
    <w:pPr>
      <w:spacing w:before="0" w:after="240" w:line="240" w:lineRule="auto"/>
      <w:ind w:left="360"/>
    </w:pPr>
    <w:rPr>
      <w:rFonts w:asciiTheme="minorHAnsi" w:eastAsiaTheme="minorEastAsia" w:hAnsiTheme="minorHAnsi" w:cstheme="minorBidi"/>
      <w:sz w:val="24"/>
      <w:szCs w:val="24"/>
      <w:lang w:eastAsia="ja-JP"/>
    </w:rPr>
  </w:style>
  <w:style w:type="paragraph" w:customStyle="1" w:styleId="NormalIndent2">
    <w:name w:val="Normal Indent 2"/>
    <w:basedOn w:val="Normal"/>
    <w:uiPriority w:val="4"/>
    <w:rsid w:val="00676882"/>
    <w:pPr>
      <w:spacing w:before="0" w:after="240" w:line="240" w:lineRule="auto"/>
      <w:ind w:left="720"/>
    </w:pPr>
    <w:rPr>
      <w:rFonts w:asciiTheme="minorHAnsi" w:eastAsiaTheme="minorEastAsia" w:hAnsiTheme="minorHAnsi" w:cstheme="minorBidi"/>
      <w:sz w:val="24"/>
      <w:szCs w:val="24"/>
      <w:lang w:eastAsia="ja-JP"/>
    </w:rPr>
  </w:style>
  <w:style w:type="paragraph" w:customStyle="1" w:styleId="NormalIndent3">
    <w:name w:val="Normal Indent 3"/>
    <w:basedOn w:val="Normal"/>
    <w:uiPriority w:val="4"/>
    <w:rsid w:val="00676882"/>
    <w:pPr>
      <w:spacing w:before="0" w:after="240" w:line="240" w:lineRule="auto"/>
      <w:ind w:left="1080"/>
    </w:pPr>
    <w:rPr>
      <w:rFonts w:asciiTheme="minorHAnsi" w:eastAsiaTheme="minorEastAsia" w:hAnsiTheme="minorHAnsi" w:cstheme="minorBidi"/>
      <w:sz w:val="24"/>
      <w:szCs w:val="24"/>
      <w:lang w:eastAsia="ja-JP"/>
    </w:rPr>
  </w:style>
  <w:style w:type="paragraph" w:customStyle="1" w:styleId="NormalIndent4">
    <w:name w:val="Normal Indent 4"/>
    <w:basedOn w:val="Normal"/>
    <w:uiPriority w:val="4"/>
    <w:rsid w:val="00676882"/>
    <w:pPr>
      <w:spacing w:before="0" w:after="240" w:line="240" w:lineRule="auto"/>
      <w:ind w:left="1440"/>
    </w:pPr>
    <w:rPr>
      <w:rFonts w:asciiTheme="minorHAnsi" w:eastAsiaTheme="minorEastAsia" w:hAnsiTheme="minorHAnsi" w:cstheme="minorBidi"/>
      <w:sz w:val="24"/>
      <w:szCs w:val="24"/>
      <w:lang w:eastAsia="ja-JP"/>
    </w:rPr>
  </w:style>
  <w:style w:type="paragraph" w:customStyle="1" w:styleId="Page2Heading">
    <w:name w:val="Page 2 Heading"/>
    <w:basedOn w:val="AddresseeInfo"/>
    <w:uiPriority w:val="4"/>
    <w:rsid w:val="00676882"/>
    <w:pPr>
      <w:tabs>
        <w:tab w:val="right" w:pos="9360"/>
      </w:tabs>
      <w:spacing w:line="240" w:lineRule="auto"/>
    </w:pPr>
    <w:rPr>
      <w:rFonts w:eastAsiaTheme="majorEastAsia"/>
      <w:b w:val="0"/>
      <w:bCs w:val="0"/>
      <w:caps w:val="0"/>
      <w:sz w:val="18"/>
      <w:szCs w:val="18"/>
    </w:rPr>
  </w:style>
  <w:style w:type="paragraph" w:customStyle="1" w:styleId="TableBullet1">
    <w:name w:val="Table Bullet 1"/>
    <w:basedOn w:val="Normal"/>
    <w:uiPriority w:val="4"/>
    <w:qFormat/>
    <w:rsid w:val="00676882"/>
    <w:pPr>
      <w:numPr>
        <w:ilvl w:val="4"/>
        <w:numId w:val="50"/>
      </w:numPr>
      <w:spacing w:before="40" w:after="40" w:line="240" w:lineRule="auto"/>
      <w:outlineLvl w:val="4"/>
    </w:pPr>
    <w:rPr>
      <w:rFonts w:ascii="Arial" w:eastAsia="Times New Roman" w:hAnsi="Arial"/>
      <w:sz w:val="20"/>
      <w:szCs w:val="20"/>
      <w:lang w:eastAsia="ja-JP"/>
    </w:rPr>
  </w:style>
  <w:style w:type="paragraph" w:customStyle="1" w:styleId="TableBullet2">
    <w:name w:val="Table Bullet 2"/>
    <w:basedOn w:val="Normal"/>
    <w:uiPriority w:val="4"/>
    <w:qFormat/>
    <w:rsid w:val="00676882"/>
    <w:pPr>
      <w:numPr>
        <w:ilvl w:val="5"/>
        <w:numId w:val="50"/>
      </w:numPr>
      <w:spacing w:before="40" w:after="40" w:line="240" w:lineRule="auto"/>
      <w:outlineLvl w:val="5"/>
    </w:pPr>
    <w:rPr>
      <w:rFonts w:ascii="Arial" w:eastAsia="Times New Roman" w:hAnsi="Arial"/>
      <w:sz w:val="20"/>
      <w:szCs w:val="20"/>
      <w:lang w:eastAsia="ja-JP"/>
    </w:rPr>
  </w:style>
  <w:style w:type="paragraph" w:customStyle="1" w:styleId="TableBullet3">
    <w:name w:val="Table Bullet 3"/>
    <w:basedOn w:val="Normal"/>
    <w:uiPriority w:val="4"/>
    <w:qFormat/>
    <w:rsid w:val="00676882"/>
    <w:pPr>
      <w:numPr>
        <w:ilvl w:val="6"/>
        <w:numId w:val="50"/>
      </w:numPr>
      <w:spacing w:before="40" w:after="40" w:line="240" w:lineRule="auto"/>
      <w:outlineLvl w:val="6"/>
    </w:pPr>
    <w:rPr>
      <w:rFonts w:ascii="Arial" w:eastAsia="Times New Roman" w:hAnsi="Arial"/>
      <w:sz w:val="20"/>
      <w:szCs w:val="20"/>
      <w:lang w:eastAsia="ja-JP"/>
    </w:rPr>
  </w:style>
  <w:style w:type="paragraph" w:customStyle="1" w:styleId="TableBullet4">
    <w:name w:val="Table Bullet 4"/>
    <w:basedOn w:val="Normal"/>
    <w:uiPriority w:val="4"/>
    <w:qFormat/>
    <w:rsid w:val="00676882"/>
    <w:pPr>
      <w:numPr>
        <w:ilvl w:val="7"/>
        <w:numId w:val="50"/>
      </w:numPr>
      <w:spacing w:before="40" w:after="40" w:line="240" w:lineRule="auto"/>
      <w:outlineLvl w:val="7"/>
    </w:pPr>
    <w:rPr>
      <w:rFonts w:ascii="Arial" w:eastAsia="Times New Roman" w:hAnsi="Arial"/>
      <w:sz w:val="20"/>
      <w:szCs w:val="20"/>
      <w:lang w:eastAsia="ja-JP"/>
    </w:rPr>
  </w:style>
  <w:style w:type="paragraph" w:customStyle="1" w:styleId="TableHeadingText">
    <w:name w:val="Table Heading Text"/>
    <w:basedOn w:val="Normal"/>
    <w:qFormat/>
    <w:rsid w:val="00676882"/>
    <w:pPr>
      <w:keepNext/>
      <w:keepLines/>
      <w:spacing w:before="60" w:after="60" w:line="240" w:lineRule="auto"/>
    </w:pPr>
    <w:rPr>
      <w:rFonts w:asciiTheme="majorHAnsi" w:eastAsiaTheme="majorEastAsia" w:hAnsiTheme="majorHAnsi" w:cstheme="majorBidi"/>
      <w:b/>
      <w:bCs/>
      <w:sz w:val="18"/>
      <w:szCs w:val="18"/>
      <w:lang w:eastAsia="ja-JP"/>
    </w:rPr>
  </w:style>
  <w:style w:type="paragraph" w:customStyle="1" w:styleId="TableText0">
    <w:name w:val="Table Text"/>
    <w:basedOn w:val="Normal"/>
    <w:link w:val="TableTextChar0"/>
    <w:qFormat/>
    <w:rsid w:val="00676882"/>
    <w:pPr>
      <w:keepNext/>
      <w:keepLines/>
      <w:spacing w:before="40" w:after="40" w:line="240" w:lineRule="auto"/>
    </w:pPr>
    <w:rPr>
      <w:rFonts w:asciiTheme="majorHAnsi" w:eastAsiaTheme="majorEastAsia" w:hAnsiTheme="majorHAnsi" w:cstheme="majorBidi"/>
      <w:sz w:val="20"/>
      <w:szCs w:val="20"/>
      <w:lang w:eastAsia="ja-JP"/>
    </w:rPr>
  </w:style>
  <w:style w:type="paragraph" w:customStyle="1" w:styleId="QuoteIndented">
    <w:name w:val="Quote Indented"/>
    <w:basedOn w:val="Normal"/>
    <w:next w:val="BodyText"/>
    <w:qFormat/>
    <w:rsid w:val="00676882"/>
    <w:pPr>
      <w:spacing w:before="0" w:after="240" w:line="240" w:lineRule="auto"/>
      <w:ind w:left="360" w:right="360"/>
    </w:pPr>
    <w:rPr>
      <w:rFonts w:asciiTheme="minorHAnsi" w:eastAsiaTheme="minorEastAsia" w:hAnsiTheme="minorHAnsi" w:cstheme="minorBidi"/>
      <w:sz w:val="24"/>
      <w:szCs w:val="24"/>
      <w:lang w:eastAsia="ja-JP"/>
    </w:rPr>
  </w:style>
  <w:style w:type="paragraph" w:customStyle="1" w:styleId="HeadingUNoTOC">
    <w:name w:val="Heading U NoTOC"/>
    <w:basedOn w:val="Heading1"/>
    <w:next w:val="BodyText"/>
    <w:rsid w:val="00676882"/>
    <w:pPr>
      <w:keepLines w:val="0"/>
      <w:numPr>
        <w:numId w:val="0"/>
      </w:numPr>
      <w:spacing w:after="240" w:line="240" w:lineRule="auto"/>
    </w:pPr>
    <w:rPr>
      <w:rFonts w:asciiTheme="majorHAnsi" w:hAnsiTheme="majorHAnsi" w:cstheme="majorBidi"/>
      <w:color w:val="auto"/>
      <w:sz w:val="36"/>
      <w:szCs w:val="36"/>
      <w:lang w:val="en-US" w:eastAsia="ja-JP"/>
    </w:rPr>
  </w:style>
  <w:style w:type="paragraph" w:customStyle="1" w:styleId="CharCharCharCharCharCharCharCharCharCharCharCharCharCharCharCharCharCharCharCharCharCharCharChar">
    <w:name w:val="Char Char Char Char Char Char Char Char Char Char Char Char Char Char Char Char Char Char Char Char Char Char Char Char"/>
    <w:basedOn w:val="Normal"/>
    <w:rsid w:val="00676882"/>
    <w:pPr>
      <w:spacing w:before="0" w:after="160" w:line="240" w:lineRule="exact"/>
    </w:pPr>
    <w:rPr>
      <w:rFonts w:ascii="Tahoma" w:eastAsia="Times New Roman" w:hAnsi="Tahoma" w:cs="Tahoma"/>
      <w:sz w:val="20"/>
      <w:szCs w:val="20"/>
      <w:lang w:val="en-US"/>
    </w:rPr>
  </w:style>
  <w:style w:type="character" w:customStyle="1" w:styleId="TextHide">
    <w:name w:val="Text Hide"/>
    <w:basedOn w:val="DefaultParagraphFont"/>
    <w:uiPriority w:val="4"/>
    <w:rsid w:val="00676882"/>
    <w:rPr>
      <w:rFonts w:ascii="Times New Roman" w:hAnsi="Times New Roman" w:cstheme="minorBidi" w:hint="default"/>
      <w:bCs w:val="0"/>
      <w:iCs w:val="0"/>
      <w:noProof w:val="0"/>
      <w:szCs w:val="24"/>
      <w:lang w:val="en-GB" w:eastAsia="ja-JP"/>
    </w:rPr>
  </w:style>
  <w:style w:type="table" w:customStyle="1" w:styleId="OWGTable">
    <w:name w:val="OWG Table"/>
    <w:basedOn w:val="TableNormal"/>
    <w:uiPriority w:val="99"/>
    <w:rsid w:val="00676882"/>
    <w:pPr>
      <w:spacing w:after="0" w:line="240" w:lineRule="auto"/>
    </w:pPr>
    <w:rPr>
      <w:rFonts w:ascii="Times New Roman" w:eastAsia="MS Mincho" w:hAnsi="Times New Roman" w:cs="Times New Roman"/>
      <w:sz w:val="20"/>
      <w:szCs w:val="20"/>
      <w:lang w:val="en-US" w:eastAsia="zh-CN"/>
    </w:rPr>
    <w:tblPr>
      <w:tblInd w:w="0" w:type="nil"/>
    </w:tblPr>
    <w:tblStylePr w:type="firstRow">
      <w:pPr>
        <w:wordWrap/>
        <w:spacing w:afterLines="0" w:after="100" w:afterAutospacing="1"/>
      </w:pPr>
      <w:rPr>
        <w:b/>
      </w:rPr>
      <w:tblPr/>
      <w:tcPr>
        <w:tcBorders>
          <w:bottom w:val="single" w:sz="4" w:space="0" w:color="auto"/>
        </w:tcBorders>
      </w:tcPr>
    </w:tblStylePr>
    <w:tblStylePr w:type="lastRow">
      <w:tblPr/>
      <w:tcPr>
        <w:tcBorders>
          <w:bottom w:val="single" w:sz="4" w:space="0" w:color="auto"/>
        </w:tcBorders>
      </w:tcPr>
    </w:tblStylePr>
    <w:tblStylePr w:type="firstCol">
      <w:rPr>
        <w:b w:val="0"/>
      </w:rPr>
      <w:tblPr/>
      <w:tcPr>
        <w:tcBorders>
          <w:top w:val="nil"/>
          <w:left w:val="nil"/>
          <w:bottom w:val="nil"/>
          <w:right w:val="nil"/>
          <w:insideH w:val="nil"/>
          <w:insideV w:val="nil"/>
          <w:tl2br w:val="nil"/>
          <w:tr2bl w:val="nil"/>
        </w:tcBorders>
      </w:tcPr>
    </w:tblStylePr>
  </w:style>
  <w:style w:type="table" w:customStyle="1" w:styleId="NERATable">
    <w:name w:val="NERA Table"/>
    <w:basedOn w:val="TableNormal"/>
    <w:uiPriority w:val="99"/>
    <w:rsid w:val="00676882"/>
    <w:pPr>
      <w:spacing w:after="0" w:line="240" w:lineRule="auto"/>
    </w:pPr>
    <w:rPr>
      <w:rFonts w:ascii="Times New Roman" w:eastAsia="MS Mincho" w:hAnsi="Times New Roman" w:cs="Times New Roman"/>
      <w:sz w:val="20"/>
      <w:szCs w:val="20"/>
      <w:lang w:val="en-US" w:eastAsia="zh-CN"/>
    </w:rPr>
    <w:tblPr>
      <w:tblInd w:w="0" w:type="nil"/>
    </w:tblPr>
    <w:tblStylePr w:type="firstRow">
      <w:pPr>
        <w:wordWrap/>
        <w:spacing w:afterLines="0" w:after="100" w:afterAutospacing="1"/>
      </w:pPr>
      <w:rPr>
        <w:b/>
      </w:rPr>
      <w:tblPr/>
      <w:tcPr>
        <w:tcBorders>
          <w:bottom w:val="single" w:sz="4" w:space="0" w:color="auto"/>
        </w:tcBorders>
      </w:tcPr>
    </w:tblStylePr>
    <w:tblStylePr w:type="lastRow">
      <w:tblPr/>
      <w:tcPr>
        <w:tcBorders>
          <w:bottom w:val="single" w:sz="4" w:space="0" w:color="auto"/>
        </w:tcBorders>
      </w:tcPr>
    </w:tblStylePr>
    <w:tblStylePr w:type="firstCol">
      <w:rPr>
        <w:b w:val="0"/>
      </w:rPr>
      <w:tblPr/>
      <w:tcPr>
        <w:tcBorders>
          <w:top w:val="nil"/>
          <w:left w:val="nil"/>
          <w:bottom w:val="nil"/>
          <w:right w:val="nil"/>
          <w:insideH w:val="nil"/>
          <w:insideV w:val="nil"/>
          <w:tl2br w:val="nil"/>
          <w:tr2bl w:val="nil"/>
        </w:tcBorders>
      </w:tcPr>
    </w:tblStylePr>
  </w:style>
  <w:style w:type="table" w:customStyle="1" w:styleId="OWTable">
    <w:name w:val="OW Table"/>
    <w:basedOn w:val="TableNormal"/>
    <w:rsid w:val="00676882"/>
    <w:pPr>
      <w:spacing w:after="0" w:line="240" w:lineRule="auto"/>
    </w:pPr>
    <w:rPr>
      <w:rFonts w:eastAsiaTheme="minorEastAsia"/>
      <w:sz w:val="20"/>
      <w:szCs w:val="20"/>
      <w:lang w:val="en-US" w:eastAsia="zh-CN"/>
    </w:rPr>
    <w:tblPr>
      <w:tblStyleRowBandSize w:val="1"/>
      <w:tblInd w:w="0" w:type="nil"/>
    </w:tblPr>
    <w:tblStylePr w:type="firstRow">
      <w:rPr>
        <w:rFonts w:asciiTheme="minorHAnsi" w:eastAsiaTheme="minorEastAsia" w:hAnsiTheme="minorHAnsi" w:cstheme="majorBidi" w:hint="default"/>
        <w:b w:val="0"/>
        <w:sz w:val="18"/>
        <w:szCs w:val="18"/>
      </w:rPr>
      <w:tblPr/>
      <w:tcPr>
        <w:tcBorders>
          <w:top w:val="single" w:sz="4" w:space="0" w:color="auto"/>
          <w:left w:val="nil"/>
          <w:bottom w:val="single" w:sz="4" w:space="0" w:color="auto"/>
          <w:right w:val="nil"/>
          <w:insideH w:val="nil"/>
          <w:insideV w:val="nil"/>
          <w:tl2br w:val="nil"/>
          <w:tr2bl w:val="nil"/>
        </w:tcBorders>
      </w:tcPr>
    </w:tblStylePr>
    <w:tblStylePr w:type="band1Horz">
      <w:tblPr/>
      <w:tcPr>
        <w:tcBorders>
          <w:top w:val="single" w:sz="4" w:space="0" w:color="auto"/>
          <w:left w:val="nil"/>
          <w:bottom w:val="single" w:sz="4" w:space="0" w:color="auto"/>
          <w:right w:val="nil"/>
          <w:insideH w:val="nil"/>
          <w:insideV w:val="nil"/>
          <w:tl2br w:val="nil"/>
          <w:tr2bl w:val="nil"/>
        </w:tcBorders>
      </w:tcPr>
    </w:tblStylePr>
    <w:tblStylePr w:type="band2Horz">
      <w:tblPr/>
      <w:tcPr>
        <w:tcBorders>
          <w:top w:val="single" w:sz="4" w:space="0" w:color="auto"/>
          <w:left w:val="nil"/>
          <w:bottom w:val="single" w:sz="4" w:space="0" w:color="auto"/>
          <w:right w:val="nil"/>
          <w:insideH w:val="nil"/>
          <w:insideV w:val="nil"/>
          <w:tl2br w:val="nil"/>
          <w:tr2bl w:val="nil"/>
        </w:tcBorders>
      </w:tcPr>
    </w:tblStylePr>
  </w:style>
  <w:style w:type="numbering" w:customStyle="1" w:styleId="HeadingsList">
    <w:name w:val="Headings List"/>
    <w:uiPriority w:val="99"/>
    <w:rsid w:val="00676882"/>
    <w:pPr>
      <w:numPr>
        <w:numId w:val="47"/>
      </w:numPr>
    </w:pPr>
  </w:style>
  <w:style w:type="numbering" w:styleId="1ai">
    <w:name w:val="Outline List 1"/>
    <w:aliases w:val="List for Box List Number"/>
    <w:basedOn w:val="NoList"/>
    <w:uiPriority w:val="99"/>
    <w:unhideWhenUsed/>
    <w:rsid w:val="00676882"/>
    <w:pPr>
      <w:numPr>
        <w:numId w:val="51"/>
      </w:numPr>
    </w:pPr>
  </w:style>
  <w:style w:type="numbering" w:customStyle="1" w:styleId="AppendicesList">
    <w:name w:val="Appendices List"/>
    <w:uiPriority w:val="99"/>
    <w:rsid w:val="00676882"/>
    <w:pPr>
      <w:numPr>
        <w:numId w:val="52"/>
      </w:numPr>
    </w:pPr>
  </w:style>
  <w:style w:type="numbering" w:styleId="111111">
    <w:name w:val="Outline List 2"/>
    <w:basedOn w:val="NoList"/>
    <w:uiPriority w:val="99"/>
    <w:unhideWhenUsed/>
    <w:rsid w:val="00676882"/>
    <w:pPr>
      <w:numPr>
        <w:numId w:val="53"/>
      </w:numPr>
    </w:pPr>
  </w:style>
  <w:style w:type="numbering" w:styleId="ArticleSection">
    <w:name w:val="Outline List 3"/>
    <w:basedOn w:val="NoList"/>
    <w:uiPriority w:val="99"/>
    <w:unhideWhenUsed/>
    <w:rsid w:val="00676882"/>
    <w:pPr>
      <w:numPr>
        <w:numId w:val="54"/>
      </w:numPr>
    </w:pPr>
  </w:style>
  <w:style w:type="numbering" w:customStyle="1" w:styleId="ParagraphNumbering">
    <w:name w:val="Paragraph Numbering"/>
    <w:uiPriority w:val="99"/>
    <w:rsid w:val="00676882"/>
    <w:pPr>
      <w:numPr>
        <w:numId w:val="55"/>
      </w:numPr>
    </w:pPr>
  </w:style>
  <w:style w:type="paragraph" w:customStyle="1" w:styleId="Default">
    <w:name w:val="Default"/>
    <w:rsid w:val="0067688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p-Banner">
    <w:name w:val="Cp - Banner"/>
    <w:basedOn w:val="Normal"/>
    <w:rsid w:val="00676882"/>
    <w:pPr>
      <w:pageBreakBefore/>
      <w:spacing w:before="0" w:after="0" w:line="240" w:lineRule="auto"/>
    </w:pPr>
    <w:rPr>
      <w:rFonts w:cstheme="minorBidi"/>
      <w:sz w:val="4"/>
    </w:rPr>
  </w:style>
  <w:style w:type="paragraph" w:customStyle="1" w:styleId="CpBoldSubTitle">
    <w:name w:val="Cp Bold SubTitle"/>
    <w:basedOn w:val="Normal"/>
    <w:rsid w:val="00676882"/>
    <w:pPr>
      <w:spacing w:before="48" w:after="0" w:line="200" w:lineRule="exact"/>
      <w:ind w:left="159"/>
    </w:pPr>
    <w:rPr>
      <w:rFonts w:ascii="Arial Bold" w:hAnsi="Arial Bold" w:cstheme="minorBidi"/>
      <w:b/>
      <w:caps/>
      <w:color w:val="000100"/>
    </w:rPr>
  </w:style>
  <w:style w:type="paragraph" w:customStyle="1" w:styleId="CpHeaderConsulting">
    <w:name w:val="Cp Header (Consulting)"/>
    <w:basedOn w:val="Normal"/>
    <w:qFormat/>
    <w:rsid w:val="00676882"/>
    <w:pPr>
      <w:spacing w:before="0" w:after="0" w:line="240" w:lineRule="auto"/>
    </w:pPr>
    <w:rPr>
      <w:rFonts w:ascii="Arial" w:hAnsi="Arial" w:cstheme="minorBidi"/>
      <w:caps/>
      <w:spacing w:val="96"/>
      <w:sz w:val="24"/>
    </w:rPr>
  </w:style>
  <w:style w:type="paragraph" w:customStyle="1" w:styleId="CpHeaderAcilAllen">
    <w:name w:val="Cp Header (Acil Allen)"/>
    <w:basedOn w:val="CpHeaderConsulting"/>
    <w:rsid w:val="00676882"/>
    <w:rPr>
      <w:spacing w:val="100"/>
    </w:rPr>
  </w:style>
  <w:style w:type="numbering" w:customStyle="1" w:styleId="aaTOCList">
    <w:name w:val="aa TOC List"/>
    <w:uiPriority w:val="99"/>
    <w:rsid w:val="00676882"/>
    <w:pPr>
      <w:numPr>
        <w:numId w:val="61"/>
      </w:numPr>
    </w:pPr>
  </w:style>
  <w:style w:type="paragraph" w:customStyle="1" w:styleId="Table-Source">
    <w:name w:val="Table - Source"/>
    <w:basedOn w:val="Normal"/>
    <w:qFormat/>
    <w:rsid w:val="00676882"/>
    <w:pPr>
      <w:spacing w:before="52" w:after="0" w:line="240" w:lineRule="auto"/>
    </w:pPr>
    <w:rPr>
      <w:rFonts w:ascii="Helvetica Neue" w:hAnsi="Helvetica Neue" w:cstheme="minorBidi"/>
      <w:caps/>
      <w:spacing w:val="-3"/>
      <w:sz w:val="16"/>
    </w:rPr>
  </w:style>
  <w:style w:type="paragraph" w:customStyle="1" w:styleId="LetterBodyCopy">
    <w:name w:val="Letter Body Copy"/>
    <w:basedOn w:val="Normal"/>
    <w:qFormat/>
    <w:rsid w:val="00676882"/>
    <w:pPr>
      <w:spacing w:before="120" w:after="120" w:line="280" w:lineRule="exact"/>
    </w:pPr>
    <w:rPr>
      <w:rFonts w:cstheme="minorBidi"/>
    </w:rPr>
  </w:style>
  <w:style w:type="paragraph" w:customStyle="1" w:styleId="OfficeSide">
    <w:name w:val="OfficeSide"/>
    <w:basedOn w:val="Normal"/>
    <w:rsid w:val="00676882"/>
    <w:pPr>
      <w:spacing w:before="0" w:after="0" w:line="200" w:lineRule="exact"/>
    </w:pPr>
    <w:rPr>
      <w:rFonts w:eastAsia="Times New Roman" w:cs="Times New Roman"/>
      <w:caps/>
      <w:sz w:val="14"/>
      <w:szCs w:val="20"/>
    </w:rPr>
  </w:style>
  <w:style w:type="paragraph" w:customStyle="1" w:styleId="HeaderAddress">
    <w:name w:val="HeaderAddress"/>
    <w:basedOn w:val="Normal"/>
    <w:rsid w:val="00676882"/>
    <w:pPr>
      <w:spacing w:before="0" w:after="0" w:line="240" w:lineRule="auto"/>
    </w:pPr>
    <w:rPr>
      <w:rFonts w:asciiTheme="minorHAnsi" w:eastAsia="Times New Roman" w:hAnsiTheme="minorHAnsi" w:cs="Times New Roman"/>
      <w:sz w:val="11"/>
      <w:szCs w:val="20"/>
    </w:rPr>
  </w:style>
  <w:style w:type="paragraph" w:customStyle="1" w:styleId="spacer-Shapes">
    <w:name w:val="spacer-Shapes"/>
    <w:basedOn w:val="spacer"/>
    <w:semiHidden/>
    <w:qFormat/>
    <w:rsid w:val="00676882"/>
    <w:pPr>
      <w:keepNext/>
      <w:keepLines/>
    </w:pPr>
    <w:rPr>
      <w:color w:val="auto"/>
    </w:rPr>
  </w:style>
  <w:style w:type="paragraph" w:customStyle="1" w:styleId="App-Heading1">
    <w:name w:val="App - Heading 1"/>
    <w:basedOn w:val="Normal"/>
    <w:qFormat/>
    <w:rsid w:val="00676882"/>
    <w:pPr>
      <w:numPr>
        <w:numId w:val="62"/>
      </w:numPr>
      <w:spacing w:before="0" w:after="0" w:line="3200" w:lineRule="exact"/>
      <w:jc w:val="right"/>
    </w:pPr>
    <w:rPr>
      <w:rFonts w:ascii="Didot LT Std Headline" w:hAnsi="Didot LT Std Headline" w:cstheme="minorBidi"/>
      <w:color w:val="FFFEFF"/>
      <w:sz w:val="320"/>
    </w:rPr>
  </w:style>
  <w:style w:type="paragraph" w:customStyle="1" w:styleId="App-Heading2">
    <w:name w:val="App - Heading 2"/>
    <w:basedOn w:val="Normal"/>
    <w:qFormat/>
    <w:rsid w:val="00676882"/>
    <w:pPr>
      <w:numPr>
        <w:ilvl w:val="1"/>
        <w:numId w:val="62"/>
      </w:numPr>
      <w:pBdr>
        <w:bottom w:val="single" w:sz="4" w:space="1" w:color="000100"/>
      </w:pBdr>
      <w:spacing w:before="0" w:after="216"/>
      <w:ind w:left="-17"/>
    </w:pPr>
    <w:rPr>
      <w:rFonts w:ascii="HelveticaNeueLT Std Cn" w:hAnsi="HelveticaNeueLT Std Cn" w:cstheme="minorBidi"/>
      <w:sz w:val="28"/>
    </w:rPr>
  </w:style>
  <w:style w:type="paragraph" w:customStyle="1" w:styleId="rgb-Grey">
    <w:name w:val="rgb-Grey"/>
    <w:basedOn w:val="Header-CompanyName"/>
    <w:semiHidden/>
    <w:qFormat/>
    <w:rsid w:val="00676882"/>
    <w:pPr>
      <w:tabs>
        <w:tab w:val="center" w:pos="4680"/>
        <w:tab w:val="right" w:pos="9360"/>
      </w:tabs>
      <w:spacing w:before="0"/>
      <w:jc w:val="left"/>
    </w:pPr>
    <w:rPr>
      <w:rFonts w:cstheme="minorBidi"/>
      <w:color w:val="BEB6AF"/>
      <w:sz w:val="16"/>
    </w:rPr>
  </w:style>
  <w:style w:type="paragraph" w:customStyle="1" w:styleId="rgb-Purple">
    <w:name w:val="rgb-Purple"/>
    <w:basedOn w:val="Normal"/>
    <w:semiHidden/>
    <w:qFormat/>
    <w:rsid w:val="00676882"/>
    <w:pPr>
      <w:spacing w:before="0" w:after="0" w:line="240" w:lineRule="auto"/>
    </w:pPr>
    <w:rPr>
      <w:rFonts w:cstheme="minorBidi"/>
      <w:color w:val="9D57A6"/>
    </w:rPr>
  </w:style>
  <w:style w:type="paragraph" w:customStyle="1" w:styleId="Headersmall">
    <w:name w:val="Header (small)"/>
    <w:basedOn w:val="Header"/>
    <w:qFormat/>
    <w:rsid w:val="00676882"/>
    <w:pPr>
      <w:tabs>
        <w:tab w:val="clear" w:pos="4513"/>
        <w:tab w:val="clear" w:pos="9026"/>
        <w:tab w:val="center" w:pos="4680"/>
        <w:tab w:val="right" w:pos="9360"/>
      </w:tabs>
      <w:spacing w:before="0"/>
    </w:pPr>
    <w:rPr>
      <w:rFonts w:cstheme="minorBidi"/>
      <w:noProof/>
      <w:color w:val="000004"/>
      <w:sz w:val="4"/>
    </w:rPr>
  </w:style>
  <w:style w:type="paragraph" w:customStyle="1" w:styleId="IntroductionES">
    <w:name w:val="Introduction (ES)"/>
    <w:basedOn w:val="rgb-Grey"/>
    <w:qFormat/>
    <w:rsid w:val="00676882"/>
    <w:pPr>
      <w:spacing w:after="460" w:line="300" w:lineRule="atLeast"/>
      <w:ind w:left="-2160"/>
      <w:contextualSpacing/>
    </w:pPr>
    <w:rPr>
      <w:i/>
      <w:spacing w:val="4"/>
      <w:sz w:val="24"/>
    </w:rPr>
  </w:style>
  <w:style w:type="paragraph" w:customStyle="1" w:styleId="Exec-HeadingBanner">
    <w:name w:val="Exec - Heading (Banner)"/>
    <w:basedOn w:val="Normal"/>
    <w:next w:val="Exec-SubHeadBanner"/>
    <w:qFormat/>
    <w:rsid w:val="00676882"/>
    <w:pPr>
      <w:spacing w:before="0" w:after="0" w:line="240" w:lineRule="atLeast"/>
      <w:ind w:left="248"/>
    </w:pPr>
    <w:rPr>
      <w:rFonts w:cstheme="minorBidi"/>
      <w:caps/>
      <w:color w:val="FFFEFF"/>
      <w:spacing w:val="110"/>
      <w:sz w:val="38"/>
    </w:rPr>
  </w:style>
  <w:style w:type="paragraph" w:customStyle="1" w:styleId="Exec-SubHeadBanner">
    <w:name w:val="Exec - SubHead (Banner)"/>
    <w:basedOn w:val="Exec-HeadingBanner"/>
    <w:qFormat/>
    <w:rsid w:val="00676882"/>
    <w:rPr>
      <w:color w:val="FFAE3B"/>
    </w:rPr>
  </w:style>
  <w:style w:type="paragraph" w:customStyle="1" w:styleId="Exec-Context">
    <w:name w:val="Exec - Context"/>
    <w:basedOn w:val="Normal"/>
    <w:semiHidden/>
    <w:qFormat/>
    <w:rsid w:val="00676882"/>
    <w:pPr>
      <w:spacing w:before="0" w:after="0" w:line="240" w:lineRule="auto"/>
    </w:pPr>
    <w:rPr>
      <w:rFonts w:cstheme="minorBidi"/>
      <w:color w:val="9D57A6"/>
      <w:sz w:val="4"/>
    </w:rPr>
  </w:style>
  <w:style w:type="paragraph" w:customStyle="1" w:styleId="Chpt-HeadingBanner">
    <w:name w:val="Chpt - Heading (Banner)"/>
    <w:basedOn w:val="Normal"/>
    <w:qFormat/>
    <w:rsid w:val="00676882"/>
    <w:pPr>
      <w:spacing w:before="0" w:after="0" w:line="240" w:lineRule="atLeast"/>
    </w:pPr>
    <w:rPr>
      <w:rFonts w:ascii="Novecento Book" w:hAnsi="Novecento Book" w:cstheme="minorBidi"/>
      <w:color w:val="FFFEFF"/>
      <w:spacing w:val="110"/>
      <w:sz w:val="41"/>
    </w:rPr>
  </w:style>
  <w:style w:type="paragraph" w:customStyle="1" w:styleId="Chpt-Context">
    <w:name w:val="Chpt - Context"/>
    <w:basedOn w:val="rgb-Purple"/>
    <w:qFormat/>
    <w:rsid w:val="00676882"/>
    <w:pPr>
      <w:keepNext/>
    </w:pPr>
    <w:rPr>
      <w:sz w:val="2"/>
    </w:rPr>
  </w:style>
  <w:style w:type="table" w:customStyle="1" w:styleId="TableGrid10">
    <w:name w:val="Table Grid1"/>
    <w:basedOn w:val="TableNormal"/>
    <w:next w:val="TableGrid"/>
    <w:uiPriority w:val="39"/>
    <w:rsid w:val="00676882"/>
    <w:pPr>
      <w:spacing w:after="0" w:line="240" w:lineRule="auto"/>
    </w:pPr>
    <w:rPr>
      <w:rFonts w:ascii="Arial Narrow" w:hAnsi="Arial Narrow"/>
      <w:sz w:val="20"/>
      <w:lang w:val="en-US"/>
    </w:rPr>
    <w:tblPr>
      <w:tblCellMar>
        <w:left w:w="0" w:type="dxa"/>
        <w:right w:w="0" w:type="dxa"/>
      </w:tblCellMar>
    </w:tblPr>
    <w:tcPr>
      <w:shd w:val="clear" w:color="auto" w:fill="auto"/>
    </w:tcPr>
    <w:tblStylePr w:type="firstRow">
      <w:pPr>
        <w:jc w:val="left"/>
      </w:pPr>
      <w:rPr>
        <w:color w:val="FFFFFF" w:themeColor="background1"/>
      </w:rPr>
    </w:tblStylePr>
  </w:style>
  <w:style w:type="paragraph" w:customStyle="1" w:styleId="App-Context">
    <w:name w:val="App - Context"/>
    <w:basedOn w:val="rgb-Purple"/>
    <w:qFormat/>
    <w:rsid w:val="00676882"/>
    <w:rPr>
      <w:sz w:val="4"/>
    </w:rPr>
  </w:style>
  <w:style w:type="paragraph" w:customStyle="1" w:styleId="App-BannerHeading">
    <w:name w:val="App - Banner (Heading)"/>
    <w:basedOn w:val="Normal"/>
    <w:qFormat/>
    <w:rsid w:val="00676882"/>
    <w:pPr>
      <w:spacing w:before="0" w:after="0" w:line="240" w:lineRule="atLeast"/>
    </w:pPr>
    <w:rPr>
      <w:rFonts w:ascii="Novecento Book" w:hAnsi="Novecento Book" w:cstheme="minorBidi"/>
      <w:color w:val="FFFEFF"/>
      <w:spacing w:val="110"/>
      <w:sz w:val="41"/>
    </w:rPr>
  </w:style>
  <w:style w:type="paragraph" w:customStyle="1" w:styleId="App-Chpt-Banner">
    <w:name w:val="App - Chpt - Banner"/>
    <w:basedOn w:val="Normal"/>
    <w:qFormat/>
    <w:rsid w:val="00676882"/>
    <w:pPr>
      <w:pageBreakBefore/>
      <w:spacing w:before="0" w:after="0" w:line="240" w:lineRule="auto"/>
    </w:pPr>
    <w:rPr>
      <w:rFonts w:cstheme="minorBidi"/>
      <w:sz w:val="4"/>
    </w:rPr>
  </w:style>
  <w:style w:type="paragraph" w:customStyle="1" w:styleId="AbbrevorGlossaryHeading">
    <w:name w:val="Abbrev or Glossary Heading"/>
    <w:basedOn w:val="Normal"/>
    <w:next w:val="BodyText"/>
    <w:rsid w:val="00676882"/>
    <w:pPr>
      <w:pageBreakBefore/>
      <w:pBdr>
        <w:top w:val="single" w:sz="48" w:space="30" w:color="9D57A6"/>
        <w:left w:val="single" w:sz="48" w:space="4" w:color="9D57A6"/>
        <w:bottom w:val="single" w:sz="48" w:space="5" w:color="9D57A6"/>
        <w:right w:val="single" w:sz="48" w:space="4" w:color="9D57A6"/>
      </w:pBdr>
      <w:shd w:val="clear" w:color="auto" w:fill="9D57A6"/>
      <w:spacing w:before="0" w:after="60" w:line="420" w:lineRule="exact"/>
      <w:outlineLvl w:val="0"/>
    </w:pPr>
    <w:rPr>
      <w:rFonts w:ascii="Novecento Book" w:eastAsia="Times New Roman" w:hAnsi="Novecento Book" w:cs="Times New Roman"/>
      <w:color w:val="FFFFFF" w:themeColor="background1"/>
      <w:kern w:val="28"/>
      <w:sz w:val="38"/>
      <w:szCs w:val="38"/>
      <w:lang w:eastAsia="en-AU"/>
    </w:rPr>
  </w:style>
  <w:style w:type="numbering" w:customStyle="1" w:styleId="aaReportListBullets">
    <w:name w:val="aa Report List Bullets"/>
    <w:uiPriority w:val="99"/>
    <w:rsid w:val="00676882"/>
    <w:pPr>
      <w:numPr>
        <w:numId w:val="67"/>
      </w:numPr>
    </w:pPr>
  </w:style>
  <w:style w:type="numbering" w:customStyle="1" w:styleId="BoxList">
    <w:name w:val="Box List"/>
    <w:uiPriority w:val="99"/>
    <w:rsid w:val="00676882"/>
    <w:pPr>
      <w:numPr>
        <w:numId w:val="63"/>
      </w:numPr>
    </w:pPr>
  </w:style>
  <w:style w:type="paragraph" w:customStyle="1" w:styleId="Table-PulloutText">
    <w:name w:val="Table - Pullout Text"/>
    <w:basedOn w:val="rgb-Purple"/>
    <w:qFormat/>
    <w:rsid w:val="00676882"/>
    <w:pPr>
      <w:spacing w:before="64" w:line="240" w:lineRule="atLeast"/>
      <w:contextualSpacing/>
      <w:jc w:val="right"/>
    </w:pPr>
    <w:rPr>
      <w:rFonts w:ascii="Helvetica Neue" w:hAnsi="Helvetica Neue"/>
    </w:rPr>
  </w:style>
  <w:style w:type="numbering" w:customStyle="1" w:styleId="aaTableListBullets">
    <w:name w:val="aa Table List Bullets"/>
    <w:uiPriority w:val="99"/>
    <w:rsid w:val="00676882"/>
    <w:pPr>
      <w:numPr>
        <w:numId w:val="64"/>
      </w:numPr>
    </w:pPr>
  </w:style>
  <w:style w:type="numbering" w:customStyle="1" w:styleId="aaTableListNumbers">
    <w:name w:val="aa Table List Numbers"/>
    <w:uiPriority w:val="99"/>
    <w:rsid w:val="00676882"/>
    <w:pPr>
      <w:numPr>
        <w:numId w:val="65"/>
      </w:numPr>
    </w:pPr>
  </w:style>
  <w:style w:type="numbering" w:customStyle="1" w:styleId="BoxListBullets">
    <w:name w:val="Box List Bullets"/>
    <w:uiPriority w:val="99"/>
    <w:rsid w:val="00676882"/>
    <w:pPr>
      <w:numPr>
        <w:numId w:val="66"/>
      </w:numPr>
    </w:pPr>
  </w:style>
  <w:style w:type="paragraph" w:customStyle="1" w:styleId="Abbrev-Context">
    <w:name w:val="Abbrev - Context"/>
    <w:basedOn w:val="Chpt-Context"/>
    <w:qFormat/>
    <w:rsid w:val="00676882"/>
  </w:style>
  <w:style w:type="numbering" w:customStyle="1" w:styleId="aaReportListNumber">
    <w:name w:val="aa Report List Number"/>
    <w:uiPriority w:val="99"/>
    <w:rsid w:val="00676882"/>
    <w:pPr>
      <w:numPr>
        <w:numId w:val="68"/>
      </w:numPr>
    </w:pPr>
  </w:style>
  <w:style w:type="paragraph" w:customStyle="1" w:styleId="Heading8nonumber">
    <w:name w:val="Heading 8 (no number)"/>
    <w:basedOn w:val="Normal"/>
    <w:next w:val="BodyText"/>
    <w:qFormat/>
    <w:rsid w:val="00676882"/>
    <w:pPr>
      <w:keepNext/>
      <w:keepLines/>
      <w:pBdr>
        <w:bottom w:val="single" w:sz="4" w:space="1" w:color="auto"/>
      </w:pBdr>
      <w:spacing w:before="240" w:after="216"/>
      <w:outlineLvl w:val="1"/>
    </w:pPr>
    <w:rPr>
      <w:rFonts w:cstheme="minorBidi"/>
      <w:b/>
      <w:sz w:val="28"/>
    </w:rPr>
  </w:style>
  <w:style w:type="paragraph" w:customStyle="1" w:styleId="Heading9nonumber">
    <w:name w:val="Heading 9 (no number)"/>
    <w:basedOn w:val="Normal"/>
    <w:next w:val="BodyText"/>
    <w:qFormat/>
    <w:rsid w:val="00676882"/>
    <w:pPr>
      <w:keepNext/>
      <w:keepLines/>
      <w:pBdr>
        <w:bottom w:val="single" w:sz="4" w:space="1" w:color="auto"/>
      </w:pBdr>
      <w:spacing w:before="240" w:after="48" w:line="240" w:lineRule="atLeast"/>
      <w:outlineLvl w:val="2"/>
    </w:pPr>
    <w:rPr>
      <w:rFonts w:cstheme="minorBidi"/>
      <w:b/>
      <w:spacing w:val="3"/>
    </w:rPr>
  </w:style>
  <w:style w:type="paragraph" w:customStyle="1" w:styleId="Heading10nonumber">
    <w:name w:val="Heading 10 (no number)"/>
    <w:basedOn w:val="Normal"/>
    <w:next w:val="BodyText"/>
    <w:qFormat/>
    <w:rsid w:val="00676882"/>
    <w:pPr>
      <w:keepNext/>
      <w:keepLines/>
      <w:spacing w:before="240" w:after="64" w:line="240" w:lineRule="atLeast"/>
    </w:pPr>
    <w:rPr>
      <w:rFonts w:cstheme="minorBidi"/>
      <w:b/>
      <w:spacing w:val="-1"/>
    </w:rPr>
  </w:style>
  <w:style w:type="paragraph" w:customStyle="1" w:styleId="Heading11nonumber">
    <w:name w:val="Heading 11 (no number)"/>
    <w:basedOn w:val="Normal"/>
    <w:next w:val="BodyText"/>
    <w:qFormat/>
    <w:rsid w:val="00676882"/>
    <w:pPr>
      <w:keepNext/>
      <w:spacing w:before="240" w:after="89" w:line="240" w:lineRule="atLeast"/>
    </w:pPr>
    <w:rPr>
      <w:rFonts w:cstheme="minorBidi"/>
      <w:b/>
      <w:i/>
      <w:spacing w:val="3"/>
    </w:rPr>
  </w:style>
  <w:style w:type="numbering" w:customStyle="1" w:styleId="aaSideNotesBullets">
    <w:name w:val="aa SideNotes Bullets"/>
    <w:uiPriority w:val="99"/>
    <w:rsid w:val="00676882"/>
    <w:pPr>
      <w:numPr>
        <w:numId w:val="69"/>
      </w:numPr>
    </w:pPr>
  </w:style>
  <w:style w:type="numbering" w:customStyle="1" w:styleId="aaReportHeadings">
    <w:name w:val="aa Report Headings"/>
    <w:uiPriority w:val="99"/>
    <w:rsid w:val="00676882"/>
    <w:pPr>
      <w:numPr>
        <w:numId w:val="70"/>
      </w:numPr>
    </w:pPr>
  </w:style>
  <w:style w:type="numbering" w:customStyle="1" w:styleId="aaAppendixNumbering">
    <w:name w:val="aa Appendix Numbering"/>
    <w:uiPriority w:val="99"/>
    <w:rsid w:val="00676882"/>
    <w:pPr>
      <w:numPr>
        <w:numId w:val="71"/>
      </w:numPr>
    </w:pPr>
  </w:style>
  <w:style w:type="paragraph" w:customStyle="1" w:styleId="Heading5nonumber">
    <w:name w:val="Heading 5 (no number)"/>
    <w:basedOn w:val="Normal"/>
    <w:next w:val="BodyText"/>
    <w:qFormat/>
    <w:rsid w:val="00676882"/>
    <w:pPr>
      <w:keepNext/>
      <w:keepLines/>
      <w:spacing w:before="240" w:after="89" w:line="240" w:lineRule="atLeast"/>
      <w:outlineLvl w:val="4"/>
    </w:pPr>
    <w:rPr>
      <w:rFonts w:cstheme="minorBidi"/>
      <w:b/>
      <w:i/>
      <w:color w:val="000100"/>
      <w:spacing w:val="3"/>
    </w:rPr>
  </w:style>
  <w:style w:type="paragraph" w:customStyle="1" w:styleId="Heading6nonumber">
    <w:name w:val="Heading 6 (no number)"/>
    <w:basedOn w:val="Normal"/>
    <w:next w:val="BodyText"/>
    <w:qFormat/>
    <w:rsid w:val="00676882"/>
    <w:pPr>
      <w:keepNext/>
      <w:spacing w:before="240" w:after="89" w:line="240" w:lineRule="atLeast"/>
      <w:outlineLvl w:val="5"/>
    </w:pPr>
    <w:rPr>
      <w:rFonts w:cstheme="minorBidi"/>
      <w:b/>
      <w:i/>
      <w:color w:val="808080" w:themeColor="background1" w:themeShade="80"/>
      <w:spacing w:val="3"/>
    </w:rPr>
  </w:style>
  <w:style w:type="paragraph" w:customStyle="1" w:styleId="TOCHeadingwide">
    <w:name w:val="TOC Heading (wide)"/>
    <w:basedOn w:val="TOCHeading"/>
    <w:qFormat/>
    <w:rsid w:val="00676882"/>
    <w:pPr>
      <w:keepNext w:val="0"/>
      <w:keepLines w:val="0"/>
      <w:spacing w:after="204" w:line="620" w:lineRule="exact"/>
      <w:ind w:left="454"/>
    </w:pPr>
    <w:rPr>
      <w:rFonts w:ascii="Arial" w:eastAsiaTheme="minorHAnsi" w:hAnsi="Arial" w:cstheme="minorBidi"/>
      <w:bCs/>
      <w:caps/>
      <w:color w:val="978F8B"/>
      <w:spacing w:val="640"/>
      <w:sz w:val="48"/>
    </w:rPr>
  </w:style>
  <w:style w:type="paragraph" w:customStyle="1" w:styleId="Headingbibliography">
    <w:name w:val="Heading (bibliography)"/>
    <w:basedOn w:val="Chpt-HeadingBanner"/>
    <w:qFormat/>
    <w:rsid w:val="00676882"/>
    <w:pPr>
      <w:keepNext/>
      <w:ind w:left="216"/>
    </w:pPr>
    <w:rPr>
      <w:rFonts w:ascii="Arial Narrow" w:hAnsi="Arial Narrow"/>
      <w:caps/>
      <w:sz w:val="38"/>
    </w:rPr>
  </w:style>
  <w:style w:type="paragraph" w:customStyle="1" w:styleId="Tablebody">
    <w:name w:val="Table body"/>
    <w:basedOn w:val="Tabletext"/>
    <w:uiPriority w:val="3"/>
    <w:qFormat/>
    <w:rsid w:val="00676882"/>
    <w:pPr>
      <w:ind w:right="120"/>
    </w:pPr>
    <w:rPr>
      <w:rFonts w:cstheme="minorBidi"/>
    </w:rPr>
  </w:style>
  <w:style w:type="paragraph" w:customStyle="1" w:styleId="ListDash">
    <w:name w:val="List Dash"/>
    <w:basedOn w:val="Normal"/>
    <w:qFormat/>
    <w:rsid w:val="00676882"/>
    <w:pPr>
      <w:numPr>
        <w:numId w:val="73"/>
      </w:numPr>
      <w:spacing w:before="60" w:after="60" w:line="240" w:lineRule="atLeast"/>
    </w:pPr>
    <w:rPr>
      <w:rFonts w:cstheme="minorBidi"/>
    </w:rPr>
  </w:style>
  <w:style w:type="paragraph" w:customStyle="1" w:styleId="ListDash2">
    <w:name w:val="List Dash 2"/>
    <w:basedOn w:val="Normal"/>
    <w:qFormat/>
    <w:rsid w:val="00676882"/>
    <w:pPr>
      <w:numPr>
        <w:ilvl w:val="1"/>
        <w:numId w:val="73"/>
      </w:numPr>
      <w:spacing w:before="0" w:after="60" w:line="240" w:lineRule="atLeast"/>
      <w:contextualSpacing/>
    </w:pPr>
    <w:rPr>
      <w:rFonts w:cstheme="minorBidi"/>
    </w:rPr>
  </w:style>
  <w:style w:type="paragraph" w:customStyle="1" w:styleId="ListDash3">
    <w:name w:val="List Dash 3"/>
    <w:basedOn w:val="Normal"/>
    <w:qFormat/>
    <w:rsid w:val="00676882"/>
    <w:pPr>
      <w:numPr>
        <w:ilvl w:val="2"/>
        <w:numId w:val="73"/>
      </w:numPr>
      <w:spacing w:before="0" w:after="60" w:line="240" w:lineRule="atLeast"/>
      <w:contextualSpacing/>
    </w:pPr>
    <w:rPr>
      <w:rFonts w:cstheme="minorBidi"/>
    </w:rPr>
  </w:style>
  <w:style w:type="numbering" w:customStyle="1" w:styleId="ACILAllenDashedList">
    <w:name w:val="ACIL Allen Dashed List"/>
    <w:uiPriority w:val="99"/>
    <w:rsid w:val="00676882"/>
    <w:pPr>
      <w:numPr>
        <w:numId w:val="72"/>
      </w:numPr>
    </w:pPr>
  </w:style>
  <w:style w:type="paragraph" w:customStyle="1" w:styleId="LetterPageNumber">
    <w:name w:val="Letter Page Number"/>
    <w:basedOn w:val="FooterLetter"/>
    <w:qFormat/>
    <w:rsid w:val="00676882"/>
    <w:pPr>
      <w:spacing w:before="0"/>
      <w:jc w:val="right"/>
    </w:pPr>
    <w:rPr>
      <w:color w:val="auto"/>
      <w:sz w:val="18"/>
    </w:rPr>
  </w:style>
  <w:style w:type="table" w:customStyle="1" w:styleId="TableGrid20">
    <w:name w:val="Table Grid2"/>
    <w:basedOn w:val="TableNormal"/>
    <w:next w:val="TableGrid"/>
    <w:uiPriority w:val="39"/>
    <w:rsid w:val="00676882"/>
    <w:pPr>
      <w:spacing w:after="0" w:line="240" w:lineRule="auto"/>
    </w:pPr>
    <w:rPr>
      <w:rFonts w:ascii="Arial Narrow" w:eastAsia="PMingLiU" w:hAnsi="Arial Narrow" w:cs="Times New Roman"/>
      <w:sz w:val="20"/>
      <w:szCs w:val="20"/>
      <w:lang w:val="en-US" w:eastAsia="zh-TW"/>
    </w:rPr>
    <w:tblPr>
      <w:tblStyleRowBandSize w:val="1"/>
      <w:tblInd w:w="0" w:type="nil"/>
      <w:tblCellMar>
        <w:left w:w="0" w:type="dxa"/>
        <w:right w:w="0" w:type="dxa"/>
      </w:tblCellMar>
    </w:tblPr>
    <w:tblStylePr w:type="firstRow">
      <w:pPr>
        <w:jc w:val="left"/>
      </w:pPr>
      <w:rPr>
        <w:color w:val="FFFEFF"/>
      </w:rPr>
      <w:tblPr/>
      <w:tcPr>
        <w:shd w:val="clear" w:color="auto" w:fill="9D57A6"/>
        <w:vAlign w:val="center"/>
      </w:tcPr>
    </w:tblStylePr>
    <w:tblStylePr w:type="band1Horz">
      <w:tblPr/>
      <w:tcPr>
        <w:tcBorders>
          <w:bottom w:val="single" w:sz="4" w:space="0" w:color="000100"/>
        </w:tcBorders>
      </w:tcPr>
    </w:tblStylePr>
    <w:tblStylePr w:type="band2Horz">
      <w:tblPr/>
      <w:tcPr>
        <w:tcBorders>
          <w:bottom w:val="single" w:sz="4" w:space="0" w:color="000100"/>
        </w:tcBorders>
      </w:tcPr>
    </w:tblStylePr>
  </w:style>
  <w:style w:type="table" w:customStyle="1" w:styleId="TableGrid30">
    <w:name w:val="Table Grid3"/>
    <w:basedOn w:val="TableNormal"/>
    <w:next w:val="TableGrid"/>
    <w:uiPriority w:val="39"/>
    <w:rsid w:val="00676882"/>
    <w:pPr>
      <w:spacing w:after="0" w:line="240" w:lineRule="auto"/>
    </w:pPr>
    <w:rPr>
      <w:rFonts w:ascii="Arial Narrow" w:eastAsia="PMingLiU" w:hAnsi="Arial Narrow" w:cs="Times New Roman"/>
      <w:sz w:val="20"/>
      <w:szCs w:val="20"/>
      <w:lang w:val="en-US" w:eastAsia="zh-TW"/>
    </w:rPr>
    <w:tblPr>
      <w:tblStyleRowBandSize w:val="1"/>
      <w:tblInd w:w="0" w:type="nil"/>
      <w:tblCellMar>
        <w:left w:w="0" w:type="dxa"/>
        <w:right w:w="0" w:type="dxa"/>
      </w:tblCellMar>
    </w:tblPr>
    <w:tblStylePr w:type="firstRow">
      <w:pPr>
        <w:jc w:val="left"/>
      </w:pPr>
      <w:rPr>
        <w:color w:val="FFFEFF"/>
      </w:rPr>
      <w:tblPr/>
      <w:tcPr>
        <w:shd w:val="clear" w:color="auto" w:fill="9D57A6"/>
      </w:tcPr>
    </w:tblStylePr>
    <w:tblStylePr w:type="band1Horz">
      <w:tblPr/>
      <w:tcPr>
        <w:tcBorders>
          <w:bottom w:val="single" w:sz="4" w:space="0" w:color="000100"/>
        </w:tcBorders>
      </w:tcPr>
    </w:tblStylePr>
    <w:tblStylePr w:type="band2Horz">
      <w:tblPr/>
      <w:tcPr>
        <w:tcBorders>
          <w:bottom w:val="single" w:sz="4" w:space="0" w:color="auto"/>
        </w:tcBorders>
        <w:shd w:val="clear" w:color="auto" w:fill="F2F2F1"/>
      </w:tcPr>
    </w:tblStylePr>
  </w:style>
  <w:style w:type="paragraph" w:customStyle="1" w:styleId="StationeryRef">
    <w:name w:val="StationeryRef"/>
    <w:basedOn w:val="Normal"/>
    <w:qFormat/>
    <w:rsid w:val="00676882"/>
    <w:pPr>
      <w:spacing w:before="0" w:after="0" w:line="240" w:lineRule="auto"/>
    </w:pPr>
    <w:rPr>
      <w:rFonts w:eastAsia="PMingLiU" w:cs="Times New Roman"/>
      <w:sz w:val="20"/>
      <w:szCs w:val="20"/>
      <w:lang w:eastAsia="zh-TW"/>
    </w:rPr>
  </w:style>
  <w:style w:type="numbering" w:customStyle="1" w:styleId="aaTableListBulletssmall">
    <w:name w:val="aa Table List Bullets (small)"/>
    <w:uiPriority w:val="99"/>
    <w:rsid w:val="00676882"/>
    <w:pPr>
      <w:numPr>
        <w:numId w:val="74"/>
      </w:numPr>
    </w:pPr>
  </w:style>
  <w:style w:type="numbering" w:customStyle="1" w:styleId="aaTableListNumberssmall">
    <w:name w:val="aa Table List Numbers (small)"/>
    <w:uiPriority w:val="99"/>
    <w:rsid w:val="00676882"/>
    <w:pPr>
      <w:numPr>
        <w:numId w:val="75"/>
      </w:numPr>
    </w:pPr>
  </w:style>
  <w:style w:type="character" w:customStyle="1" w:styleId="UnresolvedMention1">
    <w:name w:val="Unresolved Mention1"/>
    <w:basedOn w:val="DefaultParagraphFont"/>
    <w:uiPriority w:val="99"/>
    <w:semiHidden/>
    <w:unhideWhenUsed/>
    <w:rsid w:val="00676882"/>
    <w:rPr>
      <w:color w:val="605E5C"/>
      <w:shd w:val="clear" w:color="auto" w:fill="E1DFDD"/>
    </w:rPr>
  </w:style>
  <w:style w:type="character" w:customStyle="1" w:styleId="ListParagraphChar">
    <w:name w:val="List Paragraph Char"/>
    <w:aliases w:val="List Paragraph1 Char,Recommendation Char,List Paragraph11 Char,L Char,1 heading Char,Bullet point Char,Dot point 1.5 line spacing Char,List Paragraph - bullets Char,NFP GP Bulleted List Char,bullet point list Char,FooterText Char"/>
    <w:link w:val="ListParagraph"/>
    <w:uiPriority w:val="34"/>
    <w:qFormat/>
    <w:locked/>
    <w:rsid w:val="00676882"/>
    <w:rPr>
      <w:rFonts w:ascii="Arial Narrow" w:hAnsi="Arial Narrow" w:cs="Arial"/>
    </w:rPr>
  </w:style>
  <w:style w:type="paragraph" w:customStyle="1" w:styleId="Pa13">
    <w:name w:val="Pa13"/>
    <w:basedOn w:val="Normal"/>
    <w:next w:val="Normal"/>
    <w:uiPriority w:val="99"/>
    <w:rsid w:val="00676882"/>
    <w:pPr>
      <w:autoSpaceDE w:val="0"/>
      <w:autoSpaceDN w:val="0"/>
      <w:adjustRightInd w:val="0"/>
      <w:spacing w:before="0" w:after="0" w:line="191" w:lineRule="atLeast"/>
    </w:pPr>
    <w:rPr>
      <w:rFonts w:ascii="Myriad Pro" w:hAnsi="Myriad Pro" w:cstheme="minorBidi"/>
      <w:sz w:val="24"/>
      <w:szCs w:val="24"/>
    </w:rPr>
  </w:style>
  <w:style w:type="paragraph" w:customStyle="1" w:styleId="paragraph">
    <w:name w:val="paragraph"/>
    <w:basedOn w:val="Normal"/>
    <w:rsid w:val="0067688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spellingerror">
    <w:name w:val="spellingerror"/>
    <w:basedOn w:val="DefaultParagraphFont"/>
    <w:rsid w:val="00676882"/>
  </w:style>
  <w:style w:type="character" w:customStyle="1" w:styleId="contextualspellingandgrammarerror">
    <w:name w:val="contextualspellingandgrammarerror"/>
    <w:basedOn w:val="DefaultParagraphFont"/>
    <w:rsid w:val="00676882"/>
  </w:style>
  <w:style w:type="paragraph" w:customStyle="1" w:styleId="BodyText1">
    <w:name w:val="Body Text 1"/>
    <w:basedOn w:val="Normal"/>
    <w:link w:val="BodyText1Char"/>
    <w:rsid w:val="00676882"/>
    <w:pPr>
      <w:spacing w:before="120" w:after="120" w:line="240" w:lineRule="auto"/>
      <w:jc w:val="both"/>
    </w:pPr>
    <w:rPr>
      <w:rFonts w:ascii="Times New Roman" w:eastAsia="Times New Roman" w:hAnsi="Times New Roman" w:cs="Times New Roman"/>
    </w:rPr>
  </w:style>
  <w:style w:type="paragraph" w:customStyle="1" w:styleId="TableTextSigning1">
    <w:name w:val="Table Text Signing 1"/>
    <w:basedOn w:val="Normal"/>
    <w:rsid w:val="00676882"/>
    <w:pPr>
      <w:pBdr>
        <w:top w:val="dotted" w:sz="4" w:space="1" w:color="auto"/>
      </w:pBdr>
      <w:tabs>
        <w:tab w:val="left" w:pos="1134"/>
        <w:tab w:val="left" w:pos="1701"/>
        <w:tab w:val="left" w:pos="2268"/>
        <w:tab w:val="left" w:pos="2835"/>
        <w:tab w:val="left" w:pos="3402"/>
      </w:tabs>
      <w:spacing w:before="600" w:after="120" w:line="240" w:lineRule="auto"/>
      <w:ind w:right="-1134"/>
      <w:jc w:val="both"/>
    </w:pPr>
    <w:rPr>
      <w:rFonts w:ascii="Arial" w:eastAsia="Times New Roman" w:hAnsi="Arial" w:cs="Times New Roman"/>
      <w:sz w:val="20"/>
      <w:szCs w:val="20"/>
    </w:rPr>
  </w:style>
  <w:style w:type="character" w:customStyle="1" w:styleId="BodyText1Char">
    <w:name w:val="Body Text 1 Char"/>
    <w:basedOn w:val="DefaultParagraphFont"/>
    <w:link w:val="BodyText1"/>
    <w:rsid w:val="00676882"/>
    <w:rPr>
      <w:rFonts w:ascii="Times New Roman" w:eastAsia="Times New Roman" w:hAnsi="Times New Roman" w:cs="Times New Roman"/>
    </w:rPr>
  </w:style>
  <w:style w:type="character" w:customStyle="1" w:styleId="TableTextChar0">
    <w:name w:val="Table Text Char"/>
    <w:basedOn w:val="DefaultParagraphFont"/>
    <w:link w:val="TableText0"/>
    <w:rsid w:val="00676882"/>
    <w:rPr>
      <w:rFonts w:asciiTheme="majorHAnsi" w:eastAsiaTheme="majorEastAsia" w:hAnsiTheme="majorHAnsi" w:cstheme="majorBidi"/>
      <w:sz w:val="20"/>
      <w:szCs w:val="20"/>
      <w:lang w:eastAsia="ja-JP"/>
    </w:rPr>
  </w:style>
  <w:style w:type="paragraph" w:customStyle="1" w:styleId="TableTexta">
    <w:name w:val="Table Text (a)"/>
    <w:basedOn w:val="TableText0"/>
    <w:rsid w:val="00676882"/>
    <w:pPr>
      <w:keepNext w:val="0"/>
      <w:keepLines w:val="0"/>
      <w:numPr>
        <w:numId w:val="76"/>
      </w:numPr>
      <w:tabs>
        <w:tab w:val="clear" w:pos="851"/>
        <w:tab w:val="num" w:pos="248"/>
        <w:tab w:val="num" w:pos="360"/>
        <w:tab w:val="num" w:pos="926"/>
        <w:tab w:val="left" w:pos="1134"/>
        <w:tab w:val="left" w:pos="1701"/>
        <w:tab w:val="left" w:pos="2268"/>
        <w:tab w:val="left" w:pos="2835"/>
        <w:tab w:val="left" w:pos="3402"/>
      </w:tabs>
      <w:spacing w:before="120" w:after="120"/>
      <w:ind w:left="0" w:firstLine="0"/>
      <w:jc w:val="both"/>
    </w:pPr>
    <w:rPr>
      <w:rFonts w:ascii="Arial" w:eastAsia="Times New Roman" w:hAnsi="Arial" w:cs="Times New Roman"/>
      <w:lang w:eastAsia="en-US"/>
    </w:rPr>
  </w:style>
  <w:style w:type="paragraph" w:customStyle="1" w:styleId="TableTextRed">
    <w:name w:val="Table Text + Red"/>
    <w:basedOn w:val="TableText0"/>
    <w:rsid w:val="00676882"/>
    <w:pPr>
      <w:keepNext w:val="0"/>
      <w:keepLines w:val="0"/>
      <w:tabs>
        <w:tab w:val="left" w:pos="1134"/>
        <w:tab w:val="left" w:pos="1701"/>
        <w:tab w:val="left" w:pos="2268"/>
        <w:tab w:val="left" w:pos="2835"/>
        <w:tab w:val="left" w:pos="3402"/>
      </w:tabs>
      <w:spacing w:before="120" w:after="120"/>
      <w:jc w:val="both"/>
    </w:pPr>
    <w:rPr>
      <w:rFonts w:ascii="Arial" w:eastAsia="Times New Roman" w:hAnsi="Arial" w:cs="Times New Roman"/>
      <w:b/>
      <w:color w:val="FF0000"/>
      <w:lang w:eastAsia="en-US"/>
    </w:rPr>
  </w:style>
  <w:style w:type="paragraph" w:customStyle="1" w:styleId="BodyText1Red">
    <w:name w:val="Body Text 1 + Red"/>
    <w:basedOn w:val="BodyText1"/>
    <w:rsid w:val="00676882"/>
    <w:rPr>
      <w:b/>
      <w:color w:val="FF0000"/>
    </w:rPr>
  </w:style>
  <w:style w:type="paragraph" w:customStyle="1" w:styleId="TableText1">
    <w:name w:val="TableText"/>
    <w:basedOn w:val="Normal"/>
    <w:link w:val="TableTextChar1"/>
    <w:rsid w:val="00676882"/>
    <w:pPr>
      <w:tabs>
        <w:tab w:val="left" w:pos="1134"/>
        <w:tab w:val="left" w:pos="1701"/>
        <w:tab w:val="left" w:pos="2268"/>
        <w:tab w:val="left" w:pos="2835"/>
        <w:tab w:val="left" w:pos="3402"/>
      </w:tabs>
      <w:spacing w:before="40" w:after="40" w:line="240" w:lineRule="auto"/>
    </w:pPr>
    <w:rPr>
      <w:rFonts w:ascii="Arial" w:eastAsia="Times New Roman" w:hAnsi="Arial" w:cs="Times New Roman"/>
      <w:sz w:val="20"/>
      <w:szCs w:val="20"/>
    </w:rPr>
  </w:style>
  <w:style w:type="paragraph" w:customStyle="1" w:styleId="TableTextBold">
    <w:name w:val="Table Text + Bold"/>
    <w:basedOn w:val="Normal"/>
    <w:rsid w:val="00676882"/>
    <w:pPr>
      <w:numPr>
        <w:numId w:val="77"/>
      </w:numPr>
      <w:spacing w:before="120" w:after="120" w:line="240" w:lineRule="auto"/>
      <w:jc w:val="both"/>
    </w:pPr>
    <w:rPr>
      <w:rFonts w:ascii="Arial" w:eastAsia="Times New Roman" w:hAnsi="Arial" w:cs="Times New Roman"/>
      <w:b/>
      <w:sz w:val="20"/>
    </w:rPr>
  </w:style>
  <w:style w:type="character" w:customStyle="1" w:styleId="TableTextChar1">
    <w:name w:val="TableText Char"/>
    <w:basedOn w:val="DefaultParagraphFont"/>
    <w:link w:val="TableText1"/>
    <w:rsid w:val="00676882"/>
    <w:rPr>
      <w:rFonts w:ascii="Arial" w:eastAsia="Times New Roman" w:hAnsi="Arial" w:cs="Times New Roman"/>
      <w:sz w:val="20"/>
      <w:szCs w:val="20"/>
    </w:rPr>
  </w:style>
  <w:style w:type="table" w:customStyle="1" w:styleId="AcilAllenTable">
    <w:name w:val="Acil Allen Table"/>
    <w:basedOn w:val="TableNormal"/>
    <w:uiPriority w:val="99"/>
    <w:rsid w:val="00676882"/>
    <w:pPr>
      <w:spacing w:after="0" w:line="240" w:lineRule="atLeast"/>
    </w:pPr>
    <w:rPr>
      <w:rFonts w:ascii="HelveticaNeueLT Std Lt Cn" w:hAnsi="HelveticaNeueLT Std Lt Cn"/>
      <w:sz w:val="20"/>
      <w:lang w:val="en-US"/>
    </w:rPr>
    <w:tblPr>
      <w:tblBorders>
        <w:top w:val="single" w:sz="4" w:space="0" w:color="000100"/>
        <w:bottom w:val="single" w:sz="4" w:space="0" w:color="000100"/>
        <w:insideH w:val="single" w:sz="4" w:space="0" w:color="000100"/>
      </w:tblBorders>
      <w:tblCellMar>
        <w:left w:w="0" w:type="dxa"/>
        <w:right w:w="0" w:type="dxa"/>
      </w:tblCellMar>
    </w:tblPr>
    <w:tblStylePr w:type="firstRow">
      <w:pPr>
        <w:wordWrap/>
        <w:spacing w:beforeLines="0" w:before="0" w:beforeAutospacing="0" w:afterLines="0" w:after="0" w:afterAutospacing="0" w:line="240" w:lineRule="atLeast"/>
        <w:ind w:leftChars="0" w:left="0" w:rightChars="0" w:right="0" w:firstLineChars="0" w:firstLine="0"/>
        <w:contextualSpacing/>
        <w:mirrorIndents w:val="0"/>
        <w:jc w:val="left"/>
      </w:pPr>
      <w:rPr>
        <w:rFonts w:ascii="Myriad Pro" w:hAnsi="Myriad Pro"/>
        <w:color w:val="FFFEFF"/>
      </w:rPr>
      <w:tblPr/>
      <w:tcPr>
        <w:tcBorders>
          <w:top w:val="nil"/>
          <w:left w:val="nil"/>
          <w:bottom w:val="nil"/>
          <w:right w:val="nil"/>
          <w:insideH w:val="nil"/>
          <w:insideV w:val="nil"/>
          <w:tl2br w:val="nil"/>
          <w:tr2bl w:val="nil"/>
        </w:tcBorders>
        <w:shd w:val="clear" w:color="auto" w:fill="9757A6"/>
      </w:tcPr>
    </w:tblStylePr>
    <w:tblStylePr w:type="lastRow">
      <w:pPr>
        <w:wordWrap/>
        <w:spacing w:beforeLines="0" w:before="0" w:beforeAutospacing="0" w:afterLines="0" w:after="0" w:afterAutospacing="0" w:line="240" w:lineRule="atLeast"/>
      </w:pPr>
      <w:rPr>
        <w:rFonts w:ascii="Arial Bold" w:hAnsi="Arial Bold"/>
        <w:sz w:val="20"/>
      </w:rPr>
    </w:tblStylePr>
  </w:style>
  <w:style w:type="paragraph" w:customStyle="1" w:styleId="Clause1">
    <w:name w:val="Clause1"/>
    <w:basedOn w:val="Heading2"/>
    <w:rsid w:val="00676882"/>
    <w:pPr>
      <w:keepLines w:val="0"/>
      <w:numPr>
        <w:ilvl w:val="0"/>
        <w:numId w:val="78"/>
      </w:numPr>
      <w:pBdr>
        <w:bottom w:val="single" w:sz="8" w:space="3" w:color="C0C0C0"/>
        <w:between w:val="none" w:sz="0" w:space="0" w:color="auto"/>
      </w:pBdr>
      <w:tabs>
        <w:tab w:val="left" w:pos="851"/>
      </w:tabs>
      <w:spacing w:after="120" w:line="240" w:lineRule="auto"/>
      <w:jc w:val="both"/>
    </w:pPr>
    <w:rPr>
      <w:rFonts w:ascii="Arial" w:eastAsia="Times New Roman" w:hAnsi="Arial" w:cs="Times New Roman"/>
      <w:color w:val="4F6228"/>
      <w:sz w:val="24"/>
      <w:szCs w:val="20"/>
    </w:rPr>
  </w:style>
  <w:style w:type="paragraph" w:customStyle="1" w:styleId="Clause2">
    <w:name w:val="Clause2"/>
    <w:basedOn w:val="Normal"/>
    <w:uiPriority w:val="99"/>
    <w:rsid w:val="00676882"/>
    <w:pPr>
      <w:keepNext/>
      <w:numPr>
        <w:ilvl w:val="1"/>
        <w:numId w:val="78"/>
      </w:numPr>
      <w:spacing w:before="120" w:after="120" w:line="240" w:lineRule="auto"/>
      <w:jc w:val="both"/>
    </w:pPr>
    <w:rPr>
      <w:rFonts w:ascii="Arial" w:eastAsia="Times New Roman" w:hAnsi="Arial" w:cs="Times New Roman"/>
      <w:b/>
      <w:color w:val="4F6228"/>
      <w:sz w:val="20"/>
      <w:szCs w:val="20"/>
    </w:rPr>
  </w:style>
  <w:style w:type="paragraph" w:customStyle="1" w:styleId="Clause4">
    <w:name w:val="Clause4"/>
    <w:basedOn w:val="Normal"/>
    <w:uiPriority w:val="99"/>
    <w:qFormat/>
    <w:rsid w:val="00676882"/>
    <w:pPr>
      <w:numPr>
        <w:ilvl w:val="4"/>
        <w:numId w:val="78"/>
      </w:numPr>
      <w:spacing w:before="120" w:after="120" w:line="240" w:lineRule="auto"/>
      <w:jc w:val="both"/>
    </w:pPr>
    <w:rPr>
      <w:rFonts w:ascii="Arial" w:eastAsia="Times New Roman" w:hAnsi="Arial" w:cs="Times New Roman"/>
      <w:sz w:val="20"/>
      <w:szCs w:val="20"/>
    </w:rPr>
  </w:style>
  <w:style w:type="paragraph" w:customStyle="1" w:styleId="Clause5">
    <w:name w:val="Clause5"/>
    <w:basedOn w:val="Normal"/>
    <w:uiPriority w:val="99"/>
    <w:rsid w:val="00676882"/>
    <w:pPr>
      <w:numPr>
        <w:ilvl w:val="5"/>
        <w:numId w:val="78"/>
      </w:numPr>
      <w:spacing w:before="120" w:after="120" w:line="240" w:lineRule="auto"/>
      <w:jc w:val="both"/>
    </w:pPr>
    <w:rPr>
      <w:rFonts w:ascii="Arial" w:eastAsia="Times New Roman" w:hAnsi="Arial" w:cs="Times New Roman"/>
      <w:sz w:val="20"/>
      <w:szCs w:val="20"/>
    </w:rPr>
  </w:style>
  <w:style w:type="paragraph" w:customStyle="1" w:styleId="ClauseNoFormat">
    <w:name w:val="ClauseNoFormat"/>
    <w:basedOn w:val="Normal"/>
    <w:qFormat/>
    <w:rsid w:val="00676882"/>
    <w:pPr>
      <w:numPr>
        <w:ilvl w:val="3"/>
        <w:numId w:val="78"/>
      </w:numPr>
      <w:spacing w:before="120" w:after="120" w:line="240" w:lineRule="auto"/>
      <w:jc w:val="both"/>
    </w:pPr>
    <w:rPr>
      <w:rFonts w:ascii="Arial" w:eastAsia="Times New Roman" w:hAnsi="Arial"/>
      <w:sz w:val="20"/>
      <w:szCs w:val="20"/>
    </w:rPr>
  </w:style>
  <w:style w:type="numbering" w:customStyle="1" w:styleId="ACILAllenTableListNumbering">
    <w:name w:val="ACIL Allen Table List Numbering"/>
    <w:uiPriority w:val="99"/>
    <w:rsid w:val="00676882"/>
    <w:pPr>
      <w:numPr>
        <w:numId w:val="79"/>
      </w:numPr>
    </w:pPr>
  </w:style>
  <w:style w:type="numbering" w:customStyle="1" w:styleId="BulletLists">
    <w:name w:val="Bullet Lists"/>
    <w:uiPriority w:val="99"/>
    <w:rsid w:val="00676882"/>
    <w:pPr>
      <w:numPr>
        <w:numId w:val="80"/>
      </w:numPr>
    </w:pPr>
  </w:style>
  <w:style w:type="paragraph" w:customStyle="1" w:styleId="MELegal1">
    <w:name w:val="ME Legal 1"/>
    <w:aliases w:val="l1"/>
    <w:basedOn w:val="Normal"/>
    <w:next w:val="Normal"/>
    <w:rsid w:val="00676882"/>
    <w:pPr>
      <w:keepNext/>
      <w:numPr>
        <w:numId w:val="81"/>
      </w:numPr>
      <w:spacing w:before="280" w:after="140"/>
      <w:outlineLvl w:val="0"/>
    </w:pPr>
    <w:rPr>
      <w:rFonts w:ascii="Arial" w:eastAsia="Times New Roman" w:hAnsi="Arial" w:cs="Angsana New"/>
      <w:spacing w:val="-10"/>
      <w:w w:val="95"/>
      <w:sz w:val="32"/>
      <w:szCs w:val="32"/>
      <w:lang w:eastAsia="zh-CN" w:bidi="th-TH"/>
    </w:rPr>
  </w:style>
  <w:style w:type="paragraph" w:customStyle="1" w:styleId="MELegal2">
    <w:name w:val="ME Legal 2"/>
    <w:aliases w:val="l2"/>
    <w:basedOn w:val="Normal"/>
    <w:next w:val="Normal"/>
    <w:rsid w:val="00676882"/>
    <w:pPr>
      <w:keepNext/>
      <w:numPr>
        <w:ilvl w:val="1"/>
        <w:numId w:val="81"/>
      </w:numPr>
      <w:spacing w:before="60" w:after="60"/>
      <w:outlineLvl w:val="1"/>
    </w:pPr>
    <w:rPr>
      <w:rFonts w:ascii="Arial" w:eastAsia="Times New Roman" w:hAnsi="Arial" w:cs="Angsana New"/>
      <w:b/>
      <w:bCs/>
      <w:w w:val="95"/>
      <w:sz w:val="24"/>
      <w:szCs w:val="24"/>
      <w:lang w:eastAsia="zh-CN" w:bidi="th-TH"/>
    </w:rPr>
  </w:style>
  <w:style w:type="paragraph" w:customStyle="1" w:styleId="MELegal3">
    <w:name w:val="ME Legal 3"/>
    <w:aliases w:val="l3"/>
    <w:basedOn w:val="Normal"/>
    <w:rsid w:val="00676882"/>
    <w:pPr>
      <w:numPr>
        <w:ilvl w:val="2"/>
        <w:numId w:val="81"/>
      </w:numPr>
      <w:spacing w:before="0" w:after="140"/>
      <w:outlineLvl w:val="2"/>
    </w:pPr>
    <w:rPr>
      <w:rFonts w:ascii="Times New Roman" w:eastAsia="Times New Roman" w:hAnsi="Times New Roman" w:cs="Angsana New"/>
      <w:lang w:eastAsia="zh-CN" w:bidi="th-TH"/>
    </w:rPr>
  </w:style>
  <w:style w:type="paragraph" w:customStyle="1" w:styleId="MELegal4">
    <w:name w:val="ME Legal 4"/>
    <w:aliases w:val="l4"/>
    <w:basedOn w:val="Normal"/>
    <w:rsid w:val="00676882"/>
    <w:pPr>
      <w:numPr>
        <w:ilvl w:val="3"/>
        <w:numId w:val="81"/>
      </w:numPr>
      <w:spacing w:before="0" w:after="140"/>
      <w:outlineLvl w:val="3"/>
    </w:pPr>
    <w:rPr>
      <w:rFonts w:ascii="Times New Roman" w:eastAsia="Times New Roman" w:hAnsi="Times New Roman" w:cs="Angsana New"/>
      <w:lang w:eastAsia="zh-CN" w:bidi="th-TH"/>
    </w:rPr>
  </w:style>
  <w:style w:type="paragraph" w:customStyle="1" w:styleId="MELegal5">
    <w:name w:val="ME Legal 5"/>
    <w:aliases w:val="l5"/>
    <w:basedOn w:val="Normal"/>
    <w:rsid w:val="00676882"/>
    <w:pPr>
      <w:numPr>
        <w:ilvl w:val="4"/>
        <w:numId w:val="81"/>
      </w:numPr>
      <w:tabs>
        <w:tab w:val="clear" w:pos="2722"/>
      </w:tabs>
      <w:spacing w:before="0" w:after="140"/>
      <w:outlineLvl w:val="4"/>
    </w:pPr>
    <w:rPr>
      <w:rFonts w:ascii="Times New Roman" w:eastAsia="Times New Roman" w:hAnsi="Times New Roman" w:cs="Angsana New"/>
      <w:lang w:eastAsia="zh-CN" w:bidi="th-TH"/>
    </w:rPr>
  </w:style>
  <w:style w:type="paragraph" w:customStyle="1" w:styleId="MELegal6">
    <w:name w:val="ME Legal 6"/>
    <w:basedOn w:val="Normal"/>
    <w:rsid w:val="00676882"/>
    <w:pPr>
      <w:numPr>
        <w:ilvl w:val="5"/>
        <w:numId w:val="81"/>
      </w:numPr>
      <w:tabs>
        <w:tab w:val="clear" w:pos="3402"/>
      </w:tabs>
      <w:spacing w:before="0" w:after="140"/>
      <w:outlineLvl w:val="5"/>
    </w:pPr>
    <w:rPr>
      <w:rFonts w:ascii="Times New Roman" w:eastAsia="Times New Roman" w:hAnsi="Times New Roman" w:cs="Angsana New"/>
      <w:lang w:eastAsia="zh-CN" w:bidi="th-TH"/>
    </w:rPr>
  </w:style>
  <w:style w:type="paragraph" w:customStyle="1" w:styleId="MEBasic1">
    <w:name w:val="ME Basic 1"/>
    <w:basedOn w:val="Normal"/>
    <w:link w:val="MEBasic1Char"/>
    <w:rsid w:val="00676882"/>
    <w:pPr>
      <w:numPr>
        <w:numId w:val="82"/>
      </w:numPr>
      <w:spacing w:before="0" w:after="140"/>
      <w:outlineLvl w:val="0"/>
    </w:pPr>
    <w:rPr>
      <w:rFonts w:ascii="Times New Roman" w:eastAsia="Times New Roman" w:hAnsi="Times New Roman" w:cs="Angsana New"/>
      <w:lang w:eastAsia="zh-CN" w:bidi="th-TH"/>
    </w:rPr>
  </w:style>
  <w:style w:type="paragraph" w:customStyle="1" w:styleId="MEBasic2">
    <w:name w:val="ME Basic 2"/>
    <w:basedOn w:val="Normal"/>
    <w:rsid w:val="00676882"/>
    <w:pPr>
      <w:numPr>
        <w:ilvl w:val="1"/>
        <w:numId w:val="82"/>
      </w:numPr>
      <w:spacing w:before="0" w:after="140"/>
      <w:outlineLvl w:val="1"/>
    </w:pPr>
    <w:rPr>
      <w:rFonts w:ascii="Times New Roman" w:eastAsia="Times New Roman" w:hAnsi="Times New Roman" w:cs="Angsana New"/>
      <w:lang w:eastAsia="zh-CN" w:bidi="th-TH"/>
    </w:rPr>
  </w:style>
  <w:style w:type="paragraph" w:customStyle="1" w:styleId="MEBasic3">
    <w:name w:val="ME Basic 3"/>
    <w:basedOn w:val="Normal"/>
    <w:rsid w:val="00676882"/>
    <w:pPr>
      <w:numPr>
        <w:ilvl w:val="2"/>
        <w:numId w:val="82"/>
      </w:numPr>
      <w:spacing w:before="0" w:after="140"/>
      <w:outlineLvl w:val="2"/>
    </w:pPr>
    <w:rPr>
      <w:rFonts w:ascii="Times New Roman" w:eastAsia="Times New Roman" w:hAnsi="Times New Roman" w:cs="Angsana New"/>
      <w:lang w:eastAsia="zh-CN" w:bidi="th-TH"/>
    </w:rPr>
  </w:style>
  <w:style w:type="paragraph" w:customStyle="1" w:styleId="MEBasic4">
    <w:name w:val="ME Basic 4"/>
    <w:basedOn w:val="Normal"/>
    <w:rsid w:val="00676882"/>
    <w:pPr>
      <w:numPr>
        <w:ilvl w:val="3"/>
        <w:numId w:val="82"/>
      </w:numPr>
      <w:spacing w:before="0" w:after="140"/>
      <w:outlineLvl w:val="3"/>
    </w:pPr>
    <w:rPr>
      <w:rFonts w:ascii="Times New Roman" w:eastAsia="Times New Roman" w:hAnsi="Times New Roman" w:cs="Angsana New"/>
      <w:lang w:eastAsia="zh-CN" w:bidi="th-TH"/>
    </w:rPr>
  </w:style>
  <w:style w:type="paragraph" w:customStyle="1" w:styleId="MEBasic5">
    <w:name w:val="ME Basic 5"/>
    <w:basedOn w:val="Normal"/>
    <w:rsid w:val="00676882"/>
    <w:pPr>
      <w:numPr>
        <w:ilvl w:val="4"/>
        <w:numId w:val="82"/>
      </w:numPr>
      <w:spacing w:before="0" w:after="140"/>
      <w:outlineLvl w:val="4"/>
    </w:pPr>
    <w:rPr>
      <w:rFonts w:ascii="Times New Roman" w:eastAsia="Times New Roman" w:hAnsi="Times New Roman" w:cs="Angsana New"/>
      <w:lang w:eastAsia="zh-CN" w:bidi="th-TH"/>
    </w:rPr>
  </w:style>
  <w:style w:type="paragraph" w:customStyle="1" w:styleId="MENoIndent1">
    <w:name w:val="ME NoIndent 1"/>
    <w:basedOn w:val="Normal"/>
    <w:next w:val="Normal"/>
    <w:rsid w:val="00676882"/>
    <w:pPr>
      <w:numPr>
        <w:numId w:val="83"/>
      </w:numPr>
      <w:spacing w:before="0" w:after="0" w:line="240" w:lineRule="auto"/>
    </w:pPr>
    <w:rPr>
      <w:rFonts w:ascii="Times New Roman" w:eastAsia="Times New Roman" w:hAnsi="Times New Roman" w:cs="Times New Roman"/>
      <w:sz w:val="24"/>
      <w:szCs w:val="20"/>
      <w:lang w:eastAsia="en-AU"/>
    </w:rPr>
  </w:style>
  <w:style w:type="character" w:customStyle="1" w:styleId="MEBasic1Char">
    <w:name w:val="ME Basic 1 Char"/>
    <w:link w:val="MEBasic1"/>
    <w:rsid w:val="00676882"/>
    <w:rPr>
      <w:rFonts w:ascii="Times New Roman" w:eastAsia="Times New Roman" w:hAnsi="Times New Roman" w:cs="Angsana New"/>
      <w:lang w:eastAsia="zh-CN" w:bidi="th-TH"/>
    </w:rPr>
  </w:style>
  <w:style w:type="paragraph" w:customStyle="1" w:styleId="LegalBodyText1">
    <w:name w:val="Legal Body Text 1"/>
    <w:basedOn w:val="BodyText"/>
    <w:qFormat/>
    <w:rsid w:val="00676882"/>
    <w:pPr>
      <w:spacing w:before="120" w:after="120" w:line="240" w:lineRule="auto"/>
    </w:pPr>
    <w:rPr>
      <w:rFonts w:ascii="Arial" w:eastAsia="Calibri" w:hAnsi="Arial"/>
    </w:rPr>
  </w:style>
  <w:style w:type="paragraph" w:customStyle="1" w:styleId="LegalHeading3">
    <w:name w:val="Legal Heading 3"/>
    <w:basedOn w:val="Normal"/>
    <w:next w:val="Normal"/>
    <w:qFormat/>
    <w:rsid w:val="00676882"/>
    <w:pPr>
      <w:keepNext/>
      <w:keepLines/>
      <w:pBdr>
        <w:bottom w:val="single" w:sz="4" w:space="1" w:color="auto"/>
      </w:pBdr>
      <w:spacing w:before="200" w:after="0" w:line="240" w:lineRule="auto"/>
      <w:outlineLvl w:val="2"/>
    </w:pPr>
    <w:rPr>
      <w:rFonts w:ascii="Arial" w:eastAsia="Times New Roman" w:hAnsi="Arial"/>
      <w:bCs/>
      <w:sz w:val="42"/>
      <w:szCs w:val="42"/>
    </w:rPr>
  </w:style>
  <w:style w:type="paragraph" w:customStyle="1" w:styleId="tabletext2">
    <w:name w:val="table text"/>
    <w:basedOn w:val="Normal"/>
    <w:rsid w:val="00676882"/>
    <w:pPr>
      <w:tabs>
        <w:tab w:val="left" w:pos="720"/>
      </w:tabs>
      <w:spacing w:before="40" w:after="40"/>
      <w:ind w:left="1134"/>
    </w:pPr>
    <w:rPr>
      <w:rFonts w:eastAsia="Times New Roman" w:cs="Arial Narrow"/>
    </w:rPr>
  </w:style>
  <w:style w:type="paragraph" w:customStyle="1" w:styleId="LegalBodyText3">
    <w:name w:val="Legal Body Text 3"/>
    <w:basedOn w:val="LegalBodyText2"/>
    <w:qFormat/>
    <w:rsid w:val="00676882"/>
    <w:pPr>
      <w:tabs>
        <w:tab w:val="clear" w:pos="851"/>
        <w:tab w:val="left" w:pos="1418"/>
      </w:tabs>
      <w:ind w:left="1418"/>
    </w:pPr>
  </w:style>
  <w:style w:type="paragraph" w:customStyle="1" w:styleId="LegalScheduleLevel6">
    <w:name w:val="Legal Schedule Level 6"/>
    <w:basedOn w:val="LegalClauseLevel5"/>
    <w:qFormat/>
    <w:rsid w:val="00676882"/>
    <w:pPr>
      <w:numPr>
        <w:ilvl w:val="7"/>
      </w:numPr>
    </w:pPr>
  </w:style>
  <w:style w:type="paragraph" w:customStyle="1" w:styleId="LegalBodyText2">
    <w:name w:val="Legal Body Text 2"/>
    <w:basedOn w:val="LegalBodyText1"/>
    <w:qFormat/>
    <w:rsid w:val="00676882"/>
    <w:pPr>
      <w:tabs>
        <w:tab w:val="left" w:pos="851"/>
      </w:tabs>
      <w:ind w:left="851"/>
    </w:pPr>
  </w:style>
  <w:style w:type="paragraph" w:customStyle="1" w:styleId="LegalClauseLevel4">
    <w:name w:val="Legal Clause Level 4"/>
    <w:basedOn w:val="Normal"/>
    <w:qFormat/>
    <w:rsid w:val="00676882"/>
    <w:pPr>
      <w:spacing w:before="0" w:after="140"/>
      <w:outlineLvl w:val="3"/>
    </w:pPr>
    <w:rPr>
      <w:rFonts w:ascii="Arial" w:eastAsia="Times New Roman" w:hAnsi="Arial"/>
      <w:lang w:eastAsia="zh-CN" w:bidi="th-TH"/>
    </w:rPr>
  </w:style>
  <w:style w:type="paragraph" w:customStyle="1" w:styleId="LegalClauseLevel5">
    <w:name w:val="Legal Clause Level 5"/>
    <w:basedOn w:val="Normal"/>
    <w:qFormat/>
    <w:rsid w:val="00676882"/>
    <w:pPr>
      <w:numPr>
        <w:ilvl w:val="4"/>
        <w:numId w:val="85"/>
      </w:numPr>
      <w:spacing w:before="0" w:after="140"/>
      <w:outlineLvl w:val="4"/>
    </w:pPr>
    <w:rPr>
      <w:rFonts w:ascii="Arial" w:eastAsia="Times New Roman" w:hAnsi="Arial"/>
      <w:lang w:eastAsia="zh-CN" w:bidi="th-TH"/>
    </w:rPr>
  </w:style>
  <w:style w:type="paragraph" w:customStyle="1" w:styleId="LegalHeading2subtitle">
    <w:name w:val="Legal Heading 2 subtitle"/>
    <w:basedOn w:val="Normal"/>
    <w:next w:val="LegalBodyText1"/>
    <w:qFormat/>
    <w:rsid w:val="00676882"/>
    <w:pPr>
      <w:pBdr>
        <w:bottom w:val="single" w:sz="4" w:space="1" w:color="auto"/>
      </w:pBdr>
      <w:spacing w:before="240" w:after="240" w:line="240" w:lineRule="auto"/>
    </w:pPr>
    <w:rPr>
      <w:rFonts w:ascii="Arial" w:eastAsia="Times New Roman" w:hAnsi="Arial"/>
      <w:spacing w:val="5"/>
      <w:kern w:val="28"/>
      <w:sz w:val="36"/>
      <w:szCs w:val="36"/>
    </w:rPr>
  </w:style>
  <w:style w:type="paragraph" w:customStyle="1" w:styleId="LegalNote">
    <w:name w:val="Legal Note"/>
    <w:basedOn w:val="Normal"/>
    <w:qFormat/>
    <w:rsid w:val="00676882"/>
    <w:pPr>
      <w:pBdr>
        <w:top w:val="single" w:sz="4" w:space="1" w:color="auto"/>
        <w:left w:val="single" w:sz="4" w:space="4" w:color="auto"/>
        <w:bottom w:val="single" w:sz="4" w:space="1" w:color="auto"/>
        <w:right w:val="single" w:sz="4" w:space="4" w:color="auto"/>
      </w:pBdr>
      <w:shd w:val="clear" w:color="auto" w:fill="548DD4"/>
      <w:tabs>
        <w:tab w:val="left" w:pos="851"/>
      </w:tabs>
      <w:spacing w:before="120" w:after="120" w:line="240" w:lineRule="auto"/>
      <w:ind w:left="851"/>
    </w:pPr>
    <w:rPr>
      <w:rFonts w:ascii="Arial" w:eastAsia="Calibri" w:hAnsi="Arial" w:cs="Times New Roman"/>
      <w:b/>
      <w:i/>
    </w:rPr>
  </w:style>
  <w:style w:type="paragraph" w:customStyle="1" w:styleId="LegalScheduleLevel1">
    <w:name w:val="Legal Schedule Level 1"/>
    <w:basedOn w:val="Normal"/>
    <w:qFormat/>
    <w:rsid w:val="00676882"/>
    <w:pPr>
      <w:numPr>
        <w:numId w:val="84"/>
      </w:numPr>
      <w:spacing w:before="240" w:after="240" w:line="240" w:lineRule="auto"/>
    </w:pPr>
    <w:rPr>
      <w:rFonts w:ascii="Arial" w:eastAsia="Calibri" w:hAnsi="Arial"/>
      <w:b/>
      <w:sz w:val="32"/>
      <w:szCs w:val="32"/>
    </w:rPr>
  </w:style>
  <w:style w:type="paragraph" w:customStyle="1" w:styleId="LegalScheduleLevel2">
    <w:name w:val="Legal Schedule Level 2"/>
    <w:basedOn w:val="Normal"/>
    <w:qFormat/>
    <w:rsid w:val="00676882"/>
    <w:pPr>
      <w:keepNext/>
      <w:keepLines/>
      <w:numPr>
        <w:ilvl w:val="1"/>
        <w:numId w:val="84"/>
      </w:numPr>
      <w:spacing w:before="60" w:after="60" w:line="280" w:lineRule="exact"/>
      <w:outlineLvl w:val="2"/>
    </w:pPr>
    <w:rPr>
      <w:rFonts w:ascii="Arial" w:eastAsia="Times New Roman" w:hAnsi="Arial"/>
      <w:b/>
      <w:bCs/>
      <w:w w:val="95"/>
      <w:sz w:val="24"/>
      <w:szCs w:val="24"/>
      <w:lang w:eastAsia="zh-CN" w:bidi="th-TH"/>
    </w:rPr>
  </w:style>
  <w:style w:type="paragraph" w:customStyle="1" w:styleId="LegalScheduleLevel4">
    <w:name w:val="Legal Schedule Level 4"/>
    <w:basedOn w:val="LegalClauseLevel4"/>
    <w:qFormat/>
    <w:rsid w:val="00676882"/>
    <w:pPr>
      <w:numPr>
        <w:ilvl w:val="3"/>
        <w:numId w:val="84"/>
      </w:numPr>
      <w:tabs>
        <w:tab w:val="clear" w:pos="1560"/>
        <w:tab w:val="num" w:pos="1985"/>
      </w:tabs>
      <w:ind w:left="1985"/>
    </w:pPr>
  </w:style>
  <w:style w:type="paragraph" w:customStyle="1" w:styleId="LegalScheduleLevel5">
    <w:name w:val="Legal Schedule Level 5"/>
    <w:basedOn w:val="LegalClauseLevel5"/>
    <w:qFormat/>
    <w:rsid w:val="00676882"/>
    <w:pPr>
      <w:numPr>
        <w:numId w:val="84"/>
      </w:numPr>
    </w:pPr>
  </w:style>
  <w:style w:type="paragraph" w:customStyle="1" w:styleId="PlainParagraph">
    <w:name w:val="Plain Paragraph"/>
    <w:aliases w:val="PP"/>
    <w:basedOn w:val="Normal"/>
    <w:link w:val="PlainParagraphChar"/>
    <w:uiPriority w:val="4"/>
    <w:qFormat/>
    <w:rsid w:val="00676882"/>
    <w:pPr>
      <w:spacing w:before="140" w:after="140"/>
      <w:ind w:left="1134"/>
    </w:pPr>
    <w:rPr>
      <w:rFonts w:ascii="Arial" w:eastAsia="Times New Roman" w:hAnsi="Arial"/>
      <w:lang w:eastAsia="en-AU"/>
    </w:rPr>
  </w:style>
  <w:style w:type="character" w:customStyle="1" w:styleId="zDPDocumentType">
    <w:name w:val="zDP Document Type"/>
    <w:semiHidden/>
    <w:rsid w:val="00676882"/>
  </w:style>
  <w:style w:type="character" w:customStyle="1" w:styleId="PlainParagraphChar">
    <w:name w:val="Plain Paragraph Char"/>
    <w:aliases w:val="PP Char"/>
    <w:basedOn w:val="DefaultParagraphFont"/>
    <w:link w:val="PlainParagraph"/>
    <w:uiPriority w:val="4"/>
    <w:locked/>
    <w:rsid w:val="00676882"/>
    <w:rPr>
      <w:rFonts w:ascii="Arial" w:eastAsia="Times New Roman" w:hAnsi="Arial" w:cs="Arial"/>
      <w:lang w:eastAsia="en-AU"/>
    </w:rPr>
  </w:style>
  <w:style w:type="paragraph" w:customStyle="1" w:styleId="LegalScheduleLevel3">
    <w:name w:val="Legal Schedule Level 3"/>
    <w:basedOn w:val="Normal"/>
    <w:qFormat/>
    <w:rsid w:val="00676882"/>
    <w:pPr>
      <w:tabs>
        <w:tab w:val="num" w:pos="851"/>
      </w:tabs>
      <w:spacing w:before="0" w:after="140"/>
      <w:ind w:left="851" w:hanging="851"/>
      <w:outlineLvl w:val="3"/>
    </w:pPr>
    <w:rPr>
      <w:rFonts w:ascii="Arial" w:eastAsia="Times New Roman" w:hAnsi="Arial"/>
      <w:lang w:eastAsia="zh-CN" w:bidi="th-TH"/>
    </w:rPr>
  </w:style>
  <w:style w:type="paragraph" w:customStyle="1" w:styleId="LegalParties">
    <w:name w:val="Legal Parties"/>
    <w:basedOn w:val="LegalScheduleLevel1"/>
    <w:qFormat/>
    <w:rsid w:val="00676882"/>
    <w:pPr>
      <w:numPr>
        <w:numId w:val="86"/>
      </w:numPr>
      <w:tabs>
        <w:tab w:val="left" w:pos="851"/>
      </w:tabs>
      <w:spacing w:before="120" w:after="120"/>
    </w:pPr>
    <w:rPr>
      <w:b w:val="0"/>
      <w:sz w:val="22"/>
    </w:rPr>
  </w:style>
  <w:style w:type="paragraph" w:customStyle="1" w:styleId="LegalCoverPageNames">
    <w:name w:val="Legal Cover Page Names"/>
    <w:basedOn w:val="Normal"/>
    <w:qFormat/>
    <w:rsid w:val="00676882"/>
    <w:pPr>
      <w:spacing w:before="240" w:after="120" w:line="240" w:lineRule="auto"/>
    </w:pPr>
    <w:rPr>
      <w:rFonts w:ascii="Arial" w:eastAsia="Times New Roman" w:hAnsi="Arial" w:cs="Angsana New"/>
      <w:sz w:val="28"/>
      <w:szCs w:val="28"/>
      <w:lang w:eastAsia="zh-CN" w:bidi="th-TH"/>
    </w:rPr>
  </w:style>
  <w:style w:type="paragraph" w:customStyle="1" w:styleId="LegalDefinition">
    <w:name w:val="Legal Definition"/>
    <w:basedOn w:val="Normal"/>
    <w:qFormat/>
    <w:rsid w:val="00676882"/>
    <w:pPr>
      <w:spacing w:before="0" w:after="140"/>
    </w:pPr>
    <w:rPr>
      <w:rFonts w:ascii="Arial" w:eastAsia="Times New Roman" w:hAnsi="Arial"/>
      <w:lang w:eastAsia="zh-CN" w:bidi="th-TH"/>
    </w:rPr>
  </w:style>
  <w:style w:type="paragraph" w:customStyle="1" w:styleId="LegalHeading4subheading">
    <w:name w:val="Legal Heading 4 subheading"/>
    <w:basedOn w:val="LegalHeading2subtitle"/>
    <w:qFormat/>
    <w:rsid w:val="00676882"/>
    <w:pPr>
      <w:pBdr>
        <w:bottom w:val="none" w:sz="0" w:space="0" w:color="auto"/>
      </w:pBdr>
    </w:pPr>
  </w:style>
  <w:style w:type="paragraph" w:customStyle="1" w:styleId="LegalDefinedterm">
    <w:name w:val="Legal Defined term"/>
    <w:basedOn w:val="Normal"/>
    <w:qFormat/>
    <w:rsid w:val="00676882"/>
    <w:pPr>
      <w:spacing w:before="0" w:after="140"/>
    </w:pPr>
    <w:rPr>
      <w:rFonts w:ascii="Arial Bold" w:eastAsia="Times New Roman" w:hAnsi="Arial Bold"/>
      <w:b/>
      <w:lang w:eastAsia="zh-CN" w:bidi="th-TH"/>
    </w:rPr>
  </w:style>
  <w:style w:type="paragraph" w:customStyle="1" w:styleId="3Address">
    <w:name w:val="3. Address"/>
    <w:basedOn w:val="PlainParagraph"/>
    <w:semiHidden/>
    <w:rsid w:val="00676882"/>
    <w:pPr>
      <w:keepLines/>
      <w:widowControl w:val="0"/>
      <w:spacing w:before="0" w:after="0"/>
    </w:pPr>
  </w:style>
  <w:style w:type="paragraph" w:customStyle="1" w:styleId="Text">
    <w:name w:val="Text"/>
    <w:basedOn w:val="Normal"/>
    <w:rsid w:val="00676882"/>
    <w:pPr>
      <w:keepLines/>
      <w:spacing w:before="0" w:after="180" w:line="270" w:lineRule="exact"/>
      <w:jc w:val="both"/>
    </w:pPr>
    <w:rPr>
      <w:rFonts w:ascii="Times New Roman" w:eastAsia="Times New Roman" w:hAnsi="Times New Roman" w:cs="Times New Roman"/>
      <w:szCs w:val="20"/>
    </w:rPr>
  </w:style>
  <w:style w:type="paragraph" w:customStyle="1" w:styleId="TextDotPoint">
    <w:name w:val="Text Dot Point"/>
    <w:basedOn w:val="Text"/>
    <w:rsid w:val="00676882"/>
    <w:pPr>
      <w:numPr>
        <w:numId w:val="87"/>
      </w:numPr>
      <w:spacing w:after="160"/>
    </w:pPr>
  </w:style>
  <w:style w:type="paragraph" w:customStyle="1" w:styleId="TextDashPoint">
    <w:name w:val="Text Dash Point"/>
    <w:basedOn w:val="Normal"/>
    <w:rsid w:val="00676882"/>
    <w:pPr>
      <w:numPr>
        <w:numId w:val="88"/>
      </w:numPr>
      <w:spacing w:before="0" w:after="160" w:line="270" w:lineRule="exact"/>
      <w:ind w:left="714" w:hanging="357"/>
      <w:jc w:val="both"/>
    </w:pPr>
    <w:rPr>
      <w:rFonts w:ascii="Times New Roman" w:eastAsia="Times New Roman" w:hAnsi="Times New Roman" w:cs="Times New Roman"/>
      <w:szCs w:val="20"/>
    </w:rPr>
  </w:style>
  <w:style w:type="character" w:customStyle="1" w:styleId="UnresolvedMention2">
    <w:name w:val="Unresolved Mention2"/>
    <w:basedOn w:val="DefaultParagraphFont"/>
    <w:uiPriority w:val="99"/>
    <w:semiHidden/>
    <w:unhideWhenUsed/>
    <w:rsid w:val="00676882"/>
    <w:rPr>
      <w:color w:val="605E5C"/>
      <w:shd w:val="clear" w:color="auto" w:fill="E1DFDD"/>
    </w:rPr>
  </w:style>
  <w:style w:type="table" w:customStyle="1" w:styleId="DPIEnormal">
    <w:name w:val="DPIE normal"/>
    <w:basedOn w:val="TableNormal"/>
    <w:uiPriority w:val="99"/>
    <w:rsid w:val="00676882"/>
    <w:pPr>
      <w:spacing w:after="0" w:line="240" w:lineRule="auto"/>
    </w:pPr>
    <w:rPr>
      <w:rFonts w:ascii="Arial" w:hAnsi="Arial"/>
      <w:sz w:val="20"/>
    </w:rPr>
    <w:tblPr>
      <w:tblBorders>
        <w:bottom w:val="single" w:sz="4" w:space="0" w:color="44546A" w:themeColor="text2"/>
        <w:insideH w:val="single" w:sz="4" w:space="0" w:color="44546A" w:themeColor="text2"/>
        <w:insideV w:val="single" w:sz="4" w:space="0" w:color="44546A" w:themeColor="text2"/>
      </w:tblBorders>
      <w:tblCellMar>
        <w:left w:w="85" w:type="dxa"/>
        <w:right w:w="85" w:type="dxa"/>
      </w:tblCellMar>
    </w:tblPr>
    <w:trPr>
      <w:cantSplit/>
    </w:trPr>
    <w:tblStylePr w:type="firstRow">
      <w:pPr>
        <w:jc w:val="left"/>
      </w:pPr>
      <w:rPr>
        <w:b/>
      </w:rPr>
      <w:tblPr/>
      <w:trPr>
        <w:tblHeader/>
      </w:trPr>
      <w:tcPr>
        <w:tcBorders>
          <w:top w:val="nil"/>
          <w:left w:val="nil"/>
          <w:bottom w:val="single" w:sz="4" w:space="0" w:color="FFC000" w:themeColor="accent4"/>
          <w:right w:val="nil"/>
          <w:insideH w:val="single" w:sz="4" w:space="0" w:color="44546A" w:themeColor="text2"/>
          <w:insideV w:val="single" w:sz="4" w:space="0" w:color="44546A" w:themeColor="text2"/>
        </w:tcBorders>
        <w:shd w:val="clear" w:color="auto" w:fill="E7E6E6" w:themeFill="background2"/>
      </w:tcPr>
    </w:tblStylePr>
  </w:style>
  <w:style w:type="character" w:customStyle="1" w:styleId="FootnoteTextChar1">
    <w:name w:val="Footnote Text Char1"/>
    <w:aliases w:val="Footnote Text Char Char Char1"/>
    <w:basedOn w:val="DefaultParagraphFont"/>
    <w:uiPriority w:val="99"/>
    <w:semiHidden/>
    <w:rsid w:val="00676882"/>
    <w:rPr>
      <w:rFonts w:ascii="Arial Narrow" w:hAnsi="Arial Narrow"/>
      <w:sz w:val="20"/>
      <w:szCs w:val="20"/>
      <w:lang w:val="en-AU"/>
    </w:rPr>
  </w:style>
  <w:style w:type="paragraph" w:customStyle="1" w:styleId="ECABodyCopy">
    <w:name w:val="ECA Body Copy"/>
    <w:basedOn w:val="Normal"/>
    <w:qFormat/>
    <w:rsid w:val="00676882"/>
    <w:pPr>
      <w:spacing w:before="0" w:after="170" w:line="240" w:lineRule="atLeast"/>
    </w:pPr>
    <w:rPr>
      <w:rFonts w:asciiTheme="minorHAnsi" w:hAnsiTheme="minorHAnsi" w:cstheme="minorBidi"/>
      <w:sz w:val="20"/>
      <w:szCs w:val="19"/>
    </w:rPr>
  </w:style>
  <w:style w:type="character" w:customStyle="1" w:styleId="textrun">
    <w:name w:val="textrun"/>
    <w:basedOn w:val="DefaultParagraphFont"/>
    <w:rsid w:val="00676882"/>
  </w:style>
  <w:style w:type="paragraph" w:customStyle="1" w:styleId="TableTextDotPoint">
    <w:name w:val="TableTextDotPoint"/>
    <w:basedOn w:val="TableText0"/>
    <w:rsid w:val="00676882"/>
    <w:pPr>
      <w:keepLines w:val="0"/>
      <w:numPr>
        <w:numId w:val="89"/>
      </w:numPr>
      <w:tabs>
        <w:tab w:val="clear" w:pos="1074"/>
        <w:tab w:val="left" w:pos="357"/>
      </w:tabs>
      <w:spacing w:before="60" w:after="60"/>
      <w:ind w:left="357" w:right="57" w:hanging="357"/>
    </w:pPr>
    <w:rPr>
      <w:rFonts w:ascii="Arial" w:eastAsia="Times New Roman" w:hAnsi="Arial" w:cs="Times New Roman"/>
      <w:sz w:val="18"/>
      <w:lang w:eastAsia="en-US"/>
    </w:rPr>
  </w:style>
  <w:style w:type="character" w:customStyle="1" w:styleId="apple-converted-space">
    <w:name w:val="apple-converted-space"/>
    <w:basedOn w:val="DefaultParagraphFont"/>
    <w:rsid w:val="00676882"/>
  </w:style>
  <w:style w:type="paragraph" w:customStyle="1" w:styleId="xl66">
    <w:name w:val="xl66"/>
    <w:basedOn w:val="Normal"/>
    <w:rsid w:val="00676882"/>
    <w:pPr>
      <w:spacing w:before="100" w:beforeAutospacing="1" w:after="100" w:afterAutospacing="1" w:line="240" w:lineRule="auto"/>
      <w:jc w:val="center"/>
    </w:pPr>
    <w:rPr>
      <w:rFonts w:ascii="Times New Roman" w:eastAsia="Times New Roman" w:hAnsi="Times New Roman" w:cs="Times New Roman"/>
      <w:sz w:val="24"/>
      <w:szCs w:val="24"/>
      <w:lang w:eastAsia="en-AU"/>
    </w:rPr>
  </w:style>
  <w:style w:type="paragraph" w:customStyle="1" w:styleId="xl67">
    <w:name w:val="xl67"/>
    <w:basedOn w:val="Normal"/>
    <w:rsid w:val="0067688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xl68">
    <w:name w:val="xl68"/>
    <w:basedOn w:val="Normal"/>
    <w:rsid w:val="0067688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ashtag1">
    <w:name w:val="Hashtag1"/>
    <w:basedOn w:val="DefaultParagraphFont"/>
    <w:uiPriority w:val="99"/>
    <w:semiHidden/>
    <w:unhideWhenUsed/>
    <w:rsid w:val="00676882"/>
    <w:rPr>
      <w:color w:val="2B579A"/>
      <w:shd w:val="clear" w:color="auto" w:fill="E1DFDD"/>
    </w:rPr>
  </w:style>
  <w:style w:type="character" w:customStyle="1" w:styleId="Mention1">
    <w:name w:val="Mention1"/>
    <w:basedOn w:val="DefaultParagraphFont"/>
    <w:uiPriority w:val="99"/>
    <w:semiHidden/>
    <w:unhideWhenUsed/>
    <w:rsid w:val="00676882"/>
    <w:rPr>
      <w:color w:val="2B579A"/>
      <w:shd w:val="clear" w:color="auto" w:fill="E1DFDD"/>
    </w:rPr>
  </w:style>
  <w:style w:type="character" w:customStyle="1" w:styleId="SmartHyperlink1">
    <w:name w:val="Smart Hyperlink1"/>
    <w:basedOn w:val="DefaultParagraphFont"/>
    <w:uiPriority w:val="99"/>
    <w:semiHidden/>
    <w:unhideWhenUsed/>
    <w:rsid w:val="00676882"/>
    <w:rPr>
      <w:u w:val="dotted"/>
    </w:rPr>
  </w:style>
  <w:style w:type="character" w:customStyle="1" w:styleId="SmartLink1">
    <w:name w:val="SmartLink1"/>
    <w:basedOn w:val="DefaultParagraphFont"/>
    <w:uiPriority w:val="99"/>
    <w:semiHidden/>
    <w:unhideWhenUsed/>
    <w:rsid w:val="00676882"/>
    <w:rPr>
      <w:color w:val="0000FF"/>
      <w:u w:val="single"/>
      <w:shd w:val="clear" w:color="auto" w:fill="F3F2F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eader" Target="header32.xml"/><Relationship Id="rId21" Type="http://schemas.openxmlformats.org/officeDocument/2006/relationships/header" Target="header7.xml"/><Relationship Id="rId42" Type="http://schemas.openxmlformats.org/officeDocument/2006/relationships/header" Target="header13.xml"/><Relationship Id="rId63" Type="http://schemas.openxmlformats.org/officeDocument/2006/relationships/image" Target="media/image26.png"/><Relationship Id="rId84" Type="http://schemas.openxmlformats.org/officeDocument/2006/relationships/footer" Target="footer20.xml"/><Relationship Id="rId138" Type="http://schemas.openxmlformats.org/officeDocument/2006/relationships/image" Target="media/image56.png"/><Relationship Id="rId159" Type="http://schemas.openxmlformats.org/officeDocument/2006/relationships/image" Target="media/image69.png"/><Relationship Id="rId170" Type="http://schemas.openxmlformats.org/officeDocument/2006/relationships/header" Target="header43.xml"/><Relationship Id="rId107" Type="http://schemas.openxmlformats.org/officeDocument/2006/relationships/image" Target="media/image42.png"/><Relationship Id="rId11" Type="http://schemas.openxmlformats.org/officeDocument/2006/relationships/footer" Target="footer1.xml"/><Relationship Id="rId32" Type="http://schemas.openxmlformats.org/officeDocument/2006/relationships/image" Target="media/image7.png"/><Relationship Id="rId53" Type="http://schemas.openxmlformats.org/officeDocument/2006/relationships/image" Target="media/image16.png"/><Relationship Id="rId74" Type="http://schemas.openxmlformats.org/officeDocument/2006/relationships/chart" Target="charts/chart1.xml"/><Relationship Id="rId128" Type="http://schemas.openxmlformats.org/officeDocument/2006/relationships/image" Target="media/image53.png"/><Relationship Id="rId149" Type="http://schemas.openxmlformats.org/officeDocument/2006/relationships/image" Target="media/image59.png"/><Relationship Id="rId5" Type="http://schemas.openxmlformats.org/officeDocument/2006/relationships/webSettings" Target="webSettings.xml"/><Relationship Id="rId95" Type="http://schemas.openxmlformats.org/officeDocument/2006/relationships/footer" Target="footer25.xml"/><Relationship Id="rId160" Type="http://schemas.openxmlformats.org/officeDocument/2006/relationships/image" Target="media/image70.png"/><Relationship Id="rId181" Type="http://schemas.openxmlformats.org/officeDocument/2006/relationships/theme" Target="theme/theme1.xml"/><Relationship Id="rId22" Type="http://schemas.openxmlformats.org/officeDocument/2006/relationships/image" Target="media/image2.png"/><Relationship Id="rId43" Type="http://schemas.openxmlformats.org/officeDocument/2006/relationships/footer" Target="footer13.xml"/><Relationship Id="rId64" Type="http://schemas.openxmlformats.org/officeDocument/2006/relationships/image" Target="media/image27.png"/><Relationship Id="rId118" Type="http://schemas.openxmlformats.org/officeDocument/2006/relationships/header" Target="header33.xml"/><Relationship Id="rId139" Type="http://schemas.openxmlformats.org/officeDocument/2006/relationships/header" Target="header38.xml"/><Relationship Id="rId85" Type="http://schemas.openxmlformats.org/officeDocument/2006/relationships/header" Target="header21.xml"/><Relationship Id="rId150" Type="http://schemas.openxmlformats.org/officeDocument/2006/relationships/image" Target="media/image60.png"/><Relationship Id="rId171" Type="http://schemas.openxmlformats.org/officeDocument/2006/relationships/footer" Target="footer42.xml"/><Relationship Id="rId12" Type="http://schemas.openxmlformats.org/officeDocument/2006/relationships/footer" Target="footer2.xml"/><Relationship Id="rId33" Type="http://schemas.openxmlformats.org/officeDocument/2006/relationships/image" Target="media/image8.png"/><Relationship Id="rId108" Type="http://schemas.openxmlformats.org/officeDocument/2006/relationships/image" Target="media/image43.png"/><Relationship Id="rId129" Type="http://schemas.openxmlformats.org/officeDocument/2006/relationships/chart" Target="charts/chart2.xml"/><Relationship Id="rId54" Type="http://schemas.openxmlformats.org/officeDocument/2006/relationships/image" Target="media/image17.png"/><Relationship Id="rId75" Type="http://schemas.openxmlformats.org/officeDocument/2006/relationships/header" Target="header16.xml"/><Relationship Id="rId96" Type="http://schemas.openxmlformats.org/officeDocument/2006/relationships/header" Target="header26.xml"/><Relationship Id="rId140" Type="http://schemas.openxmlformats.org/officeDocument/2006/relationships/footer" Target="footer37.xml"/><Relationship Id="rId161" Type="http://schemas.openxmlformats.org/officeDocument/2006/relationships/image" Target="media/image71.png"/><Relationship Id="rId6" Type="http://schemas.openxmlformats.org/officeDocument/2006/relationships/footnotes" Target="footnotes.xml"/><Relationship Id="rId23" Type="http://schemas.openxmlformats.org/officeDocument/2006/relationships/image" Target="media/image3.png"/><Relationship Id="rId119" Type="http://schemas.openxmlformats.org/officeDocument/2006/relationships/footer" Target="footer31.xml"/><Relationship Id="rId44" Type="http://schemas.openxmlformats.org/officeDocument/2006/relationships/image" Target="media/image11.png"/><Relationship Id="rId60" Type="http://schemas.openxmlformats.org/officeDocument/2006/relationships/image" Target="media/image23.png"/><Relationship Id="rId65" Type="http://schemas.openxmlformats.org/officeDocument/2006/relationships/image" Target="media/image28.png"/><Relationship Id="rId81" Type="http://schemas.openxmlformats.org/officeDocument/2006/relationships/header" Target="header19.xml"/><Relationship Id="rId86" Type="http://schemas.openxmlformats.org/officeDocument/2006/relationships/footer" Target="footer21.xml"/><Relationship Id="rId130" Type="http://schemas.openxmlformats.org/officeDocument/2006/relationships/chart" Target="charts/chart3.xml"/><Relationship Id="rId135" Type="http://schemas.openxmlformats.org/officeDocument/2006/relationships/header" Target="header37.xml"/><Relationship Id="rId151" Type="http://schemas.openxmlformats.org/officeDocument/2006/relationships/image" Target="media/image61.png"/><Relationship Id="rId156" Type="http://schemas.openxmlformats.org/officeDocument/2006/relationships/image" Target="media/image66.png"/><Relationship Id="rId177" Type="http://schemas.openxmlformats.org/officeDocument/2006/relationships/header" Target="header46.xml"/><Relationship Id="rId172" Type="http://schemas.openxmlformats.org/officeDocument/2006/relationships/image" Target="media/image78.png"/><Relationship Id="rId13" Type="http://schemas.openxmlformats.org/officeDocument/2006/relationships/header" Target="header3.xml"/><Relationship Id="rId18" Type="http://schemas.openxmlformats.org/officeDocument/2006/relationships/footer" Target="footer5.xml"/><Relationship Id="rId39" Type="http://schemas.openxmlformats.org/officeDocument/2006/relationships/image" Target="media/image10.png"/><Relationship Id="rId109" Type="http://schemas.openxmlformats.org/officeDocument/2006/relationships/image" Target="media/image44.png"/><Relationship Id="rId34" Type="http://schemas.openxmlformats.org/officeDocument/2006/relationships/header" Target="header10.xml"/><Relationship Id="rId50" Type="http://schemas.openxmlformats.org/officeDocument/2006/relationships/footer" Target="footer14.xml"/><Relationship Id="rId55" Type="http://schemas.openxmlformats.org/officeDocument/2006/relationships/image" Target="media/image18.png"/><Relationship Id="rId76" Type="http://schemas.openxmlformats.org/officeDocument/2006/relationships/footer" Target="footer16.xml"/><Relationship Id="rId97" Type="http://schemas.openxmlformats.org/officeDocument/2006/relationships/footer" Target="footer26.xml"/><Relationship Id="rId104" Type="http://schemas.openxmlformats.org/officeDocument/2006/relationships/image" Target="media/image39.png"/><Relationship Id="rId120" Type="http://schemas.openxmlformats.org/officeDocument/2006/relationships/footer" Target="footer32.xml"/><Relationship Id="rId125" Type="http://schemas.openxmlformats.org/officeDocument/2006/relationships/image" Target="media/image50.png"/><Relationship Id="rId141" Type="http://schemas.openxmlformats.org/officeDocument/2006/relationships/header" Target="header39.xml"/><Relationship Id="rId146" Type="http://schemas.openxmlformats.org/officeDocument/2006/relationships/header" Target="header41.xml"/><Relationship Id="rId167" Type="http://schemas.openxmlformats.org/officeDocument/2006/relationships/image" Target="media/image77.png"/><Relationship Id="rId7" Type="http://schemas.openxmlformats.org/officeDocument/2006/relationships/endnotes" Target="endnotes.xml"/><Relationship Id="rId71" Type="http://schemas.openxmlformats.org/officeDocument/2006/relationships/image" Target="media/image34.png"/><Relationship Id="rId92" Type="http://schemas.openxmlformats.org/officeDocument/2006/relationships/header" Target="header24.xml"/><Relationship Id="rId162" Type="http://schemas.openxmlformats.org/officeDocument/2006/relationships/image" Target="media/image72.png"/><Relationship Id="rId2" Type="http://schemas.openxmlformats.org/officeDocument/2006/relationships/numbering" Target="numbering.xml"/><Relationship Id="rId29" Type="http://schemas.openxmlformats.org/officeDocument/2006/relationships/image" Target="media/image4.png"/><Relationship Id="rId24" Type="http://schemas.openxmlformats.org/officeDocument/2006/relationships/header" Target="header8.xml"/><Relationship Id="rId40" Type="http://schemas.openxmlformats.org/officeDocument/2006/relationships/header" Target="header12.xml"/><Relationship Id="rId45" Type="http://schemas.openxmlformats.org/officeDocument/2006/relationships/image" Target="media/image12.png"/><Relationship Id="rId66" Type="http://schemas.openxmlformats.org/officeDocument/2006/relationships/image" Target="media/image29.png"/><Relationship Id="rId87" Type="http://schemas.openxmlformats.org/officeDocument/2006/relationships/header" Target="header22.xml"/><Relationship Id="rId110" Type="http://schemas.openxmlformats.org/officeDocument/2006/relationships/image" Target="media/image45.png"/><Relationship Id="rId115" Type="http://schemas.openxmlformats.org/officeDocument/2006/relationships/header" Target="header31.xml"/><Relationship Id="rId131" Type="http://schemas.openxmlformats.org/officeDocument/2006/relationships/header" Target="header35.xml"/><Relationship Id="rId136" Type="http://schemas.openxmlformats.org/officeDocument/2006/relationships/footer" Target="footer36.xml"/><Relationship Id="rId157" Type="http://schemas.openxmlformats.org/officeDocument/2006/relationships/image" Target="media/image67.png"/><Relationship Id="rId178" Type="http://schemas.openxmlformats.org/officeDocument/2006/relationships/footer" Target="footer45.xml"/><Relationship Id="rId61" Type="http://schemas.openxmlformats.org/officeDocument/2006/relationships/image" Target="media/image24.png"/><Relationship Id="rId82" Type="http://schemas.openxmlformats.org/officeDocument/2006/relationships/footer" Target="footer19.xml"/><Relationship Id="rId152" Type="http://schemas.openxmlformats.org/officeDocument/2006/relationships/image" Target="media/image62.png"/><Relationship Id="rId173" Type="http://schemas.openxmlformats.org/officeDocument/2006/relationships/header" Target="header44.xml"/><Relationship Id="rId19" Type="http://schemas.openxmlformats.org/officeDocument/2006/relationships/header" Target="header6.xml"/><Relationship Id="rId14" Type="http://schemas.openxmlformats.org/officeDocument/2006/relationships/footer" Target="footer3.xml"/><Relationship Id="rId30" Type="http://schemas.openxmlformats.org/officeDocument/2006/relationships/image" Target="media/image5.png"/><Relationship Id="rId35" Type="http://schemas.openxmlformats.org/officeDocument/2006/relationships/footer" Target="footer10.xml"/><Relationship Id="rId56" Type="http://schemas.openxmlformats.org/officeDocument/2006/relationships/image" Target="media/image19.png"/><Relationship Id="rId77" Type="http://schemas.openxmlformats.org/officeDocument/2006/relationships/header" Target="header17.xml"/><Relationship Id="rId100" Type="http://schemas.openxmlformats.org/officeDocument/2006/relationships/header" Target="header28.xml"/><Relationship Id="rId105" Type="http://schemas.openxmlformats.org/officeDocument/2006/relationships/image" Target="media/image40.png"/><Relationship Id="rId126" Type="http://schemas.openxmlformats.org/officeDocument/2006/relationships/image" Target="media/image51.png"/><Relationship Id="rId147" Type="http://schemas.openxmlformats.org/officeDocument/2006/relationships/footer" Target="footer40.xml"/><Relationship Id="rId168" Type="http://schemas.openxmlformats.org/officeDocument/2006/relationships/header" Target="header42.xml"/><Relationship Id="rId8" Type="http://schemas.openxmlformats.org/officeDocument/2006/relationships/image" Target="media/image1.png"/><Relationship Id="rId51" Type="http://schemas.openxmlformats.org/officeDocument/2006/relationships/header" Target="header15.xml"/><Relationship Id="rId72" Type="http://schemas.openxmlformats.org/officeDocument/2006/relationships/image" Target="media/image35.png"/><Relationship Id="rId93" Type="http://schemas.openxmlformats.org/officeDocument/2006/relationships/header" Target="header25.xml"/><Relationship Id="rId98" Type="http://schemas.openxmlformats.org/officeDocument/2006/relationships/image" Target="media/image38.png"/><Relationship Id="rId121" Type="http://schemas.openxmlformats.org/officeDocument/2006/relationships/header" Target="header34.xml"/><Relationship Id="rId142" Type="http://schemas.openxmlformats.org/officeDocument/2006/relationships/footer" Target="footer38.xml"/><Relationship Id="rId163" Type="http://schemas.openxmlformats.org/officeDocument/2006/relationships/image" Target="media/image73.png"/><Relationship Id="rId3" Type="http://schemas.openxmlformats.org/officeDocument/2006/relationships/styles" Target="styles.xml"/><Relationship Id="rId25" Type="http://schemas.openxmlformats.org/officeDocument/2006/relationships/footer" Target="footer7.xml"/><Relationship Id="rId46" Type="http://schemas.openxmlformats.org/officeDocument/2006/relationships/image" Target="media/image13.png"/><Relationship Id="rId67" Type="http://schemas.openxmlformats.org/officeDocument/2006/relationships/image" Target="media/image30.png"/><Relationship Id="rId116" Type="http://schemas.openxmlformats.org/officeDocument/2006/relationships/footer" Target="footer30.xml"/><Relationship Id="rId137" Type="http://schemas.openxmlformats.org/officeDocument/2006/relationships/image" Target="media/image55.png"/><Relationship Id="rId158" Type="http://schemas.openxmlformats.org/officeDocument/2006/relationships/image" Target="media/image68.png"/><Relationship Id="rId20" Type="http://schemas.openxmlformats.org/officeDocument/2006/relationships/footer" Target="footer6.xml"/><Relationship Id="rId41" Type="http://schemas.openxmlformats.org/officeDocument/2006/relationships/footer" Target="footer12.xml"/><Relationship Id="rId62" Type="http://schemas.openxmlformats.org/officeDocument/2006/relationships/image" Target="media/image25.png"/><Relationship Id="rId83" Type="http://schemas.openxmlformats.org/officeDocument/2006/relationships/header" Target="header20.xml"/><Relationship Id="rId88" Type="http://schemas.openxmlformats.org/officeDocument/2006/relationships/footer" Target="footer22.xml"/><Relationship Id="rId111" Type="http://schemas.openxmlformats.org/officeDocument/2006/relationships/image" Target="media/image46.png"/><Relationship Id="rId132" Type="http://schemas.openxmlformats.org/officeDocument/2006/relationships/header" Target="header36.xml"/><Relationship Id="rId153" Type="http://schemas.openxmlformats.org/officeDocument/2006/relationships/image" Target="media/image63.png"/><Relationship Id="rId174" Type="http://schemas.openxmlformats.org/officeDocument/2006/relationships/header" Target="header45.xml"/><Relationship Id="rId179" Type="http://schemas.openxmlformats.org/officeDocument/2006/relationships/fontTable" Target="fontTable.xml"/><Relationship Id="rId15" Type="http://schemas.openxmlformats.org/officeDocument/2006/relationships/header" Target="header4.xml"/><Relationship Id="rId36" Type="http://schemas.openxmlformats.org/officeDocument/2006/relationships/header" Target="header11.xml"/><Relationship Id="rId57" Type="http://schemas.openxmlformats.org/officeDocument/2006/relationships/image" Target="media/image20.png"/><Relationship Id="rId106" Type="http://schemas.openxmlformats.org/officeDocument/2006/relationships/image" Target="media/image41.png"/><Relationship Id="rId127" Type="http://schemas.openxmlformats.org/officeDocument/2006/relationships/image" Target="media/image52.png"/><Relationship Id="rId10" Type="http://schemas.openxmlformats.org/officeDocument/2006/relationships/header" Target="header2.xml"/><Relationship Id="rId31" Type="http://schemas.openxmlformats.org/officeDocument/2006/relationships/image" Target="media/image6.png"/><Relationship Id="rId52" Type="http://schemas.openxmlformats.org/officeDocument/2006/relationships/footer" Target="footer15.xml"/><Relationship Id="rId73" Type="http://schemas.openxmlformats.org/officeDocument/2006/relationships/image" Target="media/image36.png"/><Relationship Id="rId78" Type="http://schemas.openxmlformats.org/officeDocument/2006/relationships/footer" Target="footer17.xml"/><Relationship Id="rId94" Type="http://schemas.openxmlformats.org/officeDocument/2006/relationships/footer" Target="footer24.xml"/><Relationship Id="rId99" Type="http://schemas.openxmlformats.org/officeDocument/2006/relationships/header" Target="header27.xml"/><Relationship Id="rId101" Type="http://schemas.openxmlformats.org/officeDocument/2006/relationships/footer" Target="footer27.xml"/><Relationship Id="rId122" Type="http://schemas.openxmlformats.org/officeDocument/2006/relationships/footer" Target="footer33.xml"/><Relationship Id="rId143" Type="http://schemas.openxmlformats.org/officeDocument/2006/relationships/image" Target="media/image57.png"/><Relationship Id="rId148" Type="http://schemas.openxmlformats.org/officeDocument/2006/relationships/image" Target="media/image58.png"/><Relationship Id="rId164" Type="http://schemas.openxmlformats.org/officeDocument/2006/relationships/image" Target="media/image74.png"/><Relationship Id="rId169" Type="http://schemas.openxmlformats.org/officeDocument/2006/relationships/footer" Target="footer41.xml"/><Relationship Id="rId4" Type="http://schemas.openxmlformats.org/officeDocument/2006/relationships/settings" Target="settings.xml"/><Relationship Id="rId9" Type="http://schemas.openxmlformats.org/officeDocument/2006/relationships/header" Target="header1.xml"/><Relationship Id="rId180" Type="http://schemas.openxmlformats.org/officeDocument/2006/relationships/glossaryDocument" Target="glossary/document.xml"/><Relationship Id="rId26" Type="http://schemas.openxmlformats.org/officeDocument/2006/relationships/footer" Target="footer8.xml"/><Relationship Id="rId47" Type="http://schemas.openxmlformats.org/officeDocument/2006/relationships/image" Target="media/image14.png"/><Relationship Id="rId68" Type="http://schemas.openxmlformats.org/officeDocument/2006/relationships/image" Target="media/image31.png"/><Relationship Id="rId89" Type="http://schemas.openxmlformats.org/officeDocument/2006/relationships/header" Target="header23.xml"/><Relationship Id="rId112" Type="http://schemas.openxmlformats.org/officeDocument/2006/relationships/image" Target="media/image47.png"/><Relationship Id="rId133" Type="http://schemas.openxmlformats.org/officeDocument/2006/relationships/footer" Target="footer34.xml"/><Relationship Id="rId154" Type="http://schemas.openxmlformats.org/officeDocument/2006/relationships/image" Target="media/image64.png"/><Relationship Id="rId175" Type="http://schemas.openxmlformats.org/officeDocument/2006/relationships/footer" Target="footer43.xml"/><Relationship Id="rId16" Type="http://schemas.openxmlformats.org/officeDocument/2006/relationships/header" Target="header5.xml"/><Relationship Id="rId37" Type="http://schemas.openxmlformats.org/officeDocument/2006/relationships/footer" Target="footer11.xml"/><Relationship Id="rId58" Type="http://schemas.openxmlformats.org/officeDocument/2006/relationships/image" Target="media/image21.png"/><Relationship Id="rId79" Type="http://schemas.openxmlformats.org/officeDocument/2006/relationships/header" Target="header18.xml"/><Relationship Id="rId102" Type="http://schemas.openxmlformats.org/officeDocument/2006/relationships/header" Target="header29.xml"/><Relationship Id="rId123" Type="http://schemas.openxmlformats.org/officeDocument/2006/relationships/image" Target="media/image48.png"/><Relationship Id="rId144" Type="http://schemas.openxmlformats.org/officeDocument/2006/relationships/header" Target="header40.xml"/><Relationship Id="rId90" Type="http://schemas.openxmlformats.org/officeDocument/2006/relationships/footer" Target="footer23.xml"/><Relationship Id="rId165" Type="http://schemas.openxmlformats.org/officeDocument/2006/relationships/image" Target="media/image75.png"/><Relationship Id="rId27" Type="http://schemas.openxmlformats.org/officeDocument/2006/relationships/header" Target="header9.xml"/><Relationship Id="rId48" Type="http://schemas.openxmlformats.org/officeDocument/2006/relationships/image" Target="media/image15.png"/><Relationship Id="rId69" Type="http://schemas.openxmlformats.org/officeDocument/2006/relationships/image" Target="media/image32.png"/><Relationship Id="rId113" Type="http://schemas.openxmlformats.org/officeDocument/2006/relationships/header" Target="header30.xml"/><Relationship Id="rId134" Type="http://schemas.openxmlformats.org/officeDocument/2006/relationships/footer" Target="footer35.xml"/><Relationship Id="rId80" Type="http://schemas.openxmlformats.org/officeDocument/2006/relationships/footer" Target="footer18.xml"/><Relationship Id="rId155" Type="http://schemas.openxmlformats.org/officeDocument/2006/relationships/image" Target="media/image65.png"/><Relationship Id="rId176" Type="http://schemas.openxmlformats.org/officeDocument/2006/relationships/footer" Target="footer44.xml"/><Relationship Id="rId17" Type="http://schemas.openxmlformats.org/officeDocument/2006/relationships/footer" Target="footer4.xml"/><Relationship Id="rId38" Type="http://schemas.openxmlformats.org/officeDocument/2006/relationships/image" Target="media/image9.png"/><Relationship Id="rId59" Type="http://schemas.openxmlformats.org/officeDocument/2006/relationships/image" Target="media/image22.png"/><Relationship Id="rId103" Type="http://schemas.openxmlformats.org/officeDocument/2006/relationships/footer" Target="footer28.xml"/><Relationship Id="rId124" Type="http://schemas.openxmlformats.org/officeDocument/2006/relationships/image" Target="media/image49.png"/><Relationship Id="rId70" Type="http://schemas.openxmlformats.org/officeDocument/2006/relationships/image" Target="media/image33.png"/><Relationship Id="rId91" Type="http://schemas.openxmlformats.org/officeDocument/2006/relationships/image" Target="media/image37.png"/><Relationship Id="rId145" Type="http://schemas.openxmlformats.org/officeDocument/2006/relationships/footer" Target="footer39.xml"/><Relationship Id="rId166" Type="http://schemas.openxmlformats.org/officeDocument/2006/relationships/image" Target="media/image76.png"/><Relationship Id="rId1" Type="http://schemas.openxmlformats.org/officeDocument/2006/relationships/customXml" Target="../customXml/item1.xml"/><Relationship Id="rId28" Type="http://schemas.openxmlformats.org/officeDocument/2006/relationships/footer" Target="footer9.xml"/><Relationship Id="rId49" Type="http://schemas.openxmlformats.org/officeDocument/2006/relationships/header" Target="header14.xml"/><Relationship Id="rId114" Type="http://schemas.openxmlformats.org/officeDocument/2006/relationships/footer" Target="footer29.xml"/></Relationships>
</file>

<file path=word/_rels/footnotes.xml.rels><?xml version="1.0" encoding="UTF-8" standalone="yes"?>
<Relationships xmlns="http://schemas.openxmlformats.org/package/2006/relationships"><Relationship Id="rId3" Type="http://schemas.openxmlformats.org/officeDocument/2006/relationships/hyperlink" Target="https://www.rba.gov.au/publications/bulletin/2012/jun/2.html" TargetMode="External"/><Relationship Id="rId7" Type="http://schemas.openxmlformats.org/officeDocument/2006/relationships/hyperlink" Target="https://www.yoursay.act.gov.au/minimum-energy-standards" TargetMode="External"/><Relationship Id="rId2" Type="http://schemas.openxmlformats.org/officeDocument/2006/relationships/hyperlink" Target="https://www.environment.act.gov.au/energy/cleaner-energy/renewable-electricity-costs-and-reviews" TargetMode="External"/><Relationship Id="rId1" Type="http://schemas.openxmlformats.org/officeDocument/2006/relationships/hyperlink" Target="https://combi-project.eu/" TargetMode="External"/><Relationship Id="rId6" Type="http://schemas.openxmlformats.org/officeDocument/2006/relationships/hyperlink" Target="https://www.acat.act.gov.au/case-types/rental-disputes/rent-increases" TargetMode="External"/><Relationship Id="rId5" Type="http://schemas.openxmlformats.org/officeDocument/2006/relationships/hyperlink" Target="https://quickstats.censusdata.abs.gov.au/census_services/getproduct/census/2016/quickstat/8ACTE?opendocument" TargetMode="External"/><Relationship Id="rId4" Type="http://schemas.openxmlformats.org/officeDocument/2006/relationships/hyperlink" Target="https://quickstats.censusdata.abs.gov.au/census_services/getproduct/census/2016/quickstat/6?opendocument" TargetMode="External"/></Relationships>
</file>

<file path=word/_rels/header36.xml.rels><?xml version="1.0" encoding="UTF-8" standalone="yes"?>
<Relationships xmlns="http://schemas.openxmlformats.org/package/2006/relationships"><Relationship Id="rId1" Type="http://schemas.openxmlformats.org/officeDocument/2006/relationships/image" Target="media/image54.png"/></Relationships>
</file>

<file path=word/charts/_rels/chart1.xml.rels><?xml version="1.0" encoding="UTF-8" standalone="yes"?>
<Relationships xmlns="http://schemas.openxmlformats.org/package/2006/relationships"><Relationship Id="rId3" Type="http://schemas.openxmlformats.org/officeDocument/2006/relationships/oleObject" Target="https://acilallen365-my.sharepoint.com/personal/k_wakermanpowell_acilallen_com_au/Documents/My%20Desktop/Copy%20of%20Cost%20Profile%20data%20set%20for%20Kai%20(00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acilallen365-my.sharepoint.com/personal/k_wakermanpowell_acilallen_com_au/Documents/My%20Desktop/Copy%20of%20Cost%20Profile%20data%20set%20for%20Kai%20(003).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acilallen365-my.sharepoint.com/personal/k_wakermanpowell_acilallen_com_au/Documents/My%20Desktop/Copy%20of%20Cost%20Profile%20data%20set%20for%20Kai%20(003).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1"/>
          <c:order val="1"/>
          <c:tx>
            <c:strRef>
              <c:f>Sheet1!$D$6</c:f>
              <c:strCache>
                <c:ptCount val="1"/>
                <c:pt idx="0">
                  <c:v>3 Star</c:v>
                </c:pt>
              </c:strCache>
            </c:strRef>
          </c:tx>
          <c:spPr>
            <a:solidFill>
              <a:srgbClr val="006A9F"/>
            </a:solidFill>
            <a:ln>
              <a:noFill/>
            </a:ln>
            <a:effectLst/>
            <a:extLst>
              <a:ext uri="{91240B29-F687-4F45-9708-019B960494DF}">
                <a14:hiddenLine xmlns:a14="http://schemas.microsoft.com/office/drawing/2010/main">
                  <a:noFill/>
                </a14:hiddenLine>
              </a:ext>
            </a:extLst>
          </c:spPr>
          <c:invertIfNegative val="0"/>
          <c:cat>
            <c:strRef>
              <c:f>Sheet1!$E$4:$T$4</c:f>
              <c:strCache>
                <c:ptCount val="16"/>
                <c:pt idx="0">
                  <c:v>$0-$2,000</c:v>
                </c:pt>
                <c:pt idx="1">
                  <c:v>$2,000-$4,000</c:v>
                </c:pt>
                <c:pt idx="2">
                  <c:v>$4,000-$6,000</c:v>
                </c:pt>
                <c:pt idx="3">
                  <c:v>$6,000-$8,000</c:v>
                </c:pt>
                <c:pt idx="4">
                  <c:v>$8,000-$10,000</c:v>
                </c:pt>
                <c:pt idx="5">
                  <c:v>$10,000-$12,000</c:v>
                </c:pt>
                <c:pt idx="6">
                  <c:v>$12,000-$14,000</c:v>
                </c:pt>
                <c:pt idx="7">
                  <c:v>$14,000-$16,000</c:v>
                </c:pt>
                <c:pt idx="8">
                  <c:v>$16,000-$18,000</c:v>
                </c:pt>
                <c:pt idx="9">
                  <c:v>$18,000-$20,000</c:v>
                </c:pt>
                <c:pt idx="10">
                  <c:v>$20,000-$22,000</c:v>
                </c:pt>
                <c:pt idx="11">
                  <c:v>$22,000-$24,000</c:v>
                </c:pt>
                <c:pt idx="12">
                  <c:v>$24,000-$26,000</c:v>
                </c:pt>
                <c:pt idx="13">
                  <c:v>$26,000-$28,000</c:v>
                </c:pt>
                <c:pt idx="14">
                  <c:v>$28,000-$30,000</c:v>
                </c:pt>
                <c:pt idx="15">
                  <c:v>$30,000-$32,000</c:v>
                </c:pt>
              </c:strCache>
            </c:strRef>
          </c:cat>
          <c:val>
            <c:numRef>
              <c:f>Sheet1!$E$6:$T$6</c:f>
              <c:numCache>
                <c:formatCode>0%</c:formatCode>
                <c:ptCount val="16"/>
                <c:pt idx="0">
                  <c:v>3.0329451412268557E-3</c:v>
                </c:pt>
                <c:pt idx="1">
                  <c:v>0.10682428955193379</c:v>
                </c:pt>
                <c:pt idx="2">
                  <c:v>0.20118137329383437</c:v>
                </c:pt>
                <c:pt idx="3">
                  <c:v>8.4442906003328849E-2</c:v>
                </c:pt>
                <c:pt idx="4">
                  <c:v>0.1440901941469907</c:v>
                </c:pt>
                <c:pt idx="5">
                  <c:v>0.16531137844713714</c:v>
                </c:pt>
                <c:pt idx="6">
                  <c:v>3.6969113847337323E-2</c:v>
                </c:pt>
                <c:pt idx="7">
                  <c:v>7.6008171586889606E-2</c:v>
                </c:pt>
                <c:pt idx="8">
                  <c:v>2.0058173806285991E-2</c:v>
                </c:pt>
                <c:pt idx="9">
                  <c:v>3.9024441476193099E-2</c:v>
                </c:pt>
                <c:pt idx="10">
                  <c:v>5.3000769658587847E-2</c:v>
                </c:pt>
                <c:pt idx="11">
                  <c:v>2.2782741160603127E-2</c:v>
                </c:pt>
                <c:pt idx="12">
                  <c:v>2.9925409944524629E-2</c:v>
                </c:pt>
                <c:pt idx="13">
                  <c:v>5.0654469088693551E-3</c:v>
                </c:pt>
                <c:pt idx="14">
                  <c:v>1.2282645026257456E-2</c:v>
                </c:pt>
                <c:pt idx="15">
                  <c:v>1.2292776108919902E-3</c:v>
                </c:pt>
              </c:numCache>
            </c:numRef>
          </c:val>
          <c:extLst>
            <c:ext xmlns:c16="http://schemas.microsoft.com/office/drawing/2014/chart" uri="{C3380CC4-5D6E-409C-BE32-E72D297353CC}">
              <c16:uniqueId val="{00000000-B1B3-412D-94D3-D8657FBAF7A5}"/>
            </c:ext>
          </c:extLst>
        </c:ser>
        <c:dLbls>
          <c:showLegendKey val="0"/>
          <c:showVal val="0"/>
          <c:showCatName val="0"/>
          <c:showSerName val="0"/>
          <c:showPercent val="0"/>
          <c:showBubbleSize val="0"/>
        </c:dLbls>
        <c:gapWidth val="219"/>
        <c:overlap val="-27"/>
        <c:axId val="231545967"/>
        <c:axId val="231545551"/>
        <c:extLst>
          <c:ext xmlns:c15="http://schemas.microsoft.com/office/drawing/2012/chart" uri="{02D57815-91ED-43cb-92C2-25804820EDAC}">
            <c15:filteredBarSeries>
              <c15:ser>
                <c:idx val="0"/>
                <c:order val="0"/>
                <c:tx>
                  <c:strRef>
                    <c:extLst>
                      <c:ext uri="{02D57815-91ED-43cb-92C2-25804820EDAC}">
                        <c15:formulaRef>
                          <c15:sqref>Sheet1!$D$5</c15:sqref>
                        </c15:formulaRef>
                      </c:ext>
                    </c:extLst>
                    <c:strCache>
                      <c:ptCount val="1"/>
                      <c:pt idx="0">
                        <c:v>2 Star</c:v>
                      </c:pt>
                    </c:strCache>
                  </c:strRef>
                </c:tx>
                <c:spPr>
                  <a:solidFill>
                    <a:srgbClr val="5B9BD5"/>
                  </a:solidFill>
                  <a:ln>
                    <a:noFill/>
                  </a:ln>
                  <a:effectLst/>
                  <a:extLst>
                    <a:ext uri="{91240B29-F687-4F45-9708-019B960494DF}">
                      <a14:hiddenLine xmlns:a14="http://schemas.microsoft.com/office/drawing/2010/main">
                        <a:noFill/>
                      </a14:hiddenLine>
                    </a:ext>
                  </a:extLst>
                </c:spPr>
                <c:invertIfNegative val="0"/>
                <c:cat>
                  <c:strRef>
                    <c:extLst>
                      <c:ext uri="{02D57815-91ED-43cb-92C2-25804820EDAC}">
                        <c15:formulaRef>
                          <c15:sqref>Sheet1!$E$4:$T$4</c15:sqref>
                        </c15:formulaRef>
                      </c:ext>
                    </c:extLst>
                    <c:strCache>
                      <c:ptCount val="16"/>
                      <c:pt idx="0">
                        <c:v>$0-$2,000</c:v>
                      </c:pt>
                      <c:pt idx="1">
                        <c:v>$2,000-$4,000</c:v>
                      </c:pt>
                      <c:pt idx="2">
                        <c:v>$4,000-$6,000</c:v>
                      </c:pt>
                      <c:pt idx="3">
                        <c:v>$6,000-$8,000</c:v>
                      </c:pt>
                      <c:pt idx="4">
                        <c:v>$8,000-$10,000</c:v>
                      </c:pt>
                      <c:pt idx="5">
                        <c:v>$10,000-$12,000</c:v>
                      </c:pt>
                      <c:pt idx="6">
                        <c:v>$12,000-$14,000</c:v>
                      </c:pt>
                      <c:pt idx="7">
                        <c:v>$14,000-$16,000</c:v>
                      </c:pt>
                      <c:pt idx="8">
                        <c:v>$16,000-$18,000</c:v>
                      </c:pt>
                      <c:pt idx="9">
                        <c:v>$18,000-$20,000</c:v>
                      </c:pt>
                      <c:pt idx="10">
                        <c:v>$20,000-$22,000</c:v>
                      </c:pt>
                      <c:pt idx="11">
                        <c:v>$22,000-$24,000</c:v>
                      </c:pt>
                      <c:pt idx="12">
                        <c:v>$24,000-$26,000</c:v>
                      </c:pt>
                      <c:pt idx="13">
                        <c:v>$26,000-$28,000</c:v>
                      </c:pt>
                      <c:pt idx="14">
                        <c:v>$28,000-$30,000</c:v>
                      </c:pt>
                      <c:pt idx="15">
                        <c:v>$30,000-$32,000</c:v>
                      </c:pt>
                    </c:strCache>
                  </c:strRef>
                </c:cat>
                <c:val>
                  <c:numRef>
                    <c:extLst>
                      <c:ext uri="{02D57815-91ED-43cb-92C2-25804820EDAC}">
                        <c15:formulaRef>
                          <c15:sqref>Sheet1!$E$5:$T$5</c15:sqref>
                        </c15:formulaRef>
                      </c:ext>
                    </c:extLst>
                    <c:numCache>
                      <c:formatCode>0%</c:formatCode>
                      <c:ptCount val="16"/>
                      <c:pt idx="0">
                        <c:v>3.2167375952547504E-2</c:v>
                      </c:pt>
                      <c:pt idx="1">
                        <c:v>0.20285454056445404</c:v>
                      </c:pt>
                      <c:pt idx="2">
                        <c:v>0.49362908012573531</c:v>
                      </c:pt>
                      <c:pt idx="3">
                        <c:v>5.0098683655937268E-2</c:v>
                      </c:pt>
                      <c:pt idx="4">
                        <c:v>0.10678671425241244</c:v>
                      </c:pt>
                      <c:pt idx="5">
                        <c:v>8.8124387909344681E-2</c:v>
                      </c:pt>
                      <c:pt idx="6">
                        <c:v>0</c:v>
                      </c:pt>
                      <c:pt idx="7">
                        <c:v>1.9906434545830173E-2</c:v>
                      </c:pt>
                      <c:pt idx="8">
                        <c:v>6.4327829937383986E-3</c:v>
                      </c:pt>
                      <c:pt idx="9">
                        <c:v>0</c:v>
                      </c:pt>
                      <c:pt idx="10">
                        <c:v>0</c:v>
                      </c:pt>
                      <c:pt idx="11">
                        <c:v>0</c:v>
                      </c:pt>
                      <c:pt idx="12">
                        <c:v>0</c:v>
                      </c:pt>
                      <c:pt idx="13">
                        <c:v>0</c:v>
                      </c:pt>
                      <c:pt idx="14">
                        <c:v>0</c:v>
                      </c:pt>
                      <c:pt idx="15">
                        <c:v>0</c:v>
                      </c:pt>
                    </c:numCache>
                  </c:numRef>
                </c:val>
                <c:extLst>
                  <c:ext xmlns:c16="http://schemas.microsoft.com/office/drawing/2014/chart" uri="{C3380CC4-5D6E-409C-BE32-E72D297353CC}">
                    <c16:uniqueId val="{00000001-B1B3-412D-94D3-D8657FBAF7A5}"/>
                  </c:ext>
                </c:extLst>
              </c15:ser>
            </c15:filteredBarSeries>
          </c:ext>
        </c:extLst>
      </c:barChart>
      <c:catAx>
        <c:axId val="2315459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rgbClr val="000000"/>
                </a:solidFill>
                <a:latin typeface="Arial Narrow"/>
                <a:ea typeface="Arial Narrow"/>
                <a:cs typeface="Arial Narrow"/>
              </a:defRPr>
            </a:pPr>
            <a:endParaRPr lang="en-US"/>
          </a:p>
        </c:txPr>
        <c:crossAx val="231545551"/>
        <c:crosses val="autoZero"/>
        <c:auto val="1"/>
        <c:lblAlgn val="ctr"/>
        <c:lblOffset val="100"/>
        <c:noMultiLvlLbl val="0"/>
      </c:catAx>
      <c:valAx>
        <c:axId val="231545551"/>
        <c:scaling>
          <c:orientation val="minMax"/>
          <c:max val="0.5"/>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rgbClr val="000000"/>
                </a:solidFill>
                <a:latin typeface="Arial Narrow"/>
                <a:ea typeface="Arial Narrow"/>
                <a:cs typeface="Arial Narrow"/>
              </a:defRPr>
            </a:pPr>
            <a:endParaRPr lang="en-US"/>
          </a:p>
        </c:txPr>
        <c:crossAx val="231545967"/>
        <c:crosses val="autoZero"/>
        <c:crossBetween val="between"/>
        <c:majorUnit val="0.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25400" cap="flat" cmpd="sng" algn="ctr">
      <a:noFill/>
      <a:round/>
    </a:ln>
    <a:effectLst/>
  </c:spPr>
  <c:txPr>
    <a:bodyPr/>
    <a:lstStyle/>
    <a:p>
      <a:pPr>
        <a:defRPr sz="800">
          <a:solidFill>
            <a:srgbClr val="000000"/>
          </a:solidFill>
          <a:latin typeface="Arial Narrow"/>
          <a:ea typeface="Arial Narrow"/>
          <a:cs typeface="Arial Narrow"/>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Sheet1!$D$5</c:f>
              <c:strCache>
                <c:ptCount val="1"/>
                <c:pt idx="0">
                  <c:v>2 Star</c:v>
                </c:pt>
              </c:strCache>
            </c:strRef>
          </c:tx>
          <c:spPr>
            <a:solidFill>
              <a:srgbClr val="6C3F69"/>
            </a:solidFill>
            <a:ln>
              <a:noFill/>
            </a:ln>
            <a:effectLst/>
            <a:extLst>
              <a:ext uri="{91240B29-F687-4F45-9708-019B960494DF}">
                <a14:hiddenLine xmlns:a14="http://schemas.microsoft.com/office/drawing/2010/main">
                  <a:noFill/>
                </a14:hiddenLine>
              </a:ext>
            </a:extLst>
          </c:spPr>
          <c:invertIfNegative val="0"/>
          <c:cat>
            <c:strRef>
              <c:f>Sheet1!$E$4:$T$4</c:f>
              <c:strCache>
                <c:ptCount val="16"/>
                <c:pt idx="0">
                  <c:v>$0-$2,000</c:v>
                </c:pt>
                <c:pt idx="1">
                  <c:v>$2,000-$4,000</c:v>
                </c:pt>
                <c:pt idx="2">
                  <c:v>$4,000-$6,000</c:v>
                </c:pt>
                <c:pt idx="3">
                  <c:v>$6,000-$8,000</c:v>
                </c:pt>
                <c:pt idx="4">
                  <c:v>$8,000-$10,000</c:v>
                </c:pt>
                <c:pt idx="5">
                  <c:v>$10,000-$12,000</c:v>
                </c:pt>
                <c:pt idx="6">
                  <c:v>$12,000-$14,000</c:v>
                </c:pt>
                <c:pt idx="7">
                  <c:v>$14,000-$16,000</c:v>
                </c:pt>
                <c:pt idx="8">
                  <c:v>$16,000-$18,000</c:v>
                </c:pt>
                <c:pt idx="9">
                  <c:v>$18,000-$20,000</c:v>
                </c:pt>
                <c:pt idx="10">
                  <c:v>$20,000-$22,000</c:v>
                </c:pt>
                <c:pt idx="11">
                  <c:v>$22,000-$24,000</c:v>
                </c:pt>
                <c:pt idx="12">
                  <c:v>$24,000-$26,000</c:v>
                </c:pt>
                <c:pt idx="13">
                  <c:v>$26,000-$28,000</c:v>
                </c:pt>
                <c:pt idx="14">
                  <c:v>$28,000-$30,000</c:v>
                </c:pt>
                <c:pt idx="15">
                  <c:v>$30,000-$32,000</c:v>
                </c:pt>
              </c:strCache>
            </c:strRef>
          </c:cat>
          <c:val>
            <c:numRef>
              <c:f>Sheet1!$E$5:$T$5</c:f>
              <c:numCache>
                <c:formatCode>0%</c:formatCode>
                <c:ptCount val="16"/>
                <c:pt idx="0">
                  <c:v>3.2167375952547504E-2</c:v>
                </c:pt>
                <c:pt idx="1">
                  <c:v>0.20285454056445404</c:v>
                </c:pt>
                <c:pt idx="2">
                  <c:v>0.49362908012573531</c:v>
                </c:pt>
                <c:pt idx="3">
                  <c:v>5.0098683655937268E-2</c:v>
                </c:pt>
                <c:pt idx="4">
                  <c:v>0.10678671425241244</c:v>
                </c:pt>
                <c:pt idx="5">
                  <c:v>8.8124387909344681E-2</c:v>
                </c:pt>
                <c:pt idx="6">
                  <c:v>0</c:v>
                </c:pt>
                <c:pt idx="7">
                  <c:v>1.9906434545830173E-2</c:v>
                </c:pt>
                <c:pt idx="8">
                  <c:v>6.4327829937383986E-3</c:v>
                </c:pt>
                <c:pt idx="9">
                  <c:v>0</c:v>
                </c:pt>
                <c:pt idx="10">
                  <c:v>0</c:v>
                </c:pt>
                <c:pt idx="11">
                  <c:v>0</c:v>
                </c:pt>
                <c:pt idx="12">
                  <c:v>0</c:v>
                </c:pt>
                <c:pt idx="13">
                  <c:v>0</c:v>
                </c:pt>
                <c:pt idx="14">
                  <c:v>0</c:v>
                </c:pt>
                <c:pt idx="15">
                  <c:v>0</c:v>
                </c:pt>
              </c:numCache>
            </c:numRef>
          </c:val>
          <c:extLst>
            <c:ext xmlns:c16="http://schemas.microsoft.com/office/drawing/2014/chart" uri="{C3380CC4-5D6E-409C-BE32-E72D297353CC}">
              <c16:uniqueId val="{00000000-FC1B-4F32-BBC5-98512B50DAAD}"/>
            </c:ext>
          </c:extLst>
        </c:ser>
        <c:dLbls>
          <c:showLegendKey val="0"/>
          <c:showVal val="0"/>
          <c:showCatName val="0"/>
          <c:showSerName val="0"/>
          <c:showPercent val="0"/>
          <c:showBubbleSize val="0"/>
        </c:dLbls>
        <c:gapWidth val="219"/>
        <c:overlap val="-27"/>
        <c:axId val="231545967"/>
        <c:axId val="231545551"/>
        <c:extLst>
          <c:ext xmlns:c15="http://schemas.microsoft.com/office/drawing/2012/chart" uri="{02D57815-91ED-43cb-92C2-25804820EDAC}">
            <c15:filteredBarSeries>
              <c15:ser>
                <c:idx val="1"/>
                <c:order val="1"/>
                <c:tx>
                  <c:strRef>
                    <c:extLst>
                      <c:ext uri="{02D57815-91ED-43cb-92C2-25804820EDAC}">
                        <c15:formulaRef>
                          <c15:sqref>Sheet1!$D$6</c15:sqref>
                        </c15:formulaRef>
                      </c:ext>
                    </c:extLst>
                    <c:strCache>
                      <c:ptCount val="1"/>
                      <c:pt idx="0">
                        <c:v>3 Star</c:v>
                      </c:pt>
                    </c:strCache>
                  </c:strRef>
                </c:tx>
                <c:spPr>
                  <a:solidFill>
                    <a:srgbClr val="ED7D31"/>
                  </a:solidFill>
                  <a:ln>
                    <a:noFill/>
                  </a:ln>
                  <a:effectLst/>
                  <a:extLst>
                    <a:ext uri="{91240B29-F687-4F45-9708-019B960494DF}">
                      <a14:hiddenLine xmlns:a14="http://schemas.microsoft.com/office/drawing/2010/main">
                        <a:noFill/>
                      </a14:hiddenLine>
                    </a:ext>
                  </a:extLst>
                </c:spPr>
                <c:invertIfNegative val="0"/>
                <c:cat>
                  <c:strRef>
                    <c:extLst>
                      <c:ext uri="{02D57815-91ED-43cb-92C2-25804820EDAC}">
                        <c15:formulaRef>
                          <c15:sqref>Sheet1!$E$4:$T$4</c15:sqref>
                        </c15:formulaRef>
                      </c:ext>
                    </c:extLst>
                    <c:strCache>
                      <c:ptCount val="16"/>
                      <c:pt idx="0">
                        <c:v>$0-$2,000</c:v>
                      </c:pt>
                      <c:pt idx="1">
                        <c:v>$2,000-$4,000</c:v>
                      </c:pt>
                      <c:pt idx="2">
                        <c:v>$4,000-$6,000</c:v>
                      </c:pt>
                      <c:pt idx="3">
                        <c:v>$6,000-$8,000</c:v>
                      </c:pt>
                      <c:pt idx="4">
                        <c:v>$8,000-$10,000</c:v>
                      </c:pt>
                      <c:pt idx="5">
                        <c:v>$10,000-$12,000</c:v>
                      </c:pt>
                      <c:pt idx="6">
                        <c:v>$12,000-$14,000</c:v>
                      </c:pt>
                      <c:pt idx="7">
                        <c:v>$14,000-$16,000</c:v>
                      </c:pt>
                      <c:pt idx="8">
                        <c:v>$16,000-$18,000</c:v>
                      </c:pt>
                      <c:pt idx="9">
                        <c:v>$18,000-$20,000</c:v>
                      </c:pt>
                      <c:pt idx="10">
                        <c:v>$20,000-$22,000</c:v>
                      </c:pt>
                      <c:pt idx="11">
                        <c:v>$22,000-$24,000</c:v>
                      </c:pt>
                      <c:pt idx="12">
                        <c:v>$24,000-$26,000</c:v>
                      </c:pt>
                      <c:pt idx="13">
                        <c:v>$26,000-$28,000</c:v>
                      </c:pt>
                      <c:pt idx="14">
                        <c:v>$28,000-$30,000</c:v>
                      </c:pt>
                      <c:pt idx="15">
                        <c:v>$30,000-$32,000</c:v>
                      </c:pt>
                    </c:strCache>
                  </c:strRef>
                </c:cat>
                <c:val>
                  <c:numRef>
                    <c:extLst>
                      <c:ext uri="{02D57815-91ED-43cb-92C2-25804820EDAC}">
                        <c15:formulaRef>
                          <c15:sqref>Sheet1!$E$6:$T$6</c15:sqref>
                        </c15:formulaRef>
                      </c:ext>
                    </c:extLst>
                    <c:numCache>
                      <c:formatCode>0%</c:formatCode>
                      <c:ptCount val="16"/>
                      <c:pt idx="0">
                        <c:v>3.0329451412268557E-3</c:v>
                      </c:pt>
                      <c:pt idx="1">
                        <c:v>0.10682428955193379</c:v>
                      </c:pt>
                      <c:pt idx="2">
                        <c:v>0.20118137329383437</c:v>
                      </c:pt>
                      <c:pt idx="3">
                        <c:v>8.4442906003328849E-2</c:v>
                      </c:pt>
                      <c:pt idx="4">
                        <c:v>0.1440901941469907</c:v>
                      </c:pt>
                      <c:pt idx="5">
                        <c:v>0.16531137844713714</c:v>
                      </c:pt>
                      <c:pt idx="6">
                        <c:v>3.6969113847337323E-2</c:v>
                      </c:pt>
                      <c:pt idx="7">
                        <c:v>7.6008171586889606E-2</c:v>
                      </c:pt>
                      <c:pt idx="8">
                        <c:v>2.0058173806285991E-2</c:v>
                      </c:pt>
                      <c:pt idx="9">
                        <c:v>3.9024441476193099E-2</c:v>
                      </c:pt>
                      <c:pt idx="10">
                        <c:v>5.3000769658587847E-2</c:v>
                      </c:pt>
                      <c:pt idx="11">
                        <c:v>2.2782741160603127E-2</c:v>
                      </c:pt>
                      <c:pt idx="12">
                        <c:v>2.9925409944524629E-2</c:v>
                      </c:pt>
                      <c:pt idx="13">
                        <c:v>5.0654469088693551E-3</c:v>
                      </c:pt>
                      <c:pt idx="14">
                        <c:v>1.2282645026257456E-2</c:v>
                      </c:pt>
                      <c:pt idx="15">
                        <c:v>1.2292776108919902E-3</c:v>
                      </c:pt>
                    </c:numCache>
                  </c:numRef>
                </c:val>
                <c:extLst>
                  <c:ext xmlns:c16="http://schemas.microsoft.com/office/drawing/2014/chart" uri="{C3380CC4-5D6E-409C-BE32-E72D297353CC}">
                    <c16:uniqueId val="{00000001-FC1B-4F32-BBC5-98512B50DAAD}"/>
                  </c:ext>
                </c:extLst>
              </c15:ser>
            </c15:filteredBarSeries>
          </c:ext>
        </c:extLst>
      </c:barChart>
      <c:catAx>
        <c:axId val="2315459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rgbClr val="000000"/>
                </a:solidFill>
                <a:latin typeface="Arial Narrow"/>
                <a:ea typeface="Arial Narrow"/>
                <a:cs typeface="Arial Narrow"/>
              </a:defRPr>
            </a:pPr>
            <a:endParaRPr lang="en-US"/>
          </a:p>
        </c:txPr>
        <c:crossAx val="231545551"/>
        <c:crosses val="autoZero"/>
        <c:auto val="1"/>
        <c:lblAlgn val="ctr"/>
        <c:lblOffset val="100"/>
        <c:noMultiLvlLbl val="0"/>
      </c:catAx>
      <c:valAx>
        <c:axId val="231545551"/>
        <c:scaling>
          <c:orientation val="minMax"/>
          <c:max val="0.5"/>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rgbClr val="000000"/>
                </a:solidFill>
                <a:latin typeface="Arial Narrow"/>
                <a:ea typeface="Arial Narrow"/>
                <a:cs typeface="Arial Narrow"/>
              </a:defRPr>
            </a:pPr>
            <a:endParaRPr lang="en-US"/>
          </a:p>
        </c:txPr>
        <c:crossAx val="231545967"/>
        <c:crosses val="autoZero"/>
        <c:crossBetween val="between"/>
        <c:majorUnit val="0.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25400" cap="flat" cmpd="sng" algn="ctr">
      <a:noFill/>
      <a:round/>
    </a:ln>
    <a:effectLst/>
  </c:spPr>
  <c:txPr>
    <a:bodyPr/>
    <a:lstStyle/>
    <a:p>
      <a:pPr>
        <a:spcBef>
          <a:spcPts val="600"/>
        </a:spcBef>
        <a:defRPr sz="800">
          <a:solidFill>
            <a:srgbClr val="000000"/>
          </a:solidFill>
          <a:latin typeface="Arial Narrow"/>
          <a:ea typeface="Arial Narrow"/>
          <a:cs typeface="Arial Narrow"/>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1"/>
          <c:order val="1"/>
          <c:tx>
            <c:strRef>
              <c:f>Sheet1!$D$6</c:f>
              <c:strCache>
                <c:ptCount val="1"/>
                <c:pt idx="0">
                  <c:v>3 Star</c:v>
                </c:pt>
              </c:strCache>
            </c:strRef>
          </c:tx>
          <c:spPr>
            <a:solidFill>
              <a:srgbClr val="006A9F"/>
            </a:solidFill>
            <a:ln>
              <a:noFill/>
            </a:ln>
            <a:effectLst/>
            <a:extLst>
              <a:ext uri="{91240B29-F687-4F45-9708-019B960494DF}">
                <a14:hiddenLine xmlns:a14="http://schemas.microsoft.com/office/drawing/2010/main">
                  <a:noFill/>
                </a14:hiddenLine>
              </a:ext>
            </a:extLst>
          </c:spPr>
          <c:invertIfNegative val="0"/>
          <c:cat>
            <c:strRef>
              <c:f>Sheet1!$E$4:$T$4</c:f>
              <c:strCache>
                <c:ptCount val="16"/>
                <c:pt idx="0">
                  <c:v>$0-$2,000</c:v>
                </c:pt>
                <c:pt idx="1">
                  <c:v>$2,000-$4,000</c:v>
                </c:pt>
                <c:pt idx="2">
                  <c:v>$4,000-$6,000</c:v>
                </c:pt>
                <c:pt idx="3">
                  <c:v>$6,000-$8,000</c:v>
                </c:pt>
                <c:pt idx="4">
                  <c:v>$8,000-$10,000</c:v>
                </c:pt>
                <c:pt idx="5">
                  <c:v>$10,000-$12,000</c:v>
                </c:pt>
                <c:pt idx="6">
                  <c:v>$12,000-$14,000</c:v>
                </c:pt>
                <c:pt idx="7">
                  <c:v>$14,000-$16,000</c:v>
                </c:pt>
                <c:pt idx="8">
                  <c:v>$16,000-$18,000</c:v>
                </c:pt>
                <c:pt idx="9">
                  <c:v>$18,000-$20,000</c:v>
                </c:pt>
                <c:pt idx="10">
                  <c:v>$20,000-$22,000</c:v>
                </c:pt>
                <c:pt idx="11">
                  <c:v>$22,000-$24,000</c:v>
                </c:pt>
                <c:pt idx="12">
                  <c:v>$24,000-$26,000</c:v>
                </c:pt>
                <c:pt idx="13">
                  <c:v>$26,000-$28,000</c:v>
                </c:pt>
                <c:pt idx="14">
                  <c:v>$28,000-$30,000</c:v>
                </c:pt>
                <c:pt idx="15">
                  <c:v>$30,000-$32,000</c:v>
                </c:pt>
              </c:strCache>
            </c:strRef>
          </c:cat>
          <c:val>
            <c:numRef>
              <c:f>Sheet1!$E$6:$T$6</c:f>
              <c:numCache>
                <c:formatCode>0%</c:formatCode>
                <c:ptCount val="16"/>
                <c:pt idx="0">
                  <c:v>3.0329451412268557E-3</c:v>
                </c:pt>
                <c:pt idx="1">
                  <c:v>0.10682428955193379</c:v>
                </c:pt>
                <c:pt idx="2">
                  <c:v>0.20118137329383437</c:v>
                </c:pt>
                <c:pt idx="3">
                  <c:v>8.4442906003328849E-2</c:v>
                </c:pt>
                <c:pt idx="4">
                  <c:v>0.1440901941469907</c:v>
                </c:pt>
                <c:pt idx="5">
                  <c:v>0.16531137844713714</c:v>
                </c:pt>
                <c:pt idx="6">
                  <c:v>3.6969113847337323E-2</c:v>
                </c:pt>
                <c:pt idx="7">
                  <c:v>7.6008171586889606E-2</c:v>
                </c:pt>
                <c:pt idx="8">
                  <c:v>2.0058173806285991E-2</c:v>
                </c:pt>
                <c:pt idx="9">
                  <c:v>3.9024441476193099E-2</c:v>
                </c:pt>
                <c:pt idx="10">
                  <c:v>5.3000769658587847E-2</c:v>
                </c:pt>
                <c:pt idx="11">
                  <c:v>2.2782741160603127E-2</c:v>
                </c:pt>
                <c:pt idx="12">
                  <c:v>2.9925409944524629E-2</c:v>
                </c:pt>
                <c:pt idx="13">
                  <c:v>5.0654469088693551E-3</c:v>
                </c:pt>
                <c:pt idx="14">
                  <c:v>1.2282645026257456E-2</c:v>
                </c:pt>
                <c:pt idx="15">
                  <c:v>1.2292776108919902E-3</c:v>
                </c:pt>
              </c:numCache>
            </c:numRef>
          </c:val>
          <c:extLst>
            <c:ext xmlns:c16="http://schemas.microsoft.com/office/drawing/2014/chart" uri="{C3380CC4-5D6E-409C-BE32-E72D297353CC}">
              <c16:uniqueId val="{00000000-EA62-4260-99C3-6559DC8F01E6}"/>
            </c:ext>
          </c:extLst>
        </c:ser>
        <c:dLbls>
          <c:showLegendKey val="0"/>
          <c:showVal val="0"/>
          <c:showCatName val="0"/>
          <c:showSerName val="0"/>
          <c:showPercent val="0"/>
          <c:showBubbleSize val="0"/>
        </c:dLbls>
        <c:gapWidth val="219"/>
        <c:overlap val="-27"/>
        <c:axId val="231545967"/>
        <c:axId val="231545551"/>
        <c:extLst>
          <c:ext xmlns:c15="http://schemas.microsoft.com/office/drawing/2012/chart" uri="{02D57815-91ED-43cb-92C2-25804820EDAC}">
            <c15:filteredBarSeries>
              <c15:ser>
                <c:idx val="0"/>
                <c:order val="0"/>
                <c:tx>
                  <c:strRef>
                    <c:extLst>
                      <c:ext uri="{02D57815-91ED-43cb-92C2-25804820EDAC}">
                        <c15:formulaRef>
                          <c15:sqref>Sheet1!$D$5</c15:sqref>
                        </c15:formulaRef>
                      </c:ext>
                    </c:extLst>
                    <c:strCache>
                      <c:ptCount val="1"/>
                      <c:pt idx="0">
                        <c:v>2 Star</c:v>
                      </c:pt>
                    </c:strCache>
                  </c:strRef>
                </c:tx>
                <c:spPr>
                  <a:solidFill>
                    <a:srgbClr val="5B9BD5"/>
                  </a:solidFill>
                  <a:ln>
                    <a:noFill/>
                  </a:ln>
                  <a:effectLst/>
                  <a:extLst>
                    <a:ext uri="{91240B29-F687-4F45-9708-019B960494DF}">
                      <a14:hiddenLine xmlns:a14="http://schemas.microsoft.com/office/drawing/2010/main">
                        <a:noFill/>
                      </a14:hiddenLine>
                    </a:ext>
                  </a:extLst>
                </c:spPr>
                <c:invertIfNegative val="0"/>
                <c:cat>
                  <c:strRef>
                    <c:extLst>
                      <c:ext uri="{02D57815-91ED-43cb-92C2-25804820EDAC}">
                        <c15:formulaRef>
                          <c15:sqref>Sheet1!$E$4:$T$4</c15:sqref>
                        </c15:formulaRef>
                      </c:ext>
                    </c:extLst>
                    <c:strCache>
                      <c:ptCount val="16"/>
                      <c:pt idx="0">
                        <c:v>$0-$2,000</c:v>
                      </c:pt>
                      <c:pt idx="1">
                        <c:v>$2,000-$4,000</c:v>
                      </c:pt>
                      <c:pt idx="2">
                        <c:v>$4,000-$6,000</c:v>
                      </c:pt>
                      <c:pt idx="3">
                        <c:v>$6,000-$8,000</c:v>
                      </c:pt>
                      <c:pt idx="4">
                        <c:v>$8,000-$10,000</c:v>
                      </c:pt>
                      <c:pt idx="5">
                        <c:v>$10,000-$12,000</c:v>
                      </c:pt>
                      <c:pt idx="6">
                        <c:v>$12,000-$14,000</c:v>
                      </c:pt>
                      <c:pt idx="7">
                        <c:v>$14,000-$16,000</c:v>
                      </c:pt>
                      <c:pt idx="8">
                        <c:v>$16,000-$18,000</c:v>
                      </c:pt>
                      <c:pt idx="9">
                        <c:v>$18,000-$20,000</c:v>
                      </c:pt>
                      <c:pt idx="10">
                        <c:v>$20,000-$22,000</c:v>
                      </c:pt>
                      <c:pt idx="11">
                        <c:v>$22,000-$24,000</c:v>
                      </c:pt>
                      <c:pt idx="12">
                        <c:v>$24,000-$26,000</c:v>
                      </c:pt>
                      <c:pt idx="13">
                        <c:v>$26,000-$28,000</c:v>
                      </c:pt>
                      <c:pt idx="14">
                        <c:v>$28,000-$30,000</c:v>
                      </c:pt>
                      <c:pt idx="15">
                        <c:v>$30,000-$32,000</c:v>
                      </c:pt>
                    </c:strCache>
                  </c:strRef>
                </c:cat>
                <c:val>
                  <c:numRef>
                    <c:extLst>
                      <c:ext uri="{02D57815-91ED-43cb-92C2-25804820EDAC}">
                        <c15:formulaRef>
                          <c15:sqref>Sheet1!$E$5:$T$5</c15:sqref>
                        </c15:formulaRef>
                      </c:ext>
                    </c:extLst>
                    <c:numCache>
                      <c:formatCode>0%</c:formatCode>
                      <c:ptCount val="16"/>
                      <c:pt idx="0">
                        <c:v>3.2167375952547504E-2</c:v>
                      </c:pt>
                      <c:pt idx="1">
                        <c:v>0.20285454056445404</c:v>
                      </c:pt>
                      <c:pt idx="2">
                        <c:v>0.49362908012573531</c:v>
                      </c:pt>
                      <c:pt idx="3">
                        <c:v>5.0098683655937268E-2</c:v>
                      </c:pt>
                      <c:pt idx="4">
                        <c:v>0.10678671425241244</c:v>
                      </c:pt>
                      <c:pt idx="5">
                        <c:v>8.8124387909344681E-2</c:v>
                      </c:pt>
                      <c:pt idx="6">
                        <c:v>0</c:v>
                      </c:pt>
                      <c:pt idx="7">
                        <c:v>1.9906434545830173E-2</c:v>
                      </c:pt>
                      <c:pt idx="8">
                        <c:v>6.4327829937383986E-3</c:v>
                      </c:pt>
                      <c:pt idx="9">
                        <c:v>0</c:v>
                      </c:pt>
                      <c:pt idx="10">
                        <c:v>0</c:v>
                      </c:pt>
                      <c:pt idx="11">
                        <c:v>0</c:v>
                      </c:pt>
                      <c:pt idx="12">
                        <c:v>0</c:v>
                      </c:pt>
                      <c:pt idx="13">
                        <c:v>0</c:v>
                      </c:pt>
                      <c:pt idx="14">
                        <c:v>0</c:v>
                      </c:pt>
                      <c:pt idx="15">
                        <c:v>0</c:v>
                      </c:pt>
                    </c:numCache>
                  </c:numRef>
                </c:val>
                <c:extLst>
                  <c:ext xmlns:c16="http://schemas.microsoft.com/office/drawing/2014/chart" uri="{C3380CC4-5D6E-409C-BE32-E72D297353CC}">
                    <c16:uniqueId val="{00000001-EA62-4260-99C3-6559DC8F01E6}"/>
                  </c:ext>
                </c:extLst>
              </c15:ser>
            </c15:filteredBarSeries>
          </c:ext>
        </c:extLst>
      </c:barChart>
      <c:catAx>
        <c:axId val="2315459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rgbClr val="000000"/>
                </a:solidFill>
                <a:latin typeface="Arial Narrow"/>
                <a:ea typeface="Arial Narrow"/>
                <a:cs typeface="Arial Narrow"/>
              </a:defRPr>
            </a:pPr>
            <a:endParaRPr lang="en-US"/>
          </a:p>
        </c:txPr>
        <c:crossAx val="231545551"/>
        <c:crosses val="autoZero"/>
        <c:auto val="1"/>
        <c:lblAlgn val="ctr"/>
        <c:lblOffset val="100"/>
        <c:noMultiLvlLbl val="0"/>
      </c:catAx>
      <c:valAx>
        <c:axId val="231545551"/>
        <c:scaling>
          <c:orientation val="minMax"/>
          <c:max val="0.5"/>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rgbClr val="000000"/>
                </a:solidFill>
                <a:latin typeface="Arial Narrow"/>
                <a:ea typeface="Arial Narrow"/>
                <a:cs typeface="Arial Narrow"/>
              </a:defRPr>
            </a:pPr>
            <a:endParaRPr lang="en-US"/>
          </a:p>
        </c:txPr>
        <c:crossAx val="231545967"/>
        <c:crosses val="autoZero"/>
        <c:crossBetween val="between"/>
        <c:majorUnit val="0.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25400" cap="flat" cmpd="sng" algn="ctr">
      <a:noFill/>
      <a:round/>
    </a:ln>
    <a:effectLst/>
  </c:spPr>
  <c:txPr>
    <a:bodyPr/>
    <a:lstStyle/>
    <a:p>
      <a:pPr>
        <a:defRPr sz="800">
          <a:solidFill>
            <a:srgbClr val="000000"/>
          </a:solidFill>
          <a:latin typeface="Arial Narrow"/>
          <a:ea typeface="Arial Narrow"/>
          <a:cs typeface="Arial Narrow"/>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CA2EAF96CBE47A787C225B98BD4D891"/>
        <w:category>
          <w:name w:val="General"/>
          <w:gallery w:val="placeholder"/>
        </w:category>
        <w:types>
          <w:type w:val="bbPlcHdr"/>
        </w:types>
        <w:behaviors>
          <w:behavior w:val="content"/>
        </w:behaviors>
        <w:guid w:val="{FE40A3CD-9A01-48D5-B8A9-0EC72EC66A5C}"/>
      </w:docPartPr>
      <w:docPartBody>
        <w:p w:rsidR="00000000" w:rsidRDefault="00283CCE" w:rsidP="00283CCE">
          <w:pPr>
            <w:pStyle w:val="3CA2EAF96CBE47A787C225B98BD4D891"/>
          </w:pPr>
          <w:r w:rsidRPr="00B22C62">
            <w:rPr>
              <w:rStyle w:val="PlaceholderText"/>
            </w:rPr>
            <w:t>Click or tap to enter a date.</w:t>
          </w:r>
        </w:p>
      </w:docPartBody>
    </w:docPart>
    <w:docPart>
      <w:docPartPr>
        <w:name w:val="5353BE9BF02E4449917F71C9348A8F3E"/>
        <w:category>
          <w:name w:val="General"/>
          <w:gallery w:val="placeholder"/>
        </w:category>
        <w:types>
          <w:type w:val="bbPlcHdr"/>
        </w:types>
        <w:behaviors>
          <w:behavior w:val="content"/>
        </w:behaviors>
        <w:guid w:val="{A976F3DC-8852-4C43-B92A-72E33544A969}"/>
      </w:docPartPr>
      <w:docPartBody>
        <w:p w:rsidR="00000000" w:rsidRDefault="00283CCE" w:rsidP="00283CCE">
          <w:pPr>
            <w:pStyle w:val="5353BE9BF02E4449917F71C9348A8F3E"/>
          </w:pPr>
          <w:r w:rsidRPr="00B22C62">
            <w:rPr>
              <w:rStyle w:val="PlaceholderText"/>
            </w:rPr>
            <w:t>Report 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Yu Gothic Medium">
    <w:panose1 w:val="020B05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sig w:usb0="00000003" w:usb1="00000000" w:usb2="00000000" w:usb3="00000000" w:csb0="00000001" w:csb1="00000000"/>
  </w:font>
  <w:font w:name="HelveticaNeueLT Std Lt Cn">
    <w:panose1 w:val="00000000000000000000"/>
    <w:charset w:val="00"/>
    <w:family w:val="swiss"/>
    <w:notTrueType/>
    <w:pitch w:val="variable"/>
    <w:sig w:usb0="800000AF" w:usb1="4000204A" w:usb2="00000000" w:usb3="00000000" w:csb0="00000001"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panose1 w:val="00000000000000000000"/>
    <w:charset w:val="00"/>
    <w:family w:val="modern"/>
    <w:notTrueType/>
    <w:pitch w:val="variable"/>
    <w:sig w:usb0="A000002F" w:usb1="40000048" w:usb2="00000000" w:usb3="00000000" w:csb0="00000111" w:csb1="00000000"/>
  </w:font>
  <w:font w:name="Didot LT Std Headline">
    <w:altName w:val="Calibri"/>
    <w:panose1 w:val="00000000000000000000"/>
    <w:charset w:val="00"/>
    <w:family w:val="modern"/>
    <w:notTrueType/>
    <w:pitch w:val="variable"/>
    <w:sig w:usb0="800000AF" w:usb1="5000204A" w:usb2="00000000" w:usb3="00000000" w:csb0="00000001" w:csb1="00000000"/>
  </w:font>
  <w:font w:name="HelveticaNeueLT Std Cn">
    <w:altName w:val="Arial"/>
    <w:panose1 w:val="00000000000000000000"/>
    <w:charset w:val="00"/>
    <w:family w:val="swiss"/>
    <w:notTrueType/>
    <w:pitch w:val="variable"/>
    <w:sig w:usb0="800000AF" w:usb1="4000204A" w:usb2="00000000" w:usb3="00000000" w:csb0="00000001" w:csb1="00000000"/>
  </w:font>
  <w:font w:name="Novecento Book">
    <w:altName w:val="Calibri"/>
    <w:panose1 w:val="00000000000000000000"/>
    <w:charset w:val="00"/>
    <w:family w:val="modern"/>
    <w:notTrueType/>
    <w:pitch w:val="variable"/>
    <w:sig w:usb0="00000007" w:usb1="00000000" w:usb2="00000000" w:usb3="00000000" w:csb0="00000093" w:csb1="00000000"/>
  </w:font>
  <w:font w:name="PMingLiU">
    <w:altName w:val="新細明體"/>
    <w:panose1 w:val="02010601000101010101"/>
    <w:charset w:val="88"/>
    <w:family w:val="roman"/>
    <w:pitch w:val="variable"/>
    <w:sig w:usb0="A00002FF" w:usb1="28CFFCFA" w:usb2="00000016" w:usb3="00000000" w:csb0="00100001" w:csb1="00000000"/>
  </w:font>
  <w:font w:name="Myriad Pro">
    <w:altName w:val="Segoe UI"/>
    <w:panose1 w:val="00000000000000000000"/>
    <w:charset w:val="00"/>
    <w:family w:val="swiss"/>
    <w:notTrueType/>
    <w:pitch w:val="default"/>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CCE"/>
    <w:rsid w:val="00283C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3CCE"/>
    <w:rPr>
      <w:color w:val="808080"/>
    </w:rPr>
  </w:style>
  <w:style w:type="paragraph" w:customStyle="1" w:styleId="3CA2EAF96CBE47A787C225B98BD4D891">
    <w:name w:val="3CA2EAF96CBE47A787C225B98BD4D891"/>
    <w:rsid w:val="00283CCE"/>
  </w:style>
  <w:style w:type="paragraph" w:customStyle="1" w:styleId="5353BE9BF02E4449917F71C9348A8F3E">
    <w:name w:val="5353BE9BF02E4449917F71C9348A8F3E"/>
    <w:rsid w:val="00283CC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Sus16</b:Tag>
    <b:SourceType>Report</b:SourceType>
    <b:Guid>{656E7CBA-8500-4C89-99BA-4A8A0E964FAF}</b:Guid>
    <b:Title>Draught Sealing Retrofit Trial</b:Title>
    <b:Year>2016</b:Year>
    <b:City>Melbourne</b:City>
    <b:Publisher>Sustainability Victoria</b:Publisher>
    <b:Author>
      <b:Author>
        <b:Corporate>Sustainability Victoria</b:Corporate>
      </b:Author>
    </b:Author>
    <b:RefOrder>1</b:RefOrder>
  </b:Source>
  <b:Source>
    <b:Tag>EYS16</b:Tag>
    <b:SourceType>Report</b:SourceType>
    <b:Guid>{DB79BDC6-702E-4435-A08C-228D6D4EAEAD}</b:Guid>
    <b:Title>Rental experiences of tenants, landlords, property managers, and park residents in Victoria</b:Title>
    <b:Year>2016</b:Year>
    <b:Author>
      <b:Author>
        <b:Corporate>EY Sweeney</b:Corporate>
      </b:Author>
    </b:Author>
    <b:Publisher>EY Sweeney</b:Publisher>
    <b:RefOrder>2</b:RefOrder>
  </b:Source>
  <b:Source>
    <b:Tag>CHO18</b:Tag>
    <b:SourceType>Report</b:SourceType>
    <b:Guid>{B4402280-C9BC-44FB-8BAE-235465A8C8CB}</b:Guid>
    <b:Author>
      <b:Author>
        <b:Corporate>CHOICE</b:Corporate>
      </b:Author>
    </b:Author>
    <b:Title>Disrupted: The consumer experience of renting in Australia</b:Title>
    <b:Year>2018</b:Year>
    <b:Publisher>CHOICE</b:Publisher>
    <b:RefOrder>3</b:RefOrder>
  </b:Source>
  <b:Source>
    <b:Tag>Vic19</b:Tag>
    <b:SourceType>Report</b:SourceType>
    <b:Guid>{B222EDA7-207D-4276-96EA-A273135D0FDD}</b:Guid>
    <b:Author>
      <b:Author>
        <b:Corporate>Victorian Residential Efficiency Scorecard Team</b:Corporate>
      </b:Author>
    </b:Author>
    <b:Title>Victorian Residentail Efficiency Scorecard</b:Title>
    <b:Year>2019</b:Year>
    <b:Publisher>Department of Environment, Land, Water and Planning</b:Publisher>
    <b:City>Melbourne</b:City>
    <b:RefOrder>4</b:RefOrder>
  </b:Source>
  <b:Source>
    <b:Tag>New18</b:Tag>
    <b:SourceType>Report</b:SourceType>
    <b:Guid>{1DA81CDE-2AD9-466A-BD5F-CAB4C8128B0F}</b:Guid>
    <b:Author>
      <b:Author>
        <b:Corporate>Newgate Research</b:Corporate>
      </b:Author>
    </b:Author>
    <b:Title>Research Report on Energy Efficiency in Rental Properties</b:Title>
    <b:Year>2018</b:Year>
    <b:Publisher>Department of Environment, Land, Water and Planning</b:Publisher>
    <b:City>Melbourne</b:City>
    <b:RefOrder>5</b:RefOrder>
  </b:Source>
  <b:Source>
    <b:Tag>CMT20</b:Tag>
    <b:SourceType>Report</b:SourceType>
    <b:Guid>{E13D7090-90F3-4915-82C2-F8F31BA0DFA5}</b:Guid>
    <b:Author>
      <b:Author>
        <b:Corporate>CMTEDD</b:Corporate>
      </b:Author>
    </b:Author>
    <b:Title>Residential Property Market – December Quarter 2020</b:Title>
    <b:Year>2020</b:Year>
    <b:Publisher>Chief Minister, Treasury and Economic Development</b:Publisher>
    <b:City>Canberra</b:City>
    <b:RefOrder>6</b:RefOrder>
  </b:Source>
  <b:Source>
    <b:Tag>ABS19</b:Tag>
    <b:SourceType>Report</b:SourceType>
    <b:Guid>{EC129687-7B29-4A05-94BF-85FD9F323DD9}</b:Guid>
    <b:Author>
      <b:Author>
        <b:Corporate>ABS</b:Corporate>
      </b:Author>
    </b:Author>
    <b:Title>Microdata: Income and Housing, Australia, 2017-18</b:Title>
    <b:Year>2019</b:Year>
    <b:Publisher>Australian Bureau of Statistics</b:Publisher>
    <b:City>Canberra</b:City>
    <b:URL>https://www.abs.gov.au/AUSSTATS/abs@.nsf/Lookup/6541.0.30.001Main+Features32017-18?OpenDocument</b:URL>
    <b:RefOrder>7</b:RefOrder>
  </b:Source>
  <b:Source>
    <b:Tag>Pro19</b:Tag>
    <b:SourceType>Report</b:SourceType>
    <b:Guid>{FD65D3CE-4EEF-4B42-9829-476B49CC0B7E}</b:Guid>
    <b:Author>
      <b:Author>
        <b:Corporate>Productivity Commission</b:Corporate>
      </b:Author>
    </b:Author>
    <b:Title>Vulnerable Private Renters: Evidence and Options</b:Title>
    <b:Year>2019</b:Year>
    <b:Publisher>Productivity Commission</b:Publisher>
    <b:City>Canberra</b:City>
    <b:RefOrder>8</b:RefOrder>
  </b:Source>
  <b:Source>
    <b:Tag>ABS21</b:Tag>
    <b:SourceType>Report</b:SourceType>
    <b:Guid>{F6826BB4-A824-4CB5-821C-39648E1976ED}</b:Guid>
    <b:Author>
      <b:Author>
        <b:Corporate>ABS</b:Corporate>
      </b:Author>
    </b:Author>
    <b:Title>Household Expenditure Survey, household expenditure 1984 to 2015-16</b:Title>
    <b:Year>2021</b:Year>
    <b:Publisher>Australian Bureau of Statistics</b:Publisher>
    <b:City>Canberra</b:City>
    <b:URL>https://www.abs.gov.au/statistics/economy/finance/household-expenditure-survey-australia-summary-results/latest-release</b:URL>
    <b:RefOrder>9</b:RefOrder>
  </b:Source>
  <b:Source>
    <b:Tag>Ben18</b:Tag>
    <b:SourceType>Report</b:SourceType>
    <b:Guid>{E4786128-1B24-4EBB-9105-2B56BFDA9A09}</b:Guid>
    <b:Title>Trends in household energy expenditure</b:Title>
    <b:Year>2018</b:Year>
    <b:Publisher>ANU Centre for Social Research Methods</b:Publisher>
    <b:City>Canberra</b:City>
    <b:Author>
      <b:Author>
        <b:NameList>
          <b:Person>
            <b:Last>Phillips</b:Last>
            <b:First>Ben</b:First>
          </b:Person>
        </b:NameList>
      </b:Author>
    </b:Author>
    <b:ThesisType>Report for ACOSS and the Brotherhood of St Laurence</b:ThesisType>
    <b:URL>https://www.acoss.org.au/wp-content/uploads/2018/10/energy-stressed-in-australia.pdf</b:URL>
    <b:RefOrder>10</b:RefOrder>
  </b:Source>
  <b:Source>
    <b:Tag>Dep13</b:Tag>
    <b:SourceType>InternetSite</b:SourceType>
    <b:Guid>{DDF12214-F8FF-4954-8ADE-05991DB012FF}</b:Guid>
    <b:Title>Design for climate</b:Title>
    <b:Year>2013</b:Year>
    <b:Author>
      <b:Author>
        <b:Corporate>Department of Industry, Science, Energy and Resources</b:Corporate>
      </b:Author>
    </b:Author>
    <b:InternetSiteTitle>YourHome</b:InternetSiteTitle>
    <b:URL>https://www.yourhome.gov.au/passive-design/design-climate</b:URL>
    <b:RefOrder>11</b:RefOrder>
  </b:Source>
  <b:Source>
    <b:Tag>Lan19</b:Tag>
    <b:SourceType>Report</b:SourceType>
    <b:Guid>{7B2AE4AC-D568-4F3A-A578-1900A263FBFE}</b:Guid>
    <b:Title>Extreme heat driven by the climate emergency: impacts on the health and wellbeing impacts of public housing tenants in Mildura, Victoria</b:Title>
    <b:Year>2019</b:Year>
    <b:Author>
      <b:Author>
        <b:NameList>
          <b:Person>
            <b:Last>Lander</b:Last>
            <b:First>J</b:First>
          </b:Person>
          <b:Person>
            <b:Last>Breth-Petersen</b:Last>
            <b:First>M</b:First>
          </b:Person>
          <b:Person>
            <b:Last>Moait</b:Last>
            <b:First>R</b:First>
          </b:Person>
          <b:Person>
            <b:Last>Forbes</b:Last>
            <b:First>C</b:First>
          </b:Person>
          <b:Person>
            <b:Last>Stephens</b:Last>
            <b:First>L</b:First>
          </b:Person>
          <b:Person>
            <b:Last>Dickson</b:Last>
            <b:First>M</b:First>
          </b:Person>
        </b:NameList>
      </b:Author>
    </b:Author>
    <b:Publisher>Mallee Family Care</b:Publisher>
    <b:City>Sydney</b:City>
    <b:RefOrder>12</b:RefOrder>
  </b:Source>
  <b:Source>
    <b:Tag>IEA15</b:Tag>
    <b:SourceType>Report</b:SourceType>
    <b:Guid>{F22B76C3-CE0B-48CF-9E3D-D6B1BD1D5094}</b:Guid>
    <b:Author>
      <b:Author>
        <b:Corporate>IEA</b:Corporate>
      </b:Author>
    </b:Author>
    <b:Title>Capturing the Multiple Benefits of Energy Efficiency</b:Title>
    <b:Year>2015</b:Year>
    <b:Publisher>International Energy Agency</b:Publisher>
    <b:City>Paris</b:City>
    <b:RefOrder>13</b:RefOrder>
  </b:Source>
  <b:Source>
    <b:Tag>WHO18</b:Tag>
    <b:SourceType>Report</b:SourceType>
    <b:Guid>{4479D578-9A97-461D-BC57-38B92663AC44}</b:Guid>
    <b:Author>
      <b:Author>
        <b:Corporate>WHO</b:Corporate>
      </b:Author>
    </b:Author>
    <b:Title>Housing and health guidelines</b:Title>
    <b:Year>2018</b:Year>
    <b:Publisher>World Health Organisation</b:Publisher>
    <b:City>Geneva</b:City>
    <b:RefOrder>14</b:RefOrder>
  </b:Source>
  <b:Source>
    <b:Tag>Gas15</b:Tag>
    <b:SourceType>JournalArticle</b:SourceType>
    <b:Guid>{3D7D6B2B-84DA-4732-89A7-C2FBC6E1A0EC}</b:Guid>
    <b:Title>Mortalitiy risk attributable to high and low ambient temperature: a multicountry observational study</b:Title>
    <b:JournalName>The Lancet</b:JournalName>
    <b:Year>2015</b:Year>
    <b:Pages>369-375</b:Pages>
    <b:Author>
      <b:Author>
        <b:NameList>
          <b:Person>
            <b:Last>Gasparrini</b:Last>
            <b:First>Antonio</b:First>
          </b:Person>
          <b:Person>
            <b:Last>Guo</b:Last>
            <b:First>Yuming</b:First>
          </b:Person>
          <b:Person>
            <b:Last>Hashizume</b:Last>
            <b:First>Masahiro</b:First>
          </b:Person>
          <b:Person>
            <b:Last>Lavigne</b:Last>
            <b:First>Eric</b:First>
          </b:Person>
          <b:Person>
            <b:Last>Zanobetti</b:Last>
            <b:First>Antonella</b:First>
          </b:Person>
          <b:Person>
            <b:Last>Schwartz</b:Last>
            <b:First>Joel</b:First>
          </b:Person>
        </b:NameList>
      </b:Author>
    </b:Author>
    <b:RefOrder>15</b:RefOrder>
  </b:Source>
  <b:Source>
    <b:Tag>For19</b:Tag>
    <b:SourceType>JournalArticle</b:SourceType>
    <b:Guid>{759A0644-C25C-4E57-A0EE-27E445040AC0}</b:Guid>
    <b:Title>Cold and lonely: emergency presentations or patients with hypothermia to a large Australian health network</b:Title>
    <b:Year>2019</b:Year>
    <b:JournalName>Internal Medicine Journal</b:JournalName>
    <b:Pages>54-60</b:Pages>
    <b:Author>
      <b:Author>
        <b:NameList>
          <b:Person>
            <b:Last>Forcey</b:Last>
            <b:First>D.S.</b:First>
          </b:Person>
          <b:Person>
            <b:Last>FitzGerald</b:Last>
            <b:First>M.P.</b:First>
          </b:Person>
          <b:Person>
            <b:Last>Burggraf</b:Last>
            <b:First>M.P.</b:First>
          </b:Person>
          <b:Person>
            <b:Last>Nagalingam</b:Last>
            <b:First>V.</b:First>
          </b:Person>
          <b:Person>
            <b:Last>Ananda-Rajah</b:Last>
            <b:First>M.R.</b:First>
          </b:Person>
        </b:NameList>
      </b:Author>
    </b:Author>
    <b:RefOrder>16</b:RefOrder>
  </b:Source>
  <b:Source>
    <b:Tag>Bet19</b:Tag>
    <b:SourceType>Report</b:SourceType>
    <b:Guid>{8DF9A468-FD0C-43BF-8299-25E52506BB71}</b:Guid>
    <b:Author>
      <b:Author>
        <b:Corporate>Better Renting</b:Corporate>
      </b:Author>
    </b:Author>
    <b:Title>Unsafe as Houses: Cold-housing deaths in the ACT</b:Title>
    <b:Year>2019</b:Year>
    <b:Publisher>Better Renting</b:Publisher>
    <b:City>Canberra</b:City>
    <b:RefOrder>17</b:RefOrder>
  </b:Source>
  <b:Source>
    <b:Tag>Ala16</b:Tag>
    <b:SourceType>JournalArticle</b:SourceType>
    <b:Guid>{4553773D-FC82-4C73-AF2B-B4A5AF5DC800}</b:Guid>
    <b:Title>Modelling the correlation between building energy ratings and heat-related mortality and morbidity</b:Title>
    <b:Year>2016</b:Year>
    <b:JournalName>Sustainable Cities and Society</b:JournalName>
    <b:Pages>29-39</b:Pages>
    <b:Author>
      <b:Author>
        <b:NameList>
          <b:Person>
            <b:Last>Alam</b:Last>
            <b:First>M</b:First>
          </b:Person>
          <b:Person>
            <b:Last>Sanjayan</b:Last>
            <b:First>J</b:First>
          </b:Person>
          <b:Person>
            <b:Last>Zou</b:Last>
            <b:First>P X W</b:First>
          </b:Person>
          <b:Person>
            <b:Last>Stewart</b:Last>
            <b:First>M</b:First>
          </b:Person>
          <b:Person>
            <b:Last>Wilson</b:Last>
            <b:First>J</b:First>
          </b:Person>
        </b:NameList>
      </b:Author>
    </b:Author>
    <b:RefOrder>18</b:RefOrder>
  </b:Source>
  <b:Source>
    <b:Tag>ACI171</b:Tag>
    <b:SourceType>Report</b:SourceType>
    <b:Guid>{A73336A4-2EEA-405A-B589-750EBF064726}</b:Guid>
    <b:Author>
      <b:Author>
        <b:Corporate>ACIL Allen</b:Corporate>
      </b:Author>
    </b:Author>
    <b:Title>Multiple Impacts of Household Energy Efficiency: an Assessment Framework</b:Title>
    <b:Year>2017</b:Year>
    <b:Publisher>ACIL Allen</b:Publisher>
    <b:ThesisType>report to Energy Consumers Australia</b:ThesisType>
    <b:RefOrder>19</b:RefOrder>
  </b:Source>
  <b:Source>
    <b:Tag>Jue20</b:Tag>
    <b:SourceType>JournalArticle</b:SourceType>
    <b:Guid>{9D3700F9-26AE-4710-81B0-A6800C869648}</b:Guid>
    <b:Title>Household dampness and microbial exposuer related to allergy and respiratory health in Danish adults</b:Title>
    <b:Year>2020</b:Year>
    <b:Author>
      <b:Author>
        <b:NameList>
          <b:Person>
            <b:Last>Juel Holst</b:Last>
            <b:First>G</b:First>
          </b:Person>
          <b:Person>
            <b:Last>Porneki</b:Last>
            <b:First>A</b:First>
          </b:Person>
          <b:Person>
            <b:Last>Lindgreen</b:Last>
            <b:First>J</b:First>
          </b:Person>
          <b:Person>
            <b:Last>Thuesen</b:Last>
            <b:First>B</b:First>
          </b:Person>
          <b:Person>
            <b:Last>Bonlokke</b:Last>
            <b:First>J</b:First>
          </b:Person>
          <b:Person>
            <b:Last>Hyvarinen</b:Last>
            <b:First>A</b:First>
          </b:Person>
          <b:Person>
            <b:Last>Elhoml</b:Last>
            <b:First>G</b:First>
          </b:Person>
          <b:Person>
            <b:Last>Ostegaard</b:Last>
            <b:First>K</b:First>
          </b:Person>
          <b:Person>
            <b:Last>Loft</b:Last>
            <b:First>S</b:First>
          </b:Person>
          <b:Person>
            <b:Last>Brooks</b:Last>
            <b:First>C</b:First>
          </b:Person>
          <b:Person>
            <b:Last>Douwes</b:Last>
            <b:First>J</b:First>
          </b:Person>
          <b:Person>
            <b:Last>Linneberg</b:Last>
            <b:First>A</b:First>
          </b:Person>
          <b:Person>
            <b:Last>Sigsgaard</b:Last>
            <b:First>T</b:First>
          </b:Person>
        </b:NameList>
      </b:Author>
    </b:Author>
    <b:JournalName>Eur Clin Respir J.</b:JournalName>
    <b:RefOrder>20</b:RefOrder>
  </b:Source>
  <b:Source>
    <b:Tag>Tis11</b:Tag>
    <b:SourceType>JournalArticle</b:SourceType>
    <b:Guid>{81AB7105-2C3E-4F55-ACEA-1C8BB93B6AF0}</b:Guid>
    <b:Author>
      <b:Author>
        <b:NameList>
          <b:Person>
            <b:Last>Tischer</b:Last>
            <b:First>C</b:First>
          </b:Person>
          <b:Person>
            <b:Last>Chen</b:Last>
            <b:First>CM</b:First>
          </b:Person>
          <b:Person>
            <b:Last>Heinrich</b:Last>
            <b:First>J</b:First>
          </b:Person>
        </b:NameList>
      </b:Author>
    </b:Author>
    <b:Title>Association between domestic mould and mould components, and asthma and allergy in children; a systematic review</b:Title>
    <b:JournalName>Eur Respir J.</b:JournalName>
    <b:Year>2011</b:Year>
    <b:Pages>812-824</b:Pages>
    <b:RefOrder>21</b:RefOrder>
  </b:Source>
  <b:Source>
    <b:Tag>Kni18</b:Tag>
    <b:SourceType>JournalArticle</b:SourceType>
    <b:Guid>{B0FA7FC4-A10E-40B8-9F1B-57FDCDCA7D68}</b:Guid>
    <b:Title>Damp hosing, gas stoves and the burden of childhood asthma in Australia</b:Title>
    <b:Year>2018</b:Year>
    <b:JournalName>Medical Journal of Australia</b:JournalName>
    <b:Pages>299-302</b:Pages>
    <b:Author>
      <b:Author>
        <b:NameList>
          <b:Person>
            <b:Last>Knibbs</b:Last>
            <b:First>L.D.</b:First>
          </b:Person>
          <b:Person>
            <b:Last>Woldeyohannes</b:Last>
            <b:First>S</b:First>
          </b:Person>
          <b:Person>
            <b:Last>Marks</b:Last>
            <b:First>G.B.</b:First>
          </b:Person>
          <b:Person>
            <b:Last>Cowie</b:Last>
            <b:First>C.T.</b:First>
          </b:Person>
        </b:NameList>
      </b:Author>
    </b:Author>
    <b:Volume>208</b:Volume>
    <b:Issue>7</b:Issue>
    <b:RefOrder>22</b:RefOrder>
  </b:Source>
  <b:Source>
    <b:Tag>Vel21</b:Tag>
    <b:SourceType>DocumentFromInternetSite</b:SourceType>
    <b:Guid>{DE0B3FE4-442A-4F8B-88D0-C3942F73D6C4}</b:Guid>
    <b:Author>
      <b:Author>
        <b:Corporate>Velux</b:Corporate>
      </b:Author>
    </b:Author>
    <b:Title>Healthy homes barometer 2020</b:Title>
    <b:Year>2021</b:Year>
    <b:Month>March</b:Month>
    <b:Day>15</b:Day>
    <b:URL>https://velcdn.azureedge.net/-/media/com/healthy-homes-barometer/hhb-2020/hhb_main_report_2020.pdf</b:URL>
    <b:RefOrder>23</b:RefOrder>
  </b:Source>
  <b:Source>
    <b:Tag>Mud07</b:Tag>
    <b:SourceType>JournalArticle</b:SourceType>
    <b:Guid>{544E70F1-3EB5-4359-9D61-AF106B734620}</b:Guid>
    <b:Title>Public health and economic impact of dampness and mold</b:Title>
    <b:Year>2007</b:Year>
    <b:JournalName>Indoor Air</b:JournalName>
    <b:Pages>226-235</b:Pages>
    <b:Author>
      <b:Author>
        <b:NameList>
          <b:Person>
            <b:Last>Mudarri</b:Last>
            <b:First>D</b:First>
          </b:Person>
          <b:Person>
            <b:Last>Fisk</b:Last>
            <b:First>W.J.</b:First>
          </b:Person>
        </b:NameList>
      </b:Author>
    </b:Author>
    <b:Volume>17</b:Volume>
    <b:RefOrder>24</b:RefOrder>
  </b:Source>
  <b:Source>
    <b:Tag>How07</b:Tag>
    <b:SourceType>JournalArticle</b:SourceType>
    <b:Guid>{A74CA770-B99D-4AD5-B7CD-5448753FC4FC}</b:Guid>
    <b:Title>Effect of insulating existing houses on health inequality: cluster randomised study in the community</b:Title>
    <b:JournalName>British Medical Journal</b:JournalName>
    <b:Year>2007</b:Year>
    <b:Author>
      <b:Author>
        <b:NameList>
          <b:Person>
            <b:Last>Howden-Chapman</b:Last>
            <b:First>Phllippa</b:First>
          </b:Person>
          <b:Person>
            <b:Last>Matheson</b:Last>
            <b:First>Anna</b:First>
          </b:Person>
          <b:Person>
            <b:Last>Crane</b:Last>
            <b:First>Julian</b:First>
          </b:Person>
          <b:Person>
            <b:Last>Viggers</b:Last>
            <b:First>Helen</b:First>
          </b:Person>
          <b:Person>
            <b:Last>Cunningham</b:Last>
            <b:First>Malcolm</b:First>
          </b:Person>
          <b:Person>
            <b:Last>Blakely</b:Last>
            <b:First>Tony</b:First>
          </b:Person>
          <b:Person>
            <b:Last>Cunningham</b:Last>
            <b:First>Chris</b:First>
          </b:Person>
          <b:Person>
            <b:Last>Woodward</b:Last>
            <b:First>Alistair</b:First>
          </b:Person>
          <b:Person>
            <b:Last>Saville-Smith</b:Last>
            <b:First>Kay</b:First>
          </b:Person>
          <b:Person>
            <b:Last>O'Dea</b:Last>
            <b:First>Des</b:First>
          </b:Person>
          <b:Person>
            <b:Last>Kennedy</b:Last>
            <b:First>Martin</b:First>
          </b:Person>
          <b:Person>
            <b:Last>Baker</b:Last>
            <b:First>Michael</b:First>
          </b:Person>
          <b:Person>
            <b:Last>Waipara</b:Last>
            <b:First>Nick</b:First>
          </b:Person>
          <b:Person>
            <b:Last>Chapman</b:Last>
            <b:First>Ralph</b:First>
          </b:Person>
          <b:Person>
            <b:Last>Davie</b:Last>
            <b:First>Gabrielle</b:First>
          </b:Person>
        </b:NameList>
      </b:Author>
    </b:Author>
    <b:RefOrder>25</b:RefOrder>
  </b:Source>
  <b:Source>
    <b:Tag>Del15</b:Tag>
    <b:SourceType>Report</b:SourceType>
    <b:Guid>{511817D2-6142-4C05-9F92-517C3FFAA38F}</b:Guid>
    <b:Title>The Hidden Cost of Asthma, report prepared fo rthe Asthma Australia and National Asthma Council of Australia, November</b:Title>
    <b:Year>2015</b:Year>
    <b:Author>
      <b:Author>
        <b:Corporate>Deloitte Access Economics</b:Corporate>
      </b:Author>
    </b:Author>
    <b:RefOrder>26</b:RefOrder>
  </b:Source>
  <b:Source>
    <b:Tag>Acc08</b:Tag>
    <b:SourceType>Report</b:SourceType>
    <b:Guid>{79500CC5-F3BF-4F1B-AE65-A10FF4257654}</b:Guid>
    <b:Author>
      <b:Author>
        <b:Corporate>Access Economics</b:Corporate>
      </b:Author>
    </b:Author>
    <b:Title>Economic Impact of COPD and Cost Effective Solutions, report prepared for the Australian Lung Foundation</b:Title>
    <b:Year>2008</b:Year>
    <b:RefOrder>27</b:RefOrder>
  </b:Source>
  <b:Source>
    <b:Tag>DIS19</b:Tag>
    <b:SourceType>Report</b:SourceType>
    <b:Guid>{78AAA835-9909-4843-8F56-8DF01C373CDB}</b:Guid>
    <b:Author>
      <b:Author>
        <b:Corporate>DISER</b:Corporate>
      </b:Author>
    </b:Author>
    <b:Title>Australian Energy Update</b:Title>
    <b:Year>2020</b:Year>
    <b:Publisher>Department of Industry, Science, Energy and Resources</b:Publisher>
    <b:City>Canberra</b:City>
    <b:RefOrder>28</b:RefOrder>
  </b:Source>
  <b:Source>
    <b:Tag>COA20</b:Tag>
    <b:SourceType>Report</b:SourceType>
    <b:Guid>{42F39450-93A8-466A-8C04-EA7ACDC0D326}</b:Guid>
    <b:Author>
      <b:Author>
        <b:Corporate>COAG Energy Council</b:Corporate>
      </b:Author>
    </b:Author>
    <b:Title>Report for Achieving Low Energy Existing Homes</b:Title>
    <b:Year>2020</b:Year>
    <b:Publisher>COAG Energy Council</b:Publisher>
    <b:DayAccessed>September 2020</b:DayAccessed>
    <b:URL>http://coagenergycouncil.gov.au/sites/prod.energycouncil/files/publications/documents/Trajectory%20Addendum%20-%20Report%20for%20Achieving%20Low%20Energy%20Existing%20Homes_1.pd</b:URL>
    <b:RefOrder>29</b:RefOrder>
  </b:Source>
  <b:Source>
    <b:Tag>Mur19</b:Tag>
    <b:SourceType>Report</b:SourceType>
    <b:Guid>{1E07A220-0ADB-48D0-B5C2-2F41FD08B749}</b:Guid>
    <b:Author>
      <b:Author>
        <b:NameList>
          <b:Person>
            <b:Last>Murray-Leach</b:Last>
            <b:First>R</b:First>
          </b:Person>
        </b:NameList>
      </b:Author>
    </b:Author>
    <b:Title>The World's First Fuel: How energy efficiency is reshaping global energy systems</b:Title>
    <b:Year>2019</b:Year>
    <b:Publisher>Energy Efficiency Council</b:Publisher>
    <b:City>Melbourne</b:City>
    <b:RefOrder>30</b:RefOrder>
  </b:Source>
  <b:Source>
    <b:Tag>Bet191</b:Tag>
    <b:SourceType>Report</b:SourceType>
    <b:Guid>{763E6428-95E5-4E0C-B4CE-1CA109E97C42}</b:Guid>
    <b:Author>
      <b:Author>
        <b:Corporate>Better Renting</b:Corporate>
      </b:Author>
    </b:Author>
    <b:Title>Baby it's Cold Inside: Energy Efficienct Ratings in the ACT</b:Title>
    <b:Year>2019</b:Year>
    <b:Publisher>Better Renting</b:Publisher>
    <b:City>Canberra</b:City>
    <b:RefOrder>31</b:RefOrder>
  </b:Source>
  <b:Source>
    <b:Tag>NSW15</b:Tag>
    <b:SourceType>Report</b:SourceType>
    <b:Guid>{C6B6B696-2073-421B-9BAB-3A7FBA8D8E83}</b:Guid>
    <b:Author>
      <b:Author>
        <b:Corporate>NSW Government</b:Corporate>
      </b:Author>
    </b:Author>
    <b:Title>Review of the NSW Energy Savings Scheme, Final Statutory Review Report</b:Title>
    <b:Year>2015</b:Year>
    <b:RefOrder>32</b:RefOrder>
  </b:Source>
  <b:Source>
    <b:Tag>ABS18</b:Tag>
    <b:SourceType>Report</b:SourceType>
    <b:Guid>{857ACFE0-ED30-4DFB-91F2-C16516A0F820}</b:Guid>
    <b:Author>
      <b:Author>
        <b:Corporate>ABS</b:Corporate>
      </b:Author>
    </b:Author>
    <b:Title>Census of Population and Houseing, 2016, TableBuilder</b:Title>
    <b:Year>2018</b:Year>
    <b:Publisher>Australian Bureau of Statistics</b:Publisher>
    <b:City>Canberra</b:City>
    <b:RefOrder>33</b:RefOrder>
  </b:Source>
  <b:Source>
    <b:Tag>ABC19</b:Tag>
    <b:SourceType>Report</b:SourceType>
    <b:Guid>{E44DF6CD-1D36-4D73-888C-C10E65E2C863}</b:Guid>
    <b:Title>National Construction Code - Roofing</b:Title>
    <b:Year>2019</b:Year>
    <b:Author>
      <b:Author>
        <b:Corporate>ABCB</b:Corporate>
      </b:Author>
    </b:Author>
    <b:Publisher>Australian Building Codes Board</b:Publisher>
    <b:City>Canberra</b:City>
    <b:RefOrder>34</b:RefOrder>
  </b:Source>
  <b:Source>
    <b:Tag>All11</b:Tag>
    <b:SourceType>Report</b:SourceType>
    <b:Guid>{6645D578-B373-4075-9A21-0F479FBBD940}</b:Guid>
    <b:Author>
      <b:Author>
        <b:Corporate>Allen Consulting Group</b:Corporate>
      </b:Author>
    </b:Author>
    <b:Title>Mandatory Disclosure of Residential Building Energy, Greenhouse and Water Performance: Consultation Regulation Impact Statement, report to the National Framework for Energy Efficiency Building Implementation Committee</b:Title>
    <b:Year>2011</b:Year>
    <b:RefOrder>35</b:RefOrder>
  </b:Source>
  <b:Source>
    <b:Tag>McK09</b:Tag>
    <b:SourceType>Report</b:SourceType>
    <b:Guid>{013C3165-AE80-43FF-80CC-85BE22BD6348}</b:Guid>
    <b:Author>
      <b:Author>
        <b:Corporate>McKinsey &amp; Company</b:Corporate>
      </b:Author>
    </b:Author>
    <b:Title>Unlocking Energy Efficiency in the U.S. Economy</b:Title>
    <b:Year>2009</b:Year>
    <b:RefOrder>36</b:RefOrder>
  </b:Source>
  <b:Source>
    <b:Tag>OLe16</b:Tag>
    <b:SourceType>Report</b:SourceType>
    <b:Guid>{10C6A195-3267-4BA2-B204-2F2E105CD835}</b:Guid>
    <b:Author>
      <b:Author>
        <b:NameList>
          <b:Person>
            <b:Last>O'Leary</b:Last>
            <b:First>Timothy</b:First>
          </b:Person>
        </b:NameList>
      </b:Author>
    </b:Author>
    <b:Title>Industry adaptation to NatHERS 6 star energy regulations and energy performance disclosuer models for housing</b:Title>
    <b:Year>2016</b:Year>
    <b:RefOrder>37</b:RefOrder>
  </b:Source>
  <b:Source>
    <b:Tag>CIE18</b:Tag>
    <b:SourceType>Report</b:SourceType>
    <b:Guid>{A1026CEA-A65F-4926-A224-DDC54F9200DA}</b:Guid>
    <b:Author>
      <b:Author>
        <b:Corporate>CIE</b:Corporate>
      </b:Author>
    </b:Author>
    <b:Title>Decision Regulation Impact Statement, Energy Efficiency of commercial Buildings</b:Title>
    <b:Year>2018</b:Year>
    <b:Publisher>Centre for International Economics</b:Publisher>
    <b:ThesisType>Prepared for the Australian Building Codes Board</b:ThesisType>
    <b:RefOrder>38</b:RefOrder>
  </b:Source>
  <b:Source>
    <b:Tag>COA15</b:Tag>
    <b:SourceType>Report</b:SourceType>
    <b:Guid>{5F22A1C9-31FA-4C01-BB01-B6791220151E}</b:Guid>
    <b:Title>National Energy Productivity Plan 2015-2030</b:Title>
    <b:Year>2015</b:Year>
    <b:Author>
      <b:Author>
        <b:Corporate>COAG Energy Council</b:Corporate>
      </b:Author>
    </b:Author>
    <b:Publisher>Department of Industry, Innovation and Science</b:Publisher>
    <b:City>Canberra</b:City>
    <b:RefOrder>39</b:RefOrder>
  </b:Source>
  <b:Source>
    <b:Tag>COA201</b:Tag>
    <b:SourceType>InternetSite</b:SourceType>
    <b:Guid>{D3D75081-8BEA-4BB5-8C67-B183778AF490}</b:Guid>
    <b:Author>
      <b:Author>
        <b:Corporate>COAG Energy Council</b:Corporate>
      </b:Author>
    </b:Author>
    <b:Title>Trajectory for Low Energy Buildings Home Page</b:Title>
    <b:InternetSiteTitle>COAG Energy Council</b:InternetSiteTitle>
    <b:Year>2020</b:Year>
    <b:Month>May</b:Month>
    <b:Day>25</b:Day>
    <b:URL>http://coagenergycouncil.gov.au/publications/trajectory-low-energy-buildings</b:URL>
    <b:RefOrder>40</b:RefOrder>
  </b:Source>
  <b:Source>
    <b:Tag>CMT21</b:Tag>
    <b:SourceType>Report</b:SourceType>
    <b:Guid>{995345A7-F3A0-4CCA-8ABC-C4B83FACF1C5}</b:Guid>
    <b:Title>Residential Property Market – March Quarter 2021</b:Title>
    <b:Year>2021</b:Year>
    <b:Author>
      <b:Author>
        <b:Corporate>CMTEDD</b:Corporate>
      </b:Author>
    </b:Author>
    <b:Publisher>Chief Minister, Treasury and Economic Development</b:Publisher>
    <b:City>Canberra</b:City>
    <b:RefOrder>41</b:RefOrder>
  </b:Source>
  <b:Source>
    <b:Tag>All21</b:Tag>
    <b:SourceType>InternetSite</b:SourceType>
    <b:Guid>{9E53D49D-2A35-406F-AED8-E1633AD85A0B}</b:Guid>
    <b:Title>ACT Real Estate Market Trends Report</b:Title>
    <b:Year>2021</b:Year>
    <b:Month>June</b:Month>
    <b:Day>29</b:Day>
    <b:Author>
      <b:Author>
        <b:Corporate>Allhomes</b:Corporate>
      </b:Author>
    </b:Author>
    <b:InternetSiteTitle>Allhomes</b:InternetSiteTitle>
    <b:URL>https://www.allhomes.com.au/ah/research/property-report</b:URL>
    <b:RefOrder>42</b:RefOrder>
  </b:Source>
  <b:Source>
    <b:Tag>Res19</b:Tag>
    <b:SourceType>Case</b:SourceType>
    <b:Guid>{1F9172E1-2000-4381-B564-2FC761DF1C68}</b:Guid>
    <b:Title>Residential Tenancies Amendment Act</b:Title>
    <b:Year>2019</b:Year>
    <b:Court>Australian Capital Territory</b:Court>
    <b:RefOrder>43</b:RefOrder>
  </b:Source>
  <b:Source>
    <b:Tag>Res97</b:Tag>
    <b:SourceType>Case</b:SourceType>
    <b:Guid>{A5DAE409-4DFA-4E1E-8011-E93AC6EAD480}</b:Guid>
    <b:Title>Residential Tenancies Act</b:Title>
    <b:Court>Australian Capital Territory</b:Court>
    <b:Year>1997</b:Year>
    <b:RefOrder>44</b:RefOrder>
  </b:Source>
  <b:Source>
    <b:Tag>Son17</b:Tag>
    <b:SourceType>InternetSite</b:SourceType>
    <b:Guid>{AB957D3A-2621-4C7D-A319-EF81235E88A2}</b:Guid>
    <b:Title>Why does this ex-govie house appear throughout Canberra?</b:Title>
    <b:Year>2017</b:Year>
    <b:Author>
      <b:Author>
        <b:NameList>
          <b:Person>
            <b:Last>Gee</b:Last>
            <b:First>Sonya</b:First>
          </b:Person>
        </b:NameList>
      </b:Author>
    </b:Author>
    <b:InternetSiteTitle>ABC Canberra</b:InternetSiteTitle>
    <b:Month>March</b:Month>
    <b:Day>20</b:Day>
    <b:URL>https://www.abc.net.au/news/specials/curious-canberra/2017-03-20/whats-the-story-behind-canberras-ex-govie-houses/8251618?nw=0</b:URL>
    <b:RefOrder>45</b:RefOrder>
  </b:Source>
  <b:Source>
    <b:Tag>Laz13</b:Tag>
    <b:SourceType>Report</b:SourceType>
    <b:Guid>{0E3A3403-5023-4423-901C-944F0E5B81AE}</b:Guid>
    <b:Title>Recognizing the full value of energy efficiency</b:Title>
    <b:Year>2013</b:Year>
    <b:Publisher>The Regulatory Assistance Project</b:Publisher>
    <b:Author>
      <b:Author>
        <b:NameList>
          <b:Person>
            <b:Last>Lazar</b:Last>
            <b:First>J</b:First>
          </b:Person>
          <b:Person>
            <b:Last>Coburn</b:Last>
            <b:First>K</b:First>
          </b:Person>
        </b:NameList>
      </b:Author>
    </b:Author>
    <b:RefOrder>46</b:RefOrder>
  </b:Source>
  <b:Source>
    <b:Tag>Ken16</b:Tag>
    <b:SourceType>Report</b:SourceType>
    <b:Guid>{3AF6F35E-401D-4FC9-9ED5-BCAAC3E1F6D6}</b:Guid>
    <b:Title>Developing a non-energy benefits indication framework for residential and community energy efficiency programs in New South Wales, Australia</b:Title>
    <b:Year>2016</b:Year>
    <b:Publisher>International Energy Policies &amp; Programmes Evaluation Conference</b:Publisher>
    <b:City>Amsterdam</b:City>
    <b:Author>
      <b:Author>
        <b:NameList>
          <b:Person>
            <b:Last>Kenington</b:Last>
            <b:First>D</b:First>
          </b:Person>
          <b:Person>
            <b:Last>Wood</b:Last>
            <b:First>J</b:First>
          </b:Person>
          <b:Person>
            <b:Last>Reid</b:Last>
            <b:First>M</b:First>
          </b:Person>
          <b:Person>
            <b:Last>Klein</b:Last>
            <b:First>L</b:First>
          </b:Person>
        </b:NameList>
      </b:Author>
    </b:Author>
    <b:RefOrder>47</b:RefOrder>
  </b:Source>
  <b:Source>
    <b:Tag>GEE17</b:Tag>
    <b:SourceType>Report</b:SourceType>
    <b:Guid>{F3D491A5-2BF8-471B-8C8E-6FCAC63418F5}</b:Guid>
    <b:Author>
      <b:Author>
        <b:Corporate>GEER Australia</b:Corporate>
      </b:Author>
    </b:Author>
    <b:Title>Power Shift Project Two Deliverable 1: Overview of energy efficiency co-benefit</b:Title>
    <b:Year>2017</b:Year>
    <b:Publisher>Group of Energy Efficiency Researchers Australia</b:Publisher>
    <b:RefOrder>48</b:RefOrder>
  </b:Source>
  <b:Source>
    <b:Tag>IPC21</b:Tag>
    <b:SourceType>Report</b:SourceType>
    <b:Guid>{B9A10242-F3AB-40C9-9F59-6E526AC1C6EF}</b:Guid>
    <b:Author>
      <b:Author>
        <b:Corporate>IPCC</b:Corporate>
      </b:Author>
    </b:Author>
    <b:Title>Climate Change 2021: The Physical Science Basis. Contribution of Working Group I to the Sixth Assessment Report of the Intergovernmental Panel on Climate Change</b:Title>
    <b:Year>2021</b:Year>
    <b:Publisher>Cambridge University Press</b:Publisher>
    <b:City>Cambridge</b:City>
    <b:RefOrder>49</b:RefOrder>
  </b:Source>
  <b:Source>
    <b:Tag>Gri12</b:Tag>
    <b:SourceType>Report</b:SourceType>
    <b:Guid>{C9AF9589-0B64-439A-9E83-3470A275D2D8}</b:Guid>
    <b:Author>
      <b:Author>
        <b:NameList>
          <b:Person>
            <b:Last>Grimes</b:Last>
            <b:First>A.</b:First>
          </b:Person>
          <b:Person>
            <b:Last>Denne</b:Last>
            <b:First>T.</b:First>
          </b:Person>
          <b:Person>
            <b:Last>Howden-Chapman</b:Last>
            <b:First>P.</b:First>
            <b:Middle>et al</b:Middle>
          </b:Person>
        </b:NameList>
      </b:Author>
    </b:Author>
    <b:Title>Cost Benefit Analysis of the Warm Up New Zealand: Heat Smart Programme</b:Title>
    <b:Year>2012</b:Year>
    <b:RefOrder>50</b:RefOrder>
  </b:Source>
  <b:Source>
    <b:Tag>Ene21</b:Tag>
    <b:SourceType>Report</b:SourceType>
    <b:Guid>{30D1E24E-3D63-4642-BA8A-AEE31B5180D8}</b:Guid>
    <b:Author>
      <b:Author>
        <b:Corporate>Energy Efficiency Council and Australian Sustainable Built Environment Council</b:Corporate>
      </b:Author>
    </b:Author>
    <b:Title>Ensuring quality control and safety in insulation installation: A research report to support an industry-led roadmap for healthy, comfortable buildings</b:Title>
    <b:Year>2021</b:Year>
    <b:RefOrder>51</b:RefOrder>
  </b:Source>
  <b:Source>
    <b:Tag>CMT03</b:Tag>
    <b:SourceType>Report</b:SourceType>
    <b:Guid>{63ECB9D1-95F3-4FB7-A133-B2E785321A89}</b:Guid>
    <b:Title>Best Practice Guide for Preparing Regulation Impact Statements</b:Title>
    <b:Year>2003</b:Year>
    <b:Author>
      <b:Author>
        <b:Corporate>CMTEDD</b:Corporate>
      </b:Author>
    </b:Author>
    <b:Publisher>CMTEDD</b:Publisher>
    <b:City>Canberra</b:City>
    <b:RefOrder>52</b:RefOrder>
  </b:Source>
  <b:Source>
    <b:Tag>Placeholder2</b:Tag>
    <b:SourceType>Misc</b:SourceType>
    <b:Guid>{19F1FB2C-7E44-455F-97FE-63DE23E07D13}</b:Guid>
    <b:Title>Submission on the regulations for Rental Housing Victoria</b:Title>
    <b:Year>2019</b:Year>
    <b:Author>
      <b:Author>
        <b:Corporate>Insulation Australasia</b:Corporate>
      </b:Author>
    </b:Author>
    <b:City>Melbourne</b:City>
    <b:RefOrder>79</b:RefOrder>
  </b:Source>
  <b:Source>
    <b:Tag>Say20</b:Tag>
    <b:SourceType>JournalArticle</b:SourceType>
    <b:Guid>{70A64212-2E26-4D5D-83E4-0581E2C06F6E}</b:Guid>
    <b:Title>The initial impacts of Minimum Energy Efficiency Standards (MEES) in England</b:Title>
    <b:Year>2020</b:Year>
    <b:Month>April</b:Month>
    <b:JournalName>Journal of Property Investment &amp; Finance</b:JournalName>
    <b:Pages>435-447</b:Pages>
    <b:Author>
      <b:Author>
        <b:NameList>
          <b:Person>
            <b:Last>Sayce</b:Last>
            <b:Middle>Louise</b:Middle>
            <b:First>Sarah</b:First>
          </b:Person>
          <b:Person>
            <b:Last>Hossain</b:Last>
            <b:Middle>Marjia</b:Middle>
            <b:First>Syeda</b:First>
          </b:Person>
        </b:NameList>
      </b:Author>
    </b:Author>
    <b:Publisher>Emerald Group Publishing</b:Publisher>
    <b:Volume>36</b:Volume>
    <b:Issue>5</b:Issue>
    <b:RefOrder>53</b:RefOrder>
  </b:Source>
  <b:Source>
    <b:Tag>Fre19</b:Tag>
    <b:SourceType>JournalArticle</b:SourceType>
    <b:Guid>{4E396948-6BA7-43D3-8D08-CFE17979F123}</b:Guid>
    <b:Title>The impact of Minimum Energy Effieincy Standards on the UK investment market: one year on</b:Title>
    <b:JournalName>Journal of Property Investment &amp; Finance</b:JournalName>
    <b:Year>2019</b:Year>
    <b:Pages>416-423</b:Pages>
    <b:Author>
      <b:Author>
        <b:NameList>
          <b:Person>
            <b:Last>French</b:Last>
            <b:First>Nick</b:First>
          </b:Person>
        </b:NameList>
      </b:Author>
    </b:Author>
    <b:Publisher>Emerald Publishing</b:Publisher>
    <b:Volume>37</b:Volume>
    <b:Issue>4</b:Issue>
    <b:RefOrder>54</b:RefOrder>
  </b:Source>
  <b:Source>
    <b:Tag>Fre20</b:Tag>
    <b:SourceType>JournalArticle</b:SourceType>
    <b:Guid>{B20AFCDC-61C5-491B-B799-D1C3D1B69C34}</b:Guid>
    <b:Title>Property valuation in the UK: material uncertainty and COVID-19</b:Title>
    <b:JournalName>Journal of Property Investment &amp; Finance</b:JournalName>
    <b:Year>2020</b:Year>
    <b:Pages>463-470</b:Pages>
    <b:Author>
      <b:Author>
        <b:NameList>
          <b:Person>
            <b:Last>French</b:Last>
            <b:First>Nick</b:First>
          </b:Person>
        </b:NameList>
      </b:Author>
    </b:Author>
    <b:Volume>38</b:Volume>
    <b:Issue>5</b:Issue>
    <b:RefOrder>55</b:RefOrder>
  </b:Source>
  <b:Source>
    <b:Tag>Mad20</b:Tag>
    <b:SourceType>DocumentFromInternetSite</b:SourceType>
    <b:Guid>{14F1B5B6-0DE3-46EC-9550-0BB8DA44E252}</b:Guid>
    <b:Year>2020</b:Year>
    <b:Author>
      <b:Author>
        <b:NameList>
          <b:Person>
            <b:Last>Cuff</b:Last>
            <b:First>Madeline</b:First>
          </b:Person>
        </b:NameList>
      </b:Author>
    </b:Author>
    <b:InternetSiteTitle>Little punishment for landlords flouting energy efficiency rules designed to protect renters</b:InternetSiteTitle>
    <b:Month>July</b:Month>
    <b:Day>15</b:Day>
    <b:URL>https://inews.co.uk/news/environment/little-punishment-landlords-flouting-energy-efficiency-rules-527015</b:URL>
    <b:RefOrder>56</b:RefOrder>
  </b:Source>
  <b:Source>
    <b:Tag>ACI18</b:Tag>
    <b:SourceType>Report</b:SourceType>
    <b:Guid>{B3AC9968-8BBB-4BFF-A0F4-F460747ED891}</b:Guid>
    <b:Author>
      <b:Author>
        <b:Corporate>ACIL Allen</b:Corporate>
      </b:Author>
    </b:Author>
    <b:Title>Power Shift: Healthy and comfortable homes for all Australians</b:Title>
    <b:Year>2018</b:Year>
    <b:Publisher>ACIL Allen</b:Publisher>
    <b:ThesisType>report to Energy Consumers Australia</b:ThesisType>
    <b:RefOrder>80</b:RefOrder>
  </b:Source>
  <b:Source>
    <b:Tag>Aus06</b:Tag>
    <b:SourceType>Report</b:SourceType>
    <b:Guid>{32B52EBD-4D4C-4044-AF5B-B5B49CF6D977}</b:Guid>
    <b:Author>
      <b:Author>
        <b:Corporate>Australian Government</b:Corporate>
      </b:Author>
    </b:Author>
    <b:Title>Handbook of Cost-Benefit Analysis</b:Title>
    <b:Year>2006</b:Year>
    <b:Publisher>Australian Government</b:Publisher>
    <b:City>Canberra</b:City>
    <b:Pages>27</b:Pages>
    <b:RefOrder>57</b:RefOrder>
  </b:Source>
  <b:Source>
    <b:Tag>Hou07</b:Tag>
    <b:SourceType>Report</b:SourceType>
    <b:Guid>{910601F1-74C7-4A3F-8935-35AB225106F8}</b:Guid>
    <b:Author>
      <b:Author>
        <b:Corporate>Houston Kemp</b:Corporate>
      </b:Author>
    </b:Author>
    <b:Title>Residential Buildings Regulatory Impact Statement Methodology</b:Title>
    <b:Year>2017</b:Year>
    <b:Publisher>Houston Kemp</b:Publisher>
    <b:Pages>14</b:Pages>
    <b:RefOrder>58</b:RefOrder>
  </b:Source>
  <b:Source>
    <b:Tag>Ene211</b:Tag>
    <b:SourceType>Report</b:SourceType>
    <b:Guid>{9DD5EAF3-9629-47C2-B912-FB44827C3E81}</b:Guid>
    <b:Author>
      <b:Author>
        <b:Corporate>Energy Efficient Strategies</b:Corporate>
      </b:Author>
    </b:Author>
    <b:Title>Residential Energy Disclosure (RED) Model, prepared for ACIL Allen. </b:Title>
    <b:Year>2021</b:Year>
    <b:Publisher>Energy Efficient Strategies</b:Publisher>
    <b:RefOrder>59</b:RefOrder>
  </b:Source>
  <b:Source>
    <b:Tag>Ene212</b:Tag>
    <b:SourceType>Report</b:SourceType>
    <b:Guid>{70FA6ECF-16CD-4C84-B56F-3E04EFDB5258}</b:Guid>
    <b:Author>
      <b:Author>
        <b:Corporate>Energy Efficient Strategies</b:Corporate>
      </b:Author>
    </b:Author>
    <b:Title>NCC 2022 Update - Whole of House Component, draft report</b:Title>
    <b:Year>May 2021</b:Year>
    <b:Publisher>Energy Efficient Strategies</b:Publisher>
    <b:RefOrder>60</b:RefOrder>
  </b:Source>
  <b:Source>
    <b:Tag>Sco191</b:Tag>
    <b:SourceType>Report</b:SourceType>
    <b:Guid>{B85AE4EF-00C3-4E77-A516-47454CFB0EC8}</b:Guid>
    <b:Author>
      <b:Author>
        <b:NameList>
          <b:Person>
            <b:Last>Scorgie</b:Last>
            <b:First>Mazaheri</b:First>
            <b:Middle>M, Chang L, Ryan L, Fuchs D, Duc H, Monk K and Trieu T</b:Middle>
          </b:Person>
        </b:NameList>
      </b:Author>
    </b:Author>
    <b:Title>Air Quality and Public Health Co-benefits of Implementing Energy Efficiency and Clean Energy Measures in New South Wales</b:Title>
    <b:Year>2019</b:Year>
    <b:Publisher>NSW Office of Environment and Heritage</b:Publisher>
    <b:City>Sydney</b:City>
    <b:RefOrder>61</b:RefOrder>
  </b:Source>
  <b:Source>
    <b:Tag>ATS21</b:Tag>
    <b:SourceType>InternetSite</b:SourceType>
    <b:Guid>{9F0CB24A-8033-4960-B262-D7B18A310A9E}</b:Guid>
    <b:Title>Australian Acedemy of Technological Sciences and Engineering</b:Title>
    <b:Year>2021</b:Year>
    <b:Author>
      <b:Author>
        <b:Corporate>ATSE</b:Corporate>
      </b:Author>
    </b:Author>
    <b:InternetSiteTitle>The Hidden Costs of Electricity: Externalities of Power Generation in Australia</b:InternetSiteTitle>
    <b:Month>March</b:Month>
    <b:Day>4</b:Day>
    <b:URL>https://www.atse.org.au/wp-content/uploads/2019/01/the-hidden-costs-of-electricity.pdf</b:URL>
    <b:RefOrder>62</b:RefOrder>
  </b:Source>
  <b:Source>
    <b:Tag>Ric18</b:Tag>
    <b:SourceType>JournalArticle</b:SourceType>
    <b:Guid>{316655C3-A846-4D5B-B5AF-E753988D3F66}</b:Guid>
    <b:Title>Country-level social cost of carbon</b:Title>
    <b:Year>2018</b:Year>
    <b:Author>
      <b:Author>
        <b:NameList>
          <b:Person>
            <b:Last>Ricke</b:Last>
            <b:First>K</b:First>
          </b:Person>
          <b:Person>
            <b:Last>Drouet</b:Last>
            <b:First>L</b:First>
          </b:Person>
          <b:Person>
            <b:Last>Calderia</b:Last>
            <b:First>K</b:First>
          </b:Person>
        </b:NameList>
      </b:Author>
    </b:Author>
    <b:JournalName>Nature Climate Change</b:JournalName>
    <b:RefOrder>63</b:RefOrder>
  </b:Source>
  <b:Source>
    <b:Tag>Rov21</b:Tag>
    <b:SourceType>Report</b:SourceType>
    <b:Guid>{DC7F90B1-11E9-45E8-9EE9-C0FAC1331E3F}</b:Guid>
    <b:Author>
      <b:Author>
        <b:Corporate>Rovingstone Advisory Pty Ltd</b:Corporate>
      </b:Author>
    </b:Author>
    <b:Title>A Social Cost of Carbon for the ACT, draft report</b:Title>
    <b:Year>2021</b:Year>
    <b:Publisher>Rovingstone Advisory</b:Publisher>
    <b:City>Canberra</b:City>
    <b:RefOrder>64</b:RefOrder>
  </b:Source>
  <b:Source>
    <b:Tag>Jac19</b:Tag>
    <b:SourceType>Report</b:SourceType>
    <b:Guid>{D97555F7-DDFF-4143-B858-846DE2FBBFA6}</b:Guid>
    <b:Author>
      <b:Author>
        <b:Corporate>Jacobs</b:Corporate>
      </b:Author>
    </b:Author>
    <b:Title>Victorian Energy Upgrades Program, Energy Market Modelling</b:Title>
    <b:Year>2019</b:Year>
    <b:Publisher>Jacobs</b:Publisher>
    <b:RefOrder>65</b:RefOrder>
  </b:Source>
  <b:Source>
    <b:Tag>DAr12</b:Tag>
    <b:SourceType>Report</b:SourceType>
    <b:Guid>{55911EF7-A0F6-47AD-9394-0158E81EBB6A}</b:Guid>
    <b:Title>Costs and Margins in the Retail Supply Chain, RBA Bulletin June Quarter</b:Title>
    <b:Year>2012</b:Year>
    <b:Author>
      <b:Author>
        <b:NameList>
          <b:Person>
            <b:Last>D'Arcy P</b:Last>
            <b:First>Norman</b:First>
            <b:Middle>D, and Shan S</b:Middle>
          </b:Person>
        </b:NameList>
      </b:Author>
    </b:Author>
    <b:URL>https://www.rba.gov.au/publications/bulletin/2012/jun/2.html</b:URL>
    <b:RefOrder>81</b:RefOrder>
  </b:Source>
  <b:Source>
    <b:Tag>Mor17</b:Tag>
    <b:SourceType>Report</b:SourceType>
    <b:Guid>{765BFB6A-66E6-48DE-86DA-FEA94AC9A088}</b:Guid>
    <b:Title>Changes Associated with Efficient Dwellings Project</b:Title>
    <b:Year>2017</b:Year>
    <b:Publisher>Moreland Energy Foundation</b:Publisher>
    <b:Author>
      <b:Author>
        <b:Corporate>Moreland Energy Foundation</b:Corporate>
      </b:Author>
    </b:Author>
    <b:ThesisType>Prepared for the Department of the Environment and Energy</b:ThesisType>
    <b:RefOrder>66</b:RefOrder>
  </b:Source>
  <b:Source>
    <b:Tag>SPR19</b:Tag>
    <b:SourceType>Report</b:SourceType>
    <b:Guid>{0AE4F6D4-E5C4-4551-9F17-E02CC9931C79}</b:Guid>
    <b:Title>Evaluation of the Victorian 6-star Housing Standard</b:Title>
    <b:Year>2019</b:Year>
    <b:Publisher>Strategy. Policy. Research</b:Publisher>
    <b:Author>
      <b:Author>
        <b:Corporate>SPR</b:Corporate>
      </b:Author>
    </b:Author>
    <b:ThesisType>prepared for the Department of Environment, Land, Water &amp; Planning</b:ThesisType>
    <b:RefOrder>67</b:RefOrder>
  </b:Source>
  <b:Source>
    <b:Tag>SPR17</b:Tag>
    <b:SourceType>Report</b:SourceType>
    <b:Guid>{528D798E-ED4D-4977-8445-222069A41300}</b:Guid>
    <b:Author>
      <b:Author>
        <b:Corporate>SPR</b:Corporate>
      </b:Author>
    </b:Author>
    <b:Title>Quantifying Commercial Building Learning Rates in Australia: Final Report</b:Title>
    <b:Year>2017</b:Year>
    <b:Publisher>Strategy. Policy. Research.</b:Publisher>
    <b:ThesisType>Prepared for the Department of the Environment and Energy</b:ThesisType>
    <b:RefOrder>68</b:RefOrder>
  </b:Source>
  <b:Source>
    <b:Tag>Ban18</b:Tag>
    <b:SourceType>Report</b:SourceType>
    <b:Guid>{C88BB96B-EE94-4005-A2D3-D2C22F5B598F}</b:Guid>
    <b:Author>
      <b:Author>
        <b:NameList>
          <b:Person>
            <b:Last>Bannister</b:Last>
            <b:First>P.,</b:First>
            <b:Middle>Robinson, D., Reedman, L., Harrington, P., Moffitt, S., Zhang, H., Johnston, D., Shen, D., Cooper, P., Ma, Z., Ledo, L., The Green, L.</b:Middle>
          </b:Person>
        </b:NameList>
      </b:Author>
    </b:Author>
    <b:Title>Building Code Energy Performance Trajectory – Final Technical Report.</b:Title>
    <b:Year>2018</b:Year>
    <b:RefOrder>69</b:RefOrder>
  </b:Source>
  <b:Source>
    <b:Tag>SPR18</b:Tag>
    <b:SourceType>Report</b:SourceType>
    <b:Guid>{44CC90C3-68D5-49CB-9572-44875616B8C4}</b:Guid>
    <b:Title>Inclusion of heating and cooling energy load limits in NatHERS assessments, Regulation Impact Statement for decision</b:Title>
    <b:Year>2018</b:Year>
    <b:Publisher>Strategy. Policy. Research</b:Publisher>
    <b:Author>
      <b:Author>
        <b:Corporate>SPR</b:Corporate>
      </b:Author>
    </b:Author>
    <b:ThesisType>prepared for the Australian Building Codes Board</b:ThesisType>
    <b:RefOrder>70</b:RefOrder>
  </b:Source>
  <b:Source>
    <b:Tag>CIE181</b:Tag>
    <b:SourceType>Report</b:SourceType>
    <b:Guid>{2CABCEA4-5CAD-4821-9354-B99A9459A4F7}</b:Guid>
    <b:Author>
      <b:Author>
        <b:Corporate>CIE</b:Corporate>
      </b:Author>
    </b:Author>
    <b:Title>Decision Regulation Impact Statement, Energy Efficiency of Commercial Buildings</b:Title>
    <b:Year>2018</b:Year>
    <b:Publisher>Centre for International Economics</b:Publisher>
    <b:ThesisType>prepared for the Australian Building Codes Board</b:ThesisType>
    <b:RefOrder>71</b:RefOrder>
  </b:Source>
  <b:Source>
    <b:Tag>OBP20</b:Tag>
    <b:SourceType>Report</b:SourceType>
    <b:Guid>{057218F4-80D8-488A-93E3-E9A8BC19AD25}</b:Guid>
    <b:Author>
      <b:Author>
        <b:Corporate>OBPR</b:Corporate>
      </b:Author>
    </b:Author>
    <b:Title>Cost-benefit analysis guidance note</b:Title>
    <b:Year>2020</b:Year>
    <b:Publisher>Office of Best Practice Regulation</b:Publisher>
    <b:City>Canberra</b:City>
    <b:RefOrder>72</b:RefOrder>
  </b:Source>
  <b:Source>
    <b:Tag>ABS15</b:Tag>
    <b:SourceType>Report</b:SourceType>
    <b:Guid>{B36C73F3-6AFA-4636-AF19-8AE1B6316178}</b:Guid>
    <b:Author>
      <b:Author>
        <b:Corporate>ABS</b:Corporate>
      </b:Author>
    </b:Author>
    <b:Title>Household and Family Projections, Australia, 2011 to 2036</b:Title>
    <b:Year>2015</b:Year>
    <b:Publisher>Australian Bureau of Statistics</b:Publisher>
    <b:City>Canberra</b:City>
    <b:RefOrder>73</b:RefOrder>
  </b:Source>
  <b:Source>
    <b:Tag>DEW08</b:Tag>
    <b:SourceType>Report</b:SourceType>
    <b:Guid>{1D657A19-6057-4C0A-A636-359D8C05FEF0}</b:Guid>
    <b:Author>
      <b:Author>
        <b:Corporate>DEWHA</b:Corporate>
      </b:Author>
    </b:Author>
    <b:Title>Energy Use in the Australian Residential Sector: 1986 - 2020</b:Title>
    <b:Year>2008</b:Year>
    <b:Publisher>Department of the Environment, Water, Heritage and the Arts</b:Publisher>
    <b:City>Canberra</b:City>
    <b:RefOrder>74</b:RefOrder>
  </b:Source>
  <b:Source>
    <b:Tag>Ene11</b:Tag>
    <b:SourceType>Report</b:SourceType>
    <b:Guid>{F8B2F2CB-D74D-4821-B4DB-1C55FBA80D58}</b:Guid>
    <b:Author>
      <b:Author>
        <b:Corporate>Energy Efficienct Strategies</b:Corporate>
      </b:Author>
    </b:Author>
    <b:Title>The Value of Ceiling Insulation: Impacts of retrofitting ceiling insulation to residential dwellings in Australia</b:Title>
    <b:Year>2011</b:Year>
    <b:Publisher>ICANZ</b:Publisher>
    <b:City>Melbourne</b:City>
    <b:ThesisType>Report prepared for ICANZ</b:ThesisType>
    <b:RefOrder>75</b:RefOrder>
  </b:Source>
  <b:Source>
    <b:Tag>DEW18</b:Tag>
    <b:SourceType>Report</b:SourceType>
    <b:Guid>{CFD0D5D1-CBB0-4D2D-9377-5BA07850D8AE}</b:Guid>
    <b:Author>
      <b:Author>
        <b:Corporate>DEWLP</b:Corporate>
      </b:Author>
    </b:Author>
    <b:Title>Victorian Housing Stock Performance Model</b:Title>
    <b:Year>2018</b:Year>
    <b:Publisher>Department of Environment, Land, Water and Planning</b:Publisher>
    <b:City>Melbourne</b:City>
    <b:RefOrder>76</b:RefOrder>
  </b:Source>
  <b:Source>
    <b:Tag>Sus211</b:Tag>
    <b:SourceType>Report</b:SourceType>
    <b:Guid>{5E1470A5-A124-4D64-8C46-5674E316A636}</b:Guid>
    <b:Author>
      <b:Author>
        <b:Corporate>Sustainability Victoria</b:Corporate>
      </b:Author>
    </b:Author>
    <b:Title>Zero Net Carbon Homes - Pilot Program: Summary report</b:Title>
    <b:Year>2021</b:Year>
    <b:Publisher>Sustainability Victoria</b:Publisher>
    <b:City>Melbourne</b:City>
    <b:RefOrder>77</b:RefOrder>
  </b:Source>
  <b:Source>
    <b:Tag>ACI21</b:Tag>
    <b:SourceType>Report</b:SourceType>
    <b:Guid>{8A31C78A-B548-4F44-8B25-38ED6C87EA95}</b:Guid>
    <b:Author>
      <b:Author>
        <b:Corporate>ACIL Allen</b:Corporate>
      </b:Author>
    </b:Author>
    <b:Title>Economic imapcts of existing home energy rating scheme</b:Title>
    <b:Year>2021</b:Year>
    <b:Publisher>ACIL Allen</b:Publisher>
    <b:City>Sydney</b:City>
    <b:ThesisType>report prepared for  Department of Planning, Industry and Environment</b:ThesisType>
    <b:RefOrder>78</b:RefOrder>
  </b:Source>
</b:Sources>
</file>

<file path=customXml/itemProps1.xml><?xml version="1.0" encoding="utf-8"?>
<ds:datastoreItem xmlns:ds="http://schemas.openxmlformats.org/officeDocument/2006/customXml" ds:itemID="{FBBB47F8-AEAA-4CBF-8F75-601F7EF6B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176</Pages>
  <Words>67120</Words>
  <Characters>364464</Characters>
  <Application>Microsoft Office Word</Application>
  <DocSecurity>0</DocSecurity>
  <Lines>7593</Lines>
  <Paragraphs>4495</Paragraphs>
  <ScaleCrop>false</ScaleCrop>
  <Company/>
  <LinksUpToDate>false</LinksUpToDate>
  <CharactersWithSpaces>427089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Moxon, KarenL</dc:creator>
  <cp:keywords/>
  <dc:description/>
  <cp:lastModifiedBy>Moxon, KarenL</cp:lastModifiedBy>
  <cp:revision>1</cp:revision>
  <dcterms:created xsi:type="dcterms:W3CDTF">2022-11-14T22:33:00Z</dcterms:created>
  <dcterms:modified xsi:type="dcterms:W3CDTF">2022-11-14T23:06:00Z</dcterms:modified>
</cp:coreProperties>
</file>