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116B" w14:textId="77777777" w:rsidR="000E3CBE" w:rsidRDefault="000E3CBE" w:rsidP="000E3CBE">
      <w:pPr>
        <w:jc w:val="center"/>
        <w:rPr>
          <w:rFonts w:ascii="Arial" w:hAnsi="Arial" w:cs="Arial"/>
        </w:rPr>
      </w:pPr>
    </w:p>
    <w:p w14:paraId="3BB19E84" w14:textId="0D55EFD4" w:rsidR="00BB5AA7" w:rsidRDefault="003E2EFC" w:rsidP="000E3CBE">
      <w:pPr>
        <w:jc w:val="center"/>
        <w:rPr>
          <w:rFonts w:ascii="Arial" w:hAnsi="Arial" w:cs="Arial"/>
          <w:u w:val="single"/>
        </w:rPr>
      </w:pPr>
      <w:r w:rsidRPr="003E2EFC">
        <w:rPr>
          <w:rFonts w:ascii="Arial" w:hAnsi="Arial" w:cs="Arial"/>
          <w:u w:val="single"/>
        </w:rPr>
        <w:t xml:space="preserve">Public Health (COVID-19 Management) Declaration </w:t>
      </w:r>
      <w:r w:rsidR="00F37197">
        <w:rPr>
          <w:rFonts w:ascii="Arial" w:hAnsi="Arial" w:cs="Arial"/>
          <w:u w:val="single"/>
        </w:rPr>
        <w:t xml:space="preserve">Extension </w:t>
      </w:r>
      <w:r w:rsidR="00BB5AA7">
        <w:rPr>
          <w:rFonts w:ascii="Arial" w:hAnsi="Arial" w:cs="Arial"/>
          <w:u w:val="single"/>
        </w:rPr>
        <w:t xml:space="preserve">2022 </w:t>
      </w:r>
    </w:p>
    <w:p w14:paraId="2058E6E6" w14:textId="77777777" w:rsidR="00F37197" w:rsidRDefault="00F37197" w:rsidP="000E3CBE">
      <w:pPr>
        <w:jc w:val="center"/>
        <w:rPr>
          <w:rFonts w:ascii="Arial" w:hAnsi="Arial" w:cs="Arial"/>
          <w:u w:val="single"/>
        </w:rPr>
      </w:pPr>
    </w:p>
    <w:p w14:paraId="1F3D0DEA" w14:textId="1D2B473E" w:rsidR="00496AB5" w:rsidRPr="001E5C3E" w:rsidRDefault="000E3CBE" w:rsidP="000E3CBE">
      <w:pPr>
        <w:jc w:val="center"/>
        <w:rPr>
          <w:rFonts w:ascii="Arial" w:hAnsi="Arial" w:cs="Arial"/>
          <w:u w:val="single"/>
        </w:rPr>
      </w:pPr>
      <w:r w:rsidRPr="001E5C3E">
        <w:rPr>
          <w:rFonts w:ascii="Arial" w:hAnsi="Arial" w:cs="Arial"/>
          <w:u w:val="single"/>
        </w:rPr>
        <w:t>Regulatory Impact Statement</w:t>
      </w:r>
    </w:p>
    <w:p w14:paraId="044B8DE6" w14:textId="116F0B35" w:rsidR="000E3CBE" w:rsidRDefault="000E3CBE" w:rsidP="000E3CBE">
      <w:pPr>
        <w:jc w:val="center"/>
        <w:rPr>
          <w:rFonts w:ascii="Arial" w:hAnsi="Arial" w:cs="Arial"/>
        </w:rPr>
      </w:pPr>
    </w:p>
    <w:p w14:paraId="6C0DA5C0" w14:textId="3F781C5F" w:rsidR="00540CE3" w:rsidRDefault="00540CE3" w:rsidP="000E3CBE">
      <w:pPr>
        <w:jc w:val="center"/>
        <w:rPr>
          <w:rFonts w:ascii="Arial" w:hAnsi="Arial" w:cs="Arial"/>
        </w:rPr>
      </w:pPr>
      <w:r>
        <w:rPr>
          <w:rFonts w:ascii="Arial" w:hAnsi="Arial" w:cs="Arial"/>
        </w:rPr>
        <w:t>DI2022-267</w:t>
      </w:r>
    </w:p>
    <w:p w14:paraId="0EFA2013" w14:textId="77777777" w:rsidR="00960554" w:rsidRDefault="00960554" w:rsidP="000E3CBE">
      <w:pPr>
        <w:rPr>
          <w:rFonts w:ascii="Arial" w:hAnsi="Arial" w:cs="Arial"/>
        </w:rPr>
      </w:pPr>
    </w:p>
    <w:p w14:paraId="60467F83" w14:textId="4FD2665E" w:rsidR="00CD131E" w:rsidRDefault="00CD131E" w:rsidP="000E3CBE">
      <w:pPr>
        <w:rPr>
          <w:rFonts w:ascii="Arial" w:hAnsi="Arial" w:cs="Arial"/>
        </w:rPr>
      </w:pPr>
      <w:r>
        <w:rPr>
          <w:rFonts w:ascii="Arial" w:hAnsi="Arial" w:cs="Arial"/>
          <w:b/>
          <w:bCs/>
        </w:rPr>
        <w:t>Background to this Statement</w:t>
      </w:r>
    </w:p>
    <w:p w14:paraId="55AE0CE6" w14:textId="1131AAD9" w:rsidR="00CD131E" w:rsidRDefault="00CD131E" w:rsidP="000E3CBE">
      <w:pPr>
        <w:rPr>
          <w:rFonts w:ascii="Arial" w:hAnsi="Arial" w:cs="Arial"/>
        </w:rPr>
      </w:pPr>
    </w:p>
    <w:p w14:paraId="2E625922" w14:textId="61FD9A1C" w:rsidR="00CD131E" w:rsidRPr="00D32F71" w:rsidRDefault="00CD131E" w:rsidP="00CD131E">
      <w:pPr>
        <w:rPr>
          <w:rFonts w:ascii="Arial" w:hAnsi="Arial" w:cs="Arial"/>
          <w:u w:val="single"/>
        </w:rPr>
      </w:pPr>
      <w:r w:rsidRPr="00D32F71">
        <w:rPr>
          <w:rFonts w:ascii="Arial" w:hAnsi="Arial" w:cs="Arial"/>
          <w:u w:val="single"/>
        </w:rPr>
        <w:t xml:space="preserve">Regulatory Impact Statements in the </w:t>
      </w:r>
      <w:r w:rsidR="00BB5AA7">
        <w:rPr>
          <w:rFonts w:ascii="Arial" w:hAnsi="Arial" w:cs="Arial"/>
          <w:u w:val="single"/>
        </w:rPr>
        <w:t xml:space="preserve">Australian Capital </w:t>
      </w:r>
      <w:r w:rsidRPr="00D32F71">
        <w:rPr>
          <w:rFonts w:ascii="Arial" w:hAnsi="Arial" w:cs="Arial"/>
          <w:u w:val="single"/>
        </w:rPr>
        <w:t>Territory</w:t>
      </w:r>
    </w:p>
    <w:p w14:paraId="0E02264D" w14:textId="77777777" w:rsidR="00CD131E" w:rsidRPr="00CD131E" w:rsidRDefault="00CD131E" w:rsidP="00CD131E">
      <w:pPr>
        <w:rPr>
          <w:rFonts w:ascii="Arial" w:hAnsi="Arial" w:cs="Arial"/>
        </w:rPr>
      </w:pPr>
    </w:p>
    <w:p w14:paraId="03840D40" w14:textId="30F85F73" w:rsidR="00CD131E" w:rsidRPr="00CD131E" w:rsidRDefault="00337EE4" w:rsidP="00337EE4">
      <w:pPr>
        <w:rPr>
          <w:rFonts w:ascii="Arial" w:hAnsi="Arial" w:cs="Arial"/>
        </w:rPr>
      </w:pPr>
      <w:r>
        <w:rPr>
          <w:rFonts w:ascii="Arial" w:hAnsi="Arial" w:cs="Arial"/>
        </w:rPr>
        <w:t xml:space="preserve">Section 34 of the </w:t>
      </w:r>
      <w:r w:rsidR="00CD131E" w:rsidRPr="00337EE4">
        <w:rPr>
          <w:rFonts w:ascii="Arial" w:hAnsi="Arial" w:cs="Arial"/>
          <w:i/>
          <w:iCs/>
        </w:rPr>
        <w:t>Legislation Act 2001</w:t>
      </w:r>
      <w:r w:rsidR="00CD131E" w:rsidRPr="00CD131E">
        <w:rPr>
          <w:rFonts w:ascii="Arial" w:hAnsi="Arial" w:cs="Arial"/>
        </w:rPr>
        <w:t xml:space="preserve"> </w:t>
      </w:r>
      <w:r>
        <w:rPr>
          <w:rFonts w:ascii="Arial" w:hAnsi="Arial" w:cs="Arial"/>
        </w:rPr>
        <w:t xml:space="preserve">requires the preparation of a Regulatory Impact Statement (RIS) if a subordinate </w:t>
      </w:r>
      <w:r w:rsidRPr="00D32F71">
        <w:rPr>
          <w:rFonts w:ascii="Arial" w:hAnsi="Arial" w:cs="Arial"/>
        </w:rPr>
        <w:t>law or disallowable instrument is likely to impose appreciable costs on the community,</w:t>
      </w:r>
      <w:r w:rsidRPr="00337EE4">
        <w:rPr>
          <w:rFonts w:ascii="Arial" w:hAnsi="Arial" w:cs="Arial"/>
        </w:rPr>
        <w:t xml:space="preserve"> or part of the community.</w:t>
      </w:r>
      <w:r>
        <w:rPr>
          <w:rFonts w:ascii="Arial" w:hAnsi="Arial" w:cs="Arial"/>
        </w:rPr>
        <w:t xml:space="preserve"> </w:t>
      </w:r>
    </w:p>
    <w:p w14:paraId="7BFD0958" w14:textId="77777777" w:rsidR="00CD131E" w:rsidRPr="00CD131E" w:rsidRDefault="00CD131E" w:rsidP="00CD131E">
      <w:pPr>
        <w:rPr>
          <w:rFonts w:ascii="Arial" w:hAnsi="Arial" w:cs="Arial"/>
        </w:rPr>
      </w:pPr>
    </w:p>
    <w:p w14:paraId="1CCEC8A9" w14:textId="79A2AA1C" w:rsidR="008A5C62" w:rsidRDefault="00CD131E" w:rsidP="00CD131E">
      <w:pPr>
        <w:rPr>
          <w:rFonts w:ascii="Arial" w:hAnsi="Arial" w:cs="Arial"/>
        </w:rPr>
      </w:pPr>
      <w:r w:rsidRPr="00CD131E">
        <w:rPr>
          <w:rFonts w:ascii="Arial" w:hAnsi="Arial" w:cs="Arial"/>
        </w:rPr>
        <w:t xml:space="preserve">Section 31 of the Legislation Act defines ‘cost’ as including burdens, disadvantages and direct and indirect economic, environmental and social costs. </w:t>
      </w:r>
      <w:r w:rsidR="008A5C62">
        <w:rPr>
          <w:rFonts w:ascii="Arial" w:hAnsi="Arial" w:cs="Arial"/>
        </w:rPr>
        <w:t xml:space="preserve">The </w:t>
      </w:r>
      <w:r w:rsidR="00807D6E">
        <w:rPr>
          <w:rFonts w:ascii="Arial" w:hAnsi="Arial" w:cs="Arial"/>
        </w:rPr>
        <w:t>principal</w:t>
      </w:r>
      <w:r w:rsidR="008A5C62">
        <w:rPr>
          <w:rFonts w:ascii="Arial" w:hAnsi="Arial" w:cs="Arial"/>
        </w:rPr>
        <w:t xml:space="preserve"> purpose of a RIS is to ensure that the costs and benefits of a proposed law are examined fully so that the Minister and members of the community can </w:t>
      </w:r>
      <w:r w:rsidR="008A5C62" w:rsidRPr="00CD131E">
        <w:rPr>
          <w:rFonts w:ascii="Arial" w:hAnsi="Arial" w:cs="Arial"/>
        </w:rPr>
        <w:t xml:space="preserve">be satisfied that the benefits of the </w:t>
      </w:r>
      <w:r w:rsidR="008A5C62">
        <w:rPr>
          <w:rFonts w:ascii="Arial" w:hAnsi="Arial" w:cs="Arial"/>
        </w:rPr>
        <w:t>instrument</w:t>
      </w:r>
      <w:r w:rsidR="008A5C62" w:rsidRPr="00CD131E">
        <w:rPr>
          <w:rFonts w:ascii="Arial" w:hAnsi="Arial" w:cs="Arial"/>
        </w:rPr>
        <w:t xml:space="preserve"> exceed the costs.</w:t>
      </w:r>
    </w:p>
    <w:p w14:paraId="5347FF43" w14:textId="77777777" w:rsidR="00CD131E" w:rsidRPr="00CD131E" w:rsidRDefault="00CD131E" w:rsidP="00CD131E">
      <w:pPr>
        <w:rPr>
          <w:rFonts w:ascii="Arial" w:hAnsi="Arial" w:cs="Arial"/>
        </w:rPr>
      </w:pPr>
    </w:p>
    <w:p w14:paraId="397411C3" w14:textId="34D2B8A2" w:rsidR="00CD131E" w:rsidRPr="00CD131E" w:rsidRDefault="008818C0" w:rsidP="00CD131E">
      <w:pPr>
        <w:rPr>
          <w:rFonts w:ascii="Arial" w:hAnsi="Arial" w:cs="Arial"/>
        </w:rPr>
      </w:pPr>
      <w:r>
        <w:rPr>
          <w:rFonts w:ascii="Arial" w:hAnsi="Arial" w:cs="Arial"/>
        </w:rPr>
        <w:t xml:space="preserve">The making of </w:t>
      </w:r>
      <w:r w:rsidR="008A4B13">
        <w:rPr>
          <w:rFonts w:ascii="Arial" w:hAnsi="Arial" w:cs="Arial"/>
        </w:rPr>
        <w:t xml:space="preserve">COVID-19 </w:t>
      </w:r>
      <w:r w:rsidR="008D5D14">
        <w:rPr>
          <w:rFonts w:ascii="Arial" w:hAnsi="Arial" w:cs="Arial"/>
        </w:rPr>
        <w:t xml:space="preserve">Public Health </w:t>
      </w:r>
      <w:r>
        <w:rPr>
          <w:rFonts w:ascii="Arial" w:hAnsi="Arial" w:cs="Arial"/>
        </w:rPr>
        <w:t xml:space="preserve">Directions </w:t>
      </w:r>
      <w:r w:rsidR="008A4B13">
        <w:rPr>
          <w:rFonts w:ascii="Arial" w:hAnsi="Arial" w:cs="Arial"/>
        </w:rPr>
        <w:t xml:space="preserve">under part 6C of the </w:t>
      </w:r>
      <w:r w:rsidR="008A4B13">
        <w:rPr>
          <w:rFonts w:ascii="Arial" w:hAnsi="Arial" w:cs="Arial"/>
          <w:i/>
          <w:iCs/>
        </w:rPr>
        <w:t>Public Health Act 1997</w:t>
      </w:r>
      <w:r w:rsidR="008A4B13">
        <w:rPr>
          <w:rFonts w:ascii="Arial" w:hAnsi="Arial" w:cs="Arial"/>
        </w:rPr>
        <w:t xml:space="preserve"> (ACT) (the Act) </w:t>
      </w:r>
      <w:r>
        <w:rPr>
          <w:rFonts w:ascii="Arial" w:hAnsi="Arial" w:cs="Arial"/>
        </w:rPr>
        <w:t>has the potential to impose appreciable costs on the community, or part of the community</w:t>
      </w:r>
      <w:r w:rsidR="001C63C8">
        <w:rPr>
          <w:rFonts w:ascii="Arial" w:hAnsi="Arial" w:cs="Arial"/>
        </w:rPr>
        <w:t>,</w:t>
      </w:r>
      <w:r>
        <w:rPr>
          <w:rFonts w:ascii="Arial" w:hAnsi="Arial" w:cs="Arial"/>
        </w:rPr>
        <w:t xml:space="preserve"> which will vary depending on the Direction</w:t>
      </w:r>
      <w:r w:rsidR="001C63C8">
        <w:rPr>
          <w:rFonts w:ascii="Arial" w:hAnsi="Arial" w:cs="Arial"/>
        </w:rPr>
        <w:t xml:space="preserve"> that is made. </w:t>
      </w:r>
      <w:r>
        <w:rPr>
          <w:rFonts w:ascii="Arial" w:hAnsi="Arial" w:cs="Arial"/>
        </w:rPr>
        <w:t xml:space="preserve"> </w:t>
      </w:r>
      <w:r w:rsidR="008D5D14">
        <w:rPr>
          <w:rFonts w:ascii="Arial" w:hAnsi="Arial" w:cs="Arial"/>
        </w:rPr>
        <w:t xml:space="preserve">However, </w:t>
      </w:r>
      <w:r w:rsidR="008A4B13">
        <w:rPr>
          <w:rFonts w:ascii="Arial" w:hAnsi="Arial" w:cs="Arial"/>
        </w:rPr>
        <w:t xml:space="preserve">COVID-19 </w:t>
      </w:r>
      <w:r w:rsidR="008D5D14">
        <w:rPr>
          <w:rFonts w:ascii="Arial" w:hAnsi="Arial" w:cs="Arial"/>
        </w:rPr>
        <w:t xml:space="preserve">Public Health </w:t>
      </w:r>
      <w:r w:rsidR="001C63C8">
        <w:rPr>
          <w:rFonts w:ascii="Arial" w:hAnsi="Arial" w:cs="Arial"/>
        </w:rPr>
        <w:t>Directions</w:t>
      </w:r>
      <w:r w:rsidR="008D5D14">
        <w:rPr>
          <w:rFonts w:ascii="Arial" w:hAnsi="Arial" w:cs="Arial"/>
        </w:rPr>
        <w:t xml:space="preserve"> </w:t>
      </w:r>
      <w:r w:rsidR="001C63C8">
        <w:rPr>
          <w:rFonts w:ascii="Arial" w:hAnsi="Arial" w:cs="Arial"/>
        </w:rPr>
        <w:t>can only be made where a COVID</w:t>
      </w:r>
      <w:r w:rsidR="008A4B13">
        <w:rPr>
          <w:rFonts w:ascii="Arial" w:hAnsi="Arial" w:cs="Arial"/>
        </w:rPr>
        <w:noBreakHyphen/>
      </w:r>
      <w:r w:rsidR="001C63C8">
        <w:rPr>
          <w:rFonts w:ascii="Arial" w:hAnsi="Arial" w:cs="Arial"/>
        </w:rPr>
        <w:t xml:space="preserve">19 </w:t>
      </w:r>
      <w:r w:rsidR="008A4B13">
        <w:rPr>
          <w:rFonts w:ascii="Arial" w:hAnsi="Arial" w:cs="Arial"/>
        </w:rPr>
        <w:t>management</w:t>
      </w:r>
      <w:r w:rsidR="001C63C8">
        <w:rPr>
          <w:rFonts w:ascii="Arial" w:hAnsi="Arial" w:cs="Arial"/>
        </w:rPr>
        <w:t xml:space="preserve"> </w:t>
      </w:r>
      <w:r w:rsidR="008A4B13">
        <w:rPr>
          <w:rFonts w:ascii="Arial" w:hAnsi="Arial" w:cs="Arial"/>
        </w:rPr>
        <w:t xml:space="preserve">declaration </w:t>
      </w:r>
      <w:r w:rsidR="001C63C8">
        <w:rPr>
          <w:rFonts w:ascii="Arial" w:hAnsi="Arial" w:cs="Arial"/>
        </w:rPr>
        <w:t xml:space="preserve">is in force. </w:t>
      </w:r>
    </w:p>
    <w:p w14:paraId="3F70BC56" w14:textId="77777777" w:rsidR="001C63C8" w:rsidRDefault="001C63C8" w:rsidP="000E3CBE">
      <w:pPr>
        <w:rPr>
          <w:rFonts w:ascii="Arial" w:hAnsi="Arial" w:cs="Arial"/>
        </w:rPr>
      </w:pPr>
    </w:p>
    <w:p w14:paraId="18EBD1FE" w14:textId="68C196B9" w:rsidR="001C63C8" w:rsidRDefault="001C63C8" w:rsidP="001C63C8">
      <w:pPr>
        <w:rPr>
          <w:rFonts w:ascii="Arial" w:hAnsi="Arial" w:cs="Arial"/>
          <w:b/>
        </w:rPr>
      </w:pPr>
      <w:bookmarkStart w:id="0" w:name="_Hlk106727218"/>
      <w:r>
        <w:rPr>
          <w:rFonts w:ascii="Arial" w:hAnsi="Arial" w:cs="Arial"/>
          <w:b/>
        </w:rPr>
        <w:t>Authorising Law</w:t>
      </w:r>
    </w:p>
    <w:p w14:paraId="65C02161" w14:textId="77777777" w:rsidR="008A4B13" w:rsidRPr="00CE6465" w:rsidRDefault="008A4B13" w:rsidP="001C63C8">
      <w:pPr>
        <w:rPr>
          <w:rFonts w:ascii="Arial" w:hAnsi="Arial" w:cs="Arial"/>
          <w:b/>
        </w:rPr>
      </w:pPr>
    </w:p>
    <w:bookmarkEnd w:id="0"/>
    <w:p w14:paraId="2680D0B1" w14:textId="700B588C" w:rsidR="00D32F71" w:rsidRDefault="008A4B13" w:rsidP="000E3CBE">
      <w:pPr>
        <w:rPr>
          <w:rFonts w:ascii="Arial" w:hAnsi="Arial" w:cs="Arial"/>
        </w:rPr>
      </w:pPr>
      <w:r>
        <w:rPr>
          <w:rFonts w:ascii="Arial" w:hAnsi="Arial" w:cs="Arial"/>
        </w:rPr>
        <w:t xml:space="preserve">The </w:t>
      </w:r>
      <w:r w:rsidR="001C63C8">
        <w:rPr>
          <w:rFonts w:ascii="Arial" w:hAnsi="Arial" w:cs="Arial"/>
        </w:rPr>
        <w:t>Public Health (COVID-19 Management</w:t>
      </w:r>
      <w:r>
        <w:rPr>
          <w:rFonts w:ascii="Arial" w:hAnsi="Arial" w:cs="Arial"/>
        </w:rPr>
        <w:t>)</w:t>
      </w:r>
      <w:r w:rsidR="001C63C8">
        <w:rPr>
          <w:rFonts w:ascii="Arial" w:hAnsi="Arial" w:cs="Arial"/>
        </w:rPr>
        <w:t xml:space="preserve"> Declaration</w:t>
      </w:r>
      <w:r w:rsidR="00F85365">
        <w:rPr>
          <w:rFonts w:ascii="Arial" w:hAnsi="Arial" w:cs="Arial"/>
        </w:rPr>
        <w:t xml:space="preserve"> Extension</w:t>
      </w:r>
      <w:r>
        <w:rPr>
          <w:rFonts w:ascii="Arial" w:hAnsi="Arial" w:cs="Arial"/>
        </w:rPr>
        <w:t xml:space="preserve"> 2022</w:t>
      </w:r>
      <w:r w:rsidR="001C63C8">
        <w:rPr>
          <w:rFonts w:ascii="Arial" w:hAnsi="Arial" w:cs="Arial"/>
        </w:rPr>
        <w:t xml:space="preserve"> </w:t>
      </w:r>
      <w:r>
        <w:rPr>
          <w:rFonts w:ascii="Arial" w:hAnsi="Arial" w:cs="Arial"/>
        </w:rPr>
        <w:t xml:space="preserve">(the Declaration) </w:t>
      </w:r>
      <w:r w:rsidR="001C63C8">
        <w:rPr>
          <w:rFonts w:ascii="Arial" w:hAnsi="Arial" w:cs="Arial"/>
        </w:rPr>
        <w:t xml:space="preserve">is authorised by section 118O of the Act.  The Declaration can be made </w:t>
      </w:r>
      <w:r>
        <w:rPr>
          <w:rFonts w:ascii="Arial" w:hAnsi="Arial" w:cs="Arial"/>
        </w:rPr>
        <w:t xml:space="preserve">where </w:t>
      </w:r>
      <w:r w:rsidR="001C63C8">
        <w:rPr>
          <w:rFonts w:ascii="Arial" w:hAnsi="Arial" w:cs="Arial"/>
        </w:rPr>
        <w:t xml:space="preserve">the Executive has reasonable grounds to believe that COVID-19 presents a serious risk to public health.  </w:t>
      </w:r>
    </w:p>
    <w:p w14:paraId="3F47713A" w14:textId="53D7B0A1" w:rsidR="001C63C8" w:rsidRDefault="001C63C8" w:rsidP="000E3CBE">
      <w:pPr>
        <w:rPr>
          <w:rFonts w:ascii="Arial" w:hAnsi="Arial" w:cs="Arial"/>
        </w:rPr>
      </w:pPr>
    </w:p>
    <w:p w14:paraId="4F1B08F9" w14:textId="0CB6B57A" w:rsidR="008D5D14" w:rsidRPr="00577215" w:rsidRDefault="008D5D14" w:rsidP="008D5D14">
      <w:pPr>
        <w:rPr>
          <w:rFonts w:ascii="Arial" w:hAnsi="Arial" w:cs="Arial"/>
          <w:szCs w:val="24"/>
        </w:rPr>
      </w:pPr>
      <w:r>
        <w:rPr>
          <w:rFonts w:ascii="Arial" w:hAnsi="Arial" w:cs="Arial"/>
          <w:szCs w:val="24"/>
        </w:rPr>
        <w:t>The Declaration empowers the making of COVID-19 Public Health Directions (Directions) under part 6C of the Act as follows:</w:t>
      </w:r>
    </w:p>
    <w:p w14:paraId="5B340E53" w14:textId="77777777" w:rsidR="008D5D14" w:rsidRDefault="008D5D14" w:rsidP="008D5D14">
      <w:pPr>
        <w:rPr>
          <w:rFonts w:ascii="Arial" w:hAnsi="Arial" w:cs="Arial"/>
        </w:rPr>
      </w:pPr>
    </w:p>
    <w:p w14:paraId="77166622" w14:textId="4AD6DB8E" w:rsidR="008D5D14" w:rsidRPr="00C24AC9" w:rsidRDefault="008D5D14" w:rsidP="008D5D14">
      <w:pPr>
        <w:pStyle w:val="ListParagraph"/>
        <w:numPr>
          <w:ilvl w:val="0"/>
          <w:numId w:val="11"/>
        </w:numPr>
        <w:spacing w:after="120"/>
        <w:ind w:left="1134" w:hanging="567"/>
        <w:contextualSpacing w:val="0"/>
        <w:rPr>
          <w:rFonts w:ascii="Arial" w:hAnsi="Arial" w:cs="Arial"/>
        </w:rPr>
      </w:pPr>
      <w:r w:rsidRPr="00C24AC9">
        <w:rPr>
          <w:rFonts w:ascii="Arial" w:hAnsi="Arial" w:cs="Arial"/>
        </w:rPr>
        <w:t xml:space="preserve">Ministerial directions </w:t>
      </w:r>
      <w:r>
        <w:rPr>
          <w:rFonts w:ascii="Arial" w:hAnsi="Arial" w:cs="Arial"/>
        </w:rPr>
        <w:t xml:space="preserve">for </w:t>
      </w:r>
      <w:r w:rsidRPr="00C24AC9">
        <w:rPr>
          <w:rFonts w:ascii="Arial" w:hAnsi="Arial" w:cs="Arial"/>
        </w:rPr>
        <w:t>public health social measures</w:t>
      </w:r>
      <w:r w:rsidR="001D20DB">
        <w:rPr>
          <w:rFonts w:ascii="Arial" w:hAnsi="Arial" w:cs="Arial"/>
        </w:rPr>
        <w:t xml:space="preserve"> (PHSM)</w:t>
      </w:r>
      <w:r w:rsidRPr="00C24AC9">
        <w:rPr>
          <w:rFonts w:ascii="Arial" w:hAnsi="Arial" w:cs="Arial"/>
        </w:rPr>
        <w:t xml:space="preserve"> (s 118R);</w:t>
      </w:r>
    </w:p>
    <w:p w14:paraId="31591A57" w14:textId="5363C94E" w:rsidR="008D5D14" w:rsidRPr="00C24AC9" w:rsidRDefault="008D5D14" w:rsidP="008D5D14">
      <w:pPr>
        <w:pStyle w:val="ListParagraph"/>
        <w:numPr>
          <w:ilvl w:val="0"/>
          <w:numId w:val="11"/>
        </w:numPr>
        <w:spacing w:after="120"/>
        <w:ind w:left="1134" w:hanging="567"/>
        <w:contextualSpacing w:val="0"/>
        <w:rPr>
          <w:rFonts w:ascii="Arial" w:hAnsi="Arial" w:cs="Arial"/>
        </w:rPr>
      </w:pPr>
      <w:r w:rsidRPr="00C24AC9">
        <w:rPr>
          <w:rFonts w:ascii="Arial" w:hAnsi="Arial" w:cs="Arial"/>
        </w:rPr>
        <w:t xml:space="preserve">Chief Health Officer directions </w:t>
      </w:r>
      <w:r>
        <w:rPr>
          <w:rFonts w:ascii="Arial" w:hAnsi="Arial" w:cs="Arial"/>
        </w:rPr>
        <w:t>for testing</w:t>
      </w:r>
      <w:r w:rsidRPr="00C24AC9">
        <w:rPr>
          <w:rFonts w:ascii="Arial" w:hAnsi="Arial" w:cs="Arial"/>
        </w:rPr>
        <w:t xml:space="preserve">, </w:t>
      </w:r>
      <w:r>
        <w:rPr>
          <w:rFonts w:ascii="Arial" w:hAnsi="Arial" w:cs="Arial"/>
        </w:rPr>
        <w:t xml:space="preserve">isolation </w:t>
      </w:r>
      <w:r w:rsidRPr="00C24AC9">
        <w:rPr>
          <w:rFonts w:ascii="Arial" w:hAnsi="Arial" w:cs="Arial"/>
        </w:rPr>
        <w:t xml:space="preserve">and </w:t>
      </w:r>
      <w:r>
        <w:rPr>
          <w:rFonts w:ascii="Arial" w:hAnsi="Arial" w:cs="Arial"/>
        </w:rPr>
        <w:t xml:space="preserve">segregation of a person </w:t>
      </w:r>
      <w:r w:rsidRPr="00C24AC9">
        <w:rPr>
          <w:rFonts w:ascii="Arial" w:hAnsi="Arial" w:cs="Arial"/>
        </w:rPr>
        <w:t xml:space="preserve">(s 118U); </w:t>
      </w:r>
    </w:p>
    <w:p w14:paraId="42545C57" w14:textId="77777777" w:rsidR="008D5D14" w:rsidRPr="00C24AC9" w:rsidRDefault="008D5D14" w:rsidP="008D5D14">
      <w:pPr>
        <w:pStyle w:val="ListParagraph"/>
        <w:numPr>
          <w:ilvl w:val="0"/>
          <w:numId w:val="11"/>
        </w:numPr>
        <w:ind w:left="1134" w:hanging="567"/>
        <w:rPr>
          <w:rFonts w:ascii="Arial" w:hAnsi="Arial" w:cs="Arial"/>
        </w:rPr>
      </w:pPr>
      <w:r>
        <w:rPr>
          <w:rFonts w:ascii="Arial" w:hAnsi="Arial" w:cs="Arial"/>
        </w:rPr>
        <w:t xml:space="preserve">Vaccination Directions, made by the Executive, for </w:t>
      </w:r>
      <w:r w:rsidRPr="00C24AC9">
        <w:rPr>
          <w:rFonts w:ascii="Arial" w:hAnsi="Arial" w:cs="Arial"/>
        </w:rPr>
        <w:t>particular work, activities, or places (s 118Z).</w:t>
      </w:r>
    </w:p>
    <w:p w14:paraId="329C4A01" w14:textId="77777777" w:rsidR="008D5D14" w:rsidRDefault="008D5D14" w:rsidP="000E3CBE">
      <w:pPr>
        <w:rPr>
          <w:rFonts w:ascii="Arial" w:hAnsi="Arial" w:cs="Arial"/>
        </w:rPr>
      </w:pPr>
    </w:p>
    <w:p w14:paraId="149FE8AF" w14:textId="756A7DC7" w:rsidR="001C63C8" w:rsidRDefault="008D5D14" w:rsidP="000E3CBE">
      <w:pPr>
        <w:rPr>
          <w:rFonts w:ascii="Arial" w:hAnsi="Arial" w:cs="Arial"/>
        </w:rPr>
      </w:pPr>
      <w:r>
        <w:rPr>
          <w:rFonts w:ascii="Arial" w:hAnsi="Arial" w:cs="Arial"/>
        </w:rPr>
        <w:t>The predominant impact</w:t>
      </w:r>
      <w:r w:rsidR="00F731AF">
        <w:rPr>
          <w:rFonts w:ascii="Arial" w:hAnsi="Arial" w:cs="Arial"/>
        </w:rPr>
        <w:t xml:space="preserve"> </w:t>
      </w:r>
      <w:r>
        <w:rPr>
          <w:rFonts w:ascii="Arial" w:hAnsi="Arial" w:cs="Arial"/>
        </w:rPr>
        <w:t xml:space="preserve">on the community, or part of the community, is likely to arise through </w:t>
      </w:r>
      <w:r w:rsidR="001F4244">
        <w:rPr>
          <w:rFonts w:ascii="Arial" w:hAnsi="Arial" w:cs="Arial"/>
        </w:rPr>
        <w:t xml:space="preserve">certain </w:t>
      </w:r>
      <w:r>
        <w:rPr>
          <w:rFonts w:ascii="Arial" w:hAnsi="Arial" w:cs="Arial"/>
        </w:rPr>
        <w:t xml:space="preserve">requirements or conditions </w:t>
      </w:r>
      <w:r w:rsidR="001F4244">
        <w:rPr>
          <w:rFonts w:ascii="Arial" w:hAnsi="Arial" w:cs="Arial"/>
        </w:rPr>
        <w:t xml:space="preserve">which have been previously imposed, such as </w:t>
      </w:r>
      <w:r w:rsidR="008A4B13">
        <w:rPr>
          <w:rFonts w:ascii="Arial" w:hAnsi="Arial" w:cs="Arial"/>
        </w:rPr>
        <w:t>—</w:t>
      </w:r>
      <w:r>
        <w:rPr>
          <w:rFonts w:ascii="Arial" w:hAnsi="Arial" w:cs="Arial"/>
        </w:rPr>
        <w:t xml:space="preserve"> </w:t>
      </w:r>
    </w:p>
    <w:p w14:paraId="3CD2A431" w14:textId="77777777" w:rsidR="008D5D14" w:rsidRDefault="008D5D14" w:rsidP="000E3CBE">
      <w:pPr>
        <w:rPr>
          <w:rFonts w:ascii="Arial" w:hAnsi="Arial" w:cs="Arial"/>
        </w:rPr>
      </w:pPr>
    </w:p>
    <w:p w14:paraId="770B8AC7" w14:textId="6DC9ABD7" w:rsidR="001C63C8" w:rsidRDefault="001C63C8" w:rsidP="001C63C8">
      <w:pPr>
        <w:pStyle w:val="ListParagraph"/>
        <w:numPr>
          <w:ilvl w:val="0"/>
          <w:numId w:val="12"/>
        </w:numPr>
        <w:spacing w:after="120"/>
        <w:ind w:left="1134" w:hanging="567"/>
        <w:contextualSpacing w:val="0"/>
        <w:rPr>
          <w:rFonts w:ascii="Arial" w:hAnsi="Arial" w:cs="Arial"/>
        </w:rPr>
      </w:pPr>
      <w:r>
        <w:rPr>
          <w:rFonts w:ascii="Arial" w:hAnsi="Arial" w:cs="Arial"/>
        </w:rPr>
        <w:t xml:space="preserve">a person </w:t>
      </w:r>
      <w:r w:rsidRPr="008818C0">
        <w:rPr>
          <w:rFonts w:ascii="Arial" w:hAnsi="Arial" w:cs="Arial"/>
        </w:rPr>
        <w:t xml:space="preserve">diagnosed with COVID-19 </w:t>
      </w:r>
      <w:r w:rsidR="008A4B13">
        <w:rPr>
          <w:rFonts w:ascii="Arial" w:hAnsi="Arial" w:cs="Arial"/>
        </w:rPr>
        <w:t xml:space="preserve">having </w:t>
      </w:r>
      <w:r w:rsidRPr="008818C0">
        <w:rPr>
          <w:rFonts w:ascii="Arial" w:hAnsi="Arial" w:cs="Arial"/>
        </w:rPr>
        <w:t xml:space="preserve">to isolate </w:t>
      </w:r>
      <w:r>
        <w:rPr>
          <w:rFonts w:ascii="Arial" w:hAnsi="Arial" w:cs="Arial"/>
        </w:rPr>
        <w:t xml:space="preserve">resulting in a reduction in </w:t>
      </w:r>
      <w:r w:rsidRPr="008818C0">
        <w:rPr>
          <w:rFonts w:ascii="Arial" w:hAnsi="Arial" w:cs="Arial"/>
        </w:rPr>
        <w:t>workplace attendance</w:t>
      </w:r>
      <w:r w:rsidR="009B41F5">
        <w:rPr>
          <w:rFonts w:ascii="Arial" w:hAnsi="Arial" w:cs="Arial"/>
        </w:rPr>
        <w:t xml:space="preserve">, which may result in a cost to business and to the individual employee (if unable to access leave entitlements) </w:t>
      </w:r>
      <w:r>
        <w:rPr>
          <w:rFonts w:ascii="Arial" w:hAnsi="Arial" w:cs="Arial"/>
        </w:rPr>
        <w:t xml:space="preserve">; </w:t>
      </w:r>
    </w:p>
    <w:p w14:paraId="6C9FB318" w14:textId="09F22974" w:rsidR="00591FC4" w:rsidRDefault="00591FC4" w:rsidP="001C63C8">
      <w:pPr>
        <w:pStyle w:val="ListParagraph"/>
        <w:numPr>
          <w:ilvl w:val="0"/>
          <w:numId w:val="12"/>
        </w:numPr>
        <w:spacing w:after="120"/>
        <w:ind w:left="1134" w:hanging="567"/>
        <w:contextualSpacing w:val="0"/>
        <w:rPr>
          <w:rFonts w:ascii="Arial" w:hAnsi="Arial" w:cs="Arial"/>
        </w:rPr>
      </w:pPr>
      <w:r>
        <w:rPr>
          <w:rFonts w:ascii="Arial" w:hAnsi="Arial" w:cs="Arial"/>
        </w:rPr>
        <w:lastRenderedPageBreak/>
        <w:t>a household contact quarantining subject to any exemption which may result in a reduction in workplace attendance;</w:t>
      </w:r>
    </w:p>
    <w:p w14:paraId="10D7E729" w14:textId="2FE742CC" w:rsidR="001C63C8" w:rsidRDefault="001C63C8" w:rsidP="001C63C8">
      <w:pPr>
        <w:pStyle w:val="ListParagraph"/>
        <w:numPr>
          <w:ilvl w:val="0"/>
          <w:numId w:val="12"/>
        </w:numPr>
        <w:spacing w:after="120"/>
        <w:ind w:left="1134" w:hanging="567"/>
        <w:contextualSpacing w:val="0"/>
        <w:rPr>
          <w:rFonts w:ascii="Arial" w:hAnsi="Arial" w:cs="Arial"/>
        </w:rPr>
      </w:pPr>
      <w:r>
        <w:rPr>
          <w:rFonts w:ascii="Arial" w:hAnsi="Arial" w:cs="Arial"/>
        </w:rPr>
        <w:t xml:space="preserve">certain workers </w:t>
      </w:r>
      <w:r w:rsidR="00591FC4">
        <w:rPr>
          <w:rFonts w:ascii="Arial" w:hAnsi="Arial" w:cs="Arial"/>
        </w:rPr>
        <w:t xml:space="preserve">needing </w:t>
      </w:r>
      <w:r>
        <w:rPr>
          <w:rFonts w:ascii="Arial" w:hAnsi="Arial" w:cs="Arial"/>
        </w:rPr>
        <w:t>to be vaccinated against COVID-19 which may result in a workplace reduction for sectors covered</w:t>
      </w:r>
      <w:r w:rsidR="008D5D14">
        <w:rPr>
          <w:rFonts w:ascii="Arial" w:hAnsi="Arial" w:cs="Arial"/>
        </w:rPr>
        <w:t>, should a worker choose not to be vaccinated</w:t>
      </w:r>
      <w:r w:rsidR="00591FC4">
        <w:rPr>
          <w:rFonts w:ascii="Arial" w:hAnsi="Arial" w:cs="Arial"/>
        </w:rPr>
        <w:t xml:space="preserve"> against COVID-19</w:t>
      </w:r>
      <w:r>
        <w:rPr>
          <w:rFonts w:ascii="Arial" w:hAnsi="Arial" w:cs="Arial"/>
        </w:rPr>
        <w:t>;</w:t>
      </w:r>
    </w:p>
    <w:p w14:paraId="45CBD4E7" w14:textId="7749A804" w:rsidR="001C63C8" w:rsidRDefault="001C63C8" w:rsidP="001C63C8">
      <w:pPr>
        <w:pStyle w:val="ListParagraph"/>
        <w:numPr>
          <w:ilvl w:val="0"/>
          <w:numId w:val="12"/>
        </w:numPr>
        <w:spacing w:after="120"/>
        <w:ind w:left="1134" w:hanging="567"/>
        <w:contextualSpacing w:val="0"/>
        <w:rPr>
          <w:rFonts w:ascii="Arial" w:hAnsi="Arial" w:cs="Arial"/>
        </w:rPr>
      </w:pPr>
      <w:r>
        <w:rPr>
          <w:rFonts w:ascii="Arial" w:hAnsi="Arial" w:cs="Arial"/>
        </w:rPr>
        <w:t xml:space="preserve">the use of rapid-antigen tests </w:t>
      </w:r>
      <w:r w:rsidR="00591FC4">
        <w:rPr>
          <w:rFonts w:ascii="Arial" w:hAnsi="Arial" w:cs="Arial"/>
        </w:rPr>
        <w:t xml:space="preserve">to attend </w:t>
      </w:r>
      <w:r w:rsidR="008D5D14">
        <w:rPr>
          <w:rFonts w:ascii="Arial" w:hAnsi="Arial" w:cs="Arial"/>
        </w:rPr>
        <w:t xml:space="preserve">a </w:t>
      </w:r>
      <w:r>
        <w:rPr>
          <w:rFonts w:ascii="Arial" w:hAnsi="Arial" w:cs="Arial"/>
        </w:rPr>
        <w:t>particular premises</w:t>
      </w:r>
      <w:r w:rsidR="008D5D14">
        <w:rPr>
          <w:rFonts w:ascii="Arial" w:hAnsi="Arial" w:cs="Arial"/>
        </w:rPr>
        <w:t xml:space="preserve">, which is likely to </w:t>
      </w:r>
      <w:r>
        <w:rPr>
          <w:rFonts w:ascii="Arial" w:hAnsi="Arial" w:cs="Arial"/>
        </w:rPr>
        <w:t xml:space="preserve">impose a cost </w:t>
      </w:r>
      <w:r w:rsidR="008D5D14">
        <w:rPr>
          <w:rFonts w:ascii="Arial" w:hAnsi="Arial" w:cs="Arial"/>
        </w:rPr>
        <w:t>to</w:t>
      </w:r>
      <w:r>
        <w:rPr>
          <w:rFonts w:ascii="Arial" w:hAnsi="Arial" w:cs="Arial"/>
        </w:rPr>
        <w:t xml:space="preserve"> businesses and</w:t>
      </w:r>
      <w:r w:rsidR="008D5D14">
        <w:rPr>
          <w:rFonts w:ascii="Arial" w:hAnsi="Arial" w:cs="Arial"/>
        </w:rPr>
        <w:t>/or</w:t>
      </w:r>
      <w:r>
        <w:rPr>
          <w:rFonts w:ascii="Arial" w:hAnsi="Arial" w:cs="Arial"/>
        </w:rPr>
        <w:t xml:space="preserve"> individuals; and</w:t>
      </w:r>
    </w:p>
    <w:p w14:paraId="37B386EC" w14:textId="568E0188" w:rsidR="001C63C8" w:rsidRPr="008818C0" w:rsidRDefault="001C63C8" w:rsidP="001C63C8">
      <w:pPr>
        <w:pStyle w:val="ListParagraph"/>
        <w:numPr>
          <w:ilvl w:val="0"/>
          <w:numId w:val="12"/>
        </w:numPr>
        <w:ind w:left="1134" w:hanging="567"/>
        <w:rPr>
          <w:rFonts w:ascii="Arial" w:hAnsi="Arial" w:cs="Arial"/>
        </w:rPr>
      </w:pPr>
      <w:r>
        <w:rPr>
          <w:rFonts w:ascii="Arial" w:hAnsi="Arial" w:cs="Arial"/>
        </w:rPr>
        <w:t xml:space="preserve">the use of face masks </w:t>
      </w:r>
      <w:r w:rsidR="00A372B7">
        <w:rPr>
          <w:rFonts w:ascii="Arial" w:hAnsi="Arial" w:cs="Arial"/>
        </w:rPr>
        <w:t xml:space="preserve">to attend </w:t>
      </w:r>
      <w:r>
        <w:rPr>
          <w:rFonts w:ascii="Arial" w:hAnsi="Arial" w:cs="Arial"/>
        </w:rPr>
        <w:t>particular places</w:t>
      </w:r>
      <w:r w:rsidR="008D5D14">
        <w:rPr>
          <w:rFonts w:ascii="Arial" w:hAnsi="Arial" w:cs="Arial"/>
        </w:rPr>
        <w:t xml:space="preserve">, which is likely to impose </w:t>
      </w:r>
      <w:r>
        <w:rPr>
          <w:rFonts w:ascii="Arial" w:hAnsi="Arial" w:cs="Arial"/>
        </w:rPr>
        <w:t xml:space="preserve">a cost </w:t>
      </w:r>
      <w:r w:rsidR="008D5D14">
        <w:rPr>
          <w:rFonts w:ascii="Arial" w:hAnsi="Arial" w:cs="Arial"/>
        </w:rPr>
        <w:t>to</w:t>
      </w:r>
      <w:r>
        <w:rPr>
          <w:rFonts w:ascii="Arial" w:hAnsi="Arial" w:cs="Arial"/>
        </w:rPr>
        <w:t xml:space="preserve"> businesses and</w:t>
      </w:r>
      <w:r w:rsidR="008D5D14">
        <w:rPr>
          <w:rFonts w:ascii="Arial" w:hAnsi="Arial" w:cs="Arial"/>
        </w:rPr>
        <w:t>/or</w:t>
      </w:r>
      <w:r>
        <w:rPr>
          <w:rFonts w:ascii="Arial" w:hAnsi="Arial" w:cs="Arial"/>
        </w:rPr>
        <w:t xml:space="preserve"> individuals.</w:t>
      </w:r>
    </w:p>
    <w:p w14:paraId="1602733C" w14:textId="77777777" w:rsidR="001C63C8" w:rsidRDefault="001C63C8" w:rsidP="000E3CBE">
      <w:pPr>
        <w:rPr>
          <w:rFonts w:ascii="Arial" w:hAnsi="Arial" w:cs="Arial"/>
        </w:rPr>
      </w:pPr>
    </w:p>
    <w:p w14:paraId="489925F9" w14:textId="77777777" w:rsidR="001C63C8" w:rsidRDefault="001C63C8" w:rsidP="000E3CBE">
      <w:pPr>
        <w:rPr>
          <w:rFonts w:ascii="Arial" w:hAnsi="Arial" w:cs="Arial"/>
        </w:rPr>
      </w:pPr>
    </w:p>
    <w:p w14:paraId="527F354A" w14:textId="0EF9F21F" w:rsidR="00CE6465" w:rsidRPr="00CE6465" w:rsidRDefault="001E051B" w:rsidP="00CE6465">
      <w:pPr>
        <w:rPr>
          <w:rFonts w:ascii="Arial" w:hAnsi="Arial" w:cs="Arial"/>
          <w:b/>
        </w:rPr>
      </w:pPr>
      <w:r>
        <w:rPr>
          <w:rFonts w:ascii="Arial" w:hAnsi="Arial" w:cs="Arial"/>
          <w:b/>
        </w:rPr>
        <w:t xml:space="preserve">Problem Statement / </w:t>
      </w:r>
      <w:r w:rsidR="00367367">
        <w:rPr>
          <w:rFonts w:ascii="Arial" w:hAnsi="Arial" w:cs="Arial"/>
          <w:b/>
        </w:rPr>
        <w:t>Issue</w:t>
      </w:r>
    </w:p>
    <w:p w14:paraId="40E92B39" w14:textId="21859FEE" w:rsidR="005C4B12" w:rsidRDefault="007D7C58" w:rsidP="007D7C58">
      <w:pPr>
        <w:autoSpaceDE w:val="0"/>
        <w:autoSpaceDN w:val="0"/>
        <w:adjustRightInd w:val="0"/>
        <w:spacing w:before="240"/>
        <w:rPr>
          <w:rFonts w:ascii="Arial" w:hAnsi="Arial" w:cs="Arial"/>
          <w:szCs w:val="24"/>
        </w:rPr>
      </w:pPr>
      <w:r>
        <w:rPr>
          <w:rFonts w:ascii="Arial" w:hAnsi="Arial" w:cs="Arial"/>
          <w:szCs w:val="24"/>
        </w:rPr>
        <w:t>On 11 March 2020</w:t>
      </w:r>
      <w:r w:rsidR="00376481">
        <w:rPr>
          <w:rFonts w:ascii="Arial" w:hAnsi="Arial" w:cs="Arial"/>
          <w:szCs w:val="24"/>
        </w:rPr>
        <w:t>,</w:t>
      </w:r>
      <w:r>
        <w:rPr>
          <w:rFonts w:ascii="Arial" w:hAnsi="Arial" w:cs="Arial"/>
          <w:szCs w:val="24"/>
        </w:rPr>
        <w:t xml:space="preserve"> the </w:t>
      </w:r>
      <w:r w:rsidR="00053F90">
        <w:rPr>
          <w:rFonts w:ascii="Arial" w:hAnsi="Arial" w:cs="Arial"/>
          <w:szCs w:val="24"/>
        </w:rPr>
        <w:t xml:space="preserve">Director General of the </w:t>
      </w:r>
      <w:r>
        <w:rPr>
          <w:rFonts w:ascii="Arial" w:hAnsi="Arial" w:cs="Arial"/>
          <w:szCs w:val="24"/>
        </w:rPr>
        <w:t xml:space="preserve">World Health Organisation declared the </w:t>
      </w:r>
      <w:r w:rsidR="00807D6E">
        <w:rPr>
          <w:rFonts w:ascii="Arial" w:hAnsi="Arial" w:cs="Arial"/>
          <w:szCs w:val="24"/>
        </w:rPr>
        <w:t>novel coronavirus SAR-CoV-2 (</w:t>
      </w:r>
      <w:r>
        <w:rPr>
          <w:rFonts w:ascii="Arial" w:hAnsi="Arial" w:cs="Arial"/>
          <w:szCs w:val="24"/>
        </w:rPr>
        <w:t>COVID-19</w:t>
      </w:r>
      <w:r w:rsidR="00807D6E">
        <w:rPr>
          <w:rFonts w:ascii="Arial" w:hAnsi="Arial" w:cs="Arial"/>
          <w:szCs w:val="24"/>
        </w:rPr>
        <w:t>)</w:t>
      </w:r>
      <w:r>
        <w:rPr>
          <w:rFonts w:ascii="Arial" w:hAnsi="Arial" w:cs="Arial"/>
          <w:szCs w:val="24"/>
        </w:rPr>
        <w:t xml:space="preserve"> outbreak a global pandemic and requested that every country urgently take necessary measures to ready emergency response systems. </w:t>
      </w:r>
    </w:p>
    <w:p w14:paraId="4E717077" w14:textId="4538D061" w:rsidR="005C4B12" w:rsidRDefault="007D7C58" w:rsidP="007D7C58">
      <w:pPr>
        <w:autoSpaceDE w:val="0"/>
        <w:autoSpaceDN w:val="0"/>
        <w:adjustRightInd w:val="0"/>
        <w:spacing w:before="240"/>
        <w:rPr>
          <w:rFonts w:ascii="Arial" w:hAnsi="Arial" w:cs="Arial"/>
          <w:szCs w:val="24"/>
        </w:rPr>
      </w:pPr>
      <w:r>
        <w:rPr>
          <w:rFonts w:ascii="Arial" w:hAnsi="Arial" w:cs="Arial"/>
          <w:szCs w:val="24"/>
        </w:rPr>
        <w:t xml:space="preserve">On 16 March 2020, the </w:t>
      </w:r>
      <w:r w:rsidR="00053F90">
        <w:rPr>
          <w:rFonts w:ascii="Arial" w:hAnsi="Arial" w:cs="Arial"/>
          <w:szCs w:val="24"/>
        </w:rPr>
        <w:t xml:space="preserve">ACT </w:t>
      </w:r>
      <w:r>
        <w:rPr>
          <w:rFonts w:ascii="Arial" w:hAnsi="Arial" w:cs="Arial"/>
          <w:szCs w:val="24"/>
        </w:rPr>
        <w:t xml:space="preserve">Minister for Health declared a public health emergency under the </w:t>
      </w:r>
      <w:r>
        <w:rPr>
          <w:rFonts w:ascii="Arial" w:hAnsi="Arial" w:cs="Arial"/>
          <w:i/>
          <w:iCs/>
          <w:szCs w:val="24"/>
        </w:rPr>
        <w:t>Public Health Act 1997</w:t>
      </w:r>
      <w:r w:rsidR="00007C16">
        <w:rPr>
          <w:rFonts w:ascii="Arial" w:hAnsi="Arial" w:cs="Arial"/>
          <w:i/>
          <w:iCs/>
          <w:szCs w:val="24"/>
        </w:rPr>
        <w:t xml:space="preserve"> </w:t>
      </w:r>
      <w:r w:rsidR="00007C16" w:rsidRPr="00053F90">
        <w:rPr>
          <w:rFonts w:ascii="Arial" w:hAnsi="Arial" w:cs="Arial"/>
          <w:szCs w:val="24"/>
        </w:rPr>
        <w:t>(the Act)</w:t>
      </w:r>
      <w:r w:rsidR="00053F90">
        <w:rPr>
          <w:rFonts w:ascii="Arial" w:hAnsi="Arial" w:cs="Arial"/>
          <w:szCs w:val="24"/>
        </w:rPr>
        <w:t xml:space="preserve"> </w:t>
      </w:r>
      <w:bookmarkStart w:id="1" w:name="_Hlk106727354"/>
      <w:r w:rsidR="00053F90">
        <w:rPr>
          <w:rFonts w:ascii="Arial" w:hAnsi="Arial" w:cs="Arial"/>
          <w:szCs w:val="24"/>
        </w:rPr>
        <w:t>in response to the risks posed by COVID</w:t>
      </w:r>
      <w:r w:rsidR="00A372B7">
        <w:rPr>
          <w:rFonts w:ascii="Arial" w:hAnsi="Arial" w:cs="Arial"/>
          <w:szCs w:val="24"/>
        </w:rPr>
        <w:noBreakHyphen/>
      </w:r>
      <w:r w:rsidR="00053F90">
        <w:rPr>
          <w:rFonts w:ascii="Arial" w:hAnsi="Arial" w:cs="Arial"/>
          <w:szCs w:val="24"/>
        </w:rPr>
        <w:t>19</w:t>
      </w:r>
      <w:r w:rsidR="005C5BF2">
        <w:rPr>
          <w:rFonts w:ascii="Arial" w:hAnsi="Arial" w:cs="Arial"/>
          <w:szCs w:val="24"/>
        </w:rPr>
        <w:t>.</w:t>
      </w:r>
      <w:bookmarkEnd w:id="1"/>
      <w:r w:rsidR="005C5BF2">
        <w:rPr>
          <w:rFonts w:ascii="Arial" w:hAnsi="Arial" w:cs="Arial"/>
          <w:szCs w:val="24"/>
        </w:rPr>
        <w:t xml:space="preserve"> </w:t>
      </w:r>
      <w:r w:rsidR="00053F90">
        <w:rPr>
          <w:rFonts w:ascii="Arial" w:hAnsi="Arial" w:cs="Arial"/>
          <w:szCs w:val="24"/>
        </w:rPr>
        <w:t>Th</w:t>
      </w:r>
      <w:r w:rsidR="001F4244">
        <w:rPr>
          <w:rFonts w:ascii="Arial" w:hAnsi="Arial" w:cs="Arial"/>
          <w:szCs w:val="24"/>
        </w:rPr>
        <w:t xml:space="preserve">e public health emergency </w:t>
      </w:r>
      <w:r w:rsidR="00376481">
        <w:rPr>
          <w:rFonts w:ascii="Arial" w:hAnsi="Arial" w:cs="Arial"/>
          <w:szCs w:val="24"/>
        </w:rPr>
        <w:t xml:space="preserve">declaration </w:t>
      </w:r>
      <w:r w:rsidR="001F4244">
        <w:rPr>
          <w:rFonts w:ascii="Arial" w:hAnsi="Arial" w:cs="Arial"/>
          <w:szCs w:val="24"/>
        </w:rPr>
        <w:t>w</w:t>
      </w:r>
      <w:r w:rsidR="00376481">
        <w:rPr>
          <w:rFonts w:ascii="Arial" w:hAnsi="Arial" w:cs="Arial"/>
          <w:szCs w:val="24"/>
        </w:rPr>
        <w:t xml:space="preserve">as extended </w:t>
      </w:r>
      <w:r w:rsidR="001F4244">
        <w:rPr>
          <w:rFonts w:ascii="Arial" w:hAnsi="Arial" w:cs="Arial"/>
          <w:szCs w:val="24"/>
        </w:rPr>
        <w:t xml:space="preserve">on </w:t>
      </w:r>
      <w:r w:rsidR="00376481">
        <w:rPr>
          <w:rFonts w:ascii="Arial" w:hAnsi="Arial" w:cs="Arial"/>
          <w:szCs w:val="24"/>
        </w:rPr>
        <w:t xml:space="preserve">numerous </w:t>
      </w:r>
      <w:r w:rsidR="001F4244">
        <w:rPr>
          <w:rFonts w:ascii="Arial" w:hAnsi="Arial" w:cs="Arial"/>
          <w:szCs w:val="24"/>
        </w:rPr>
        <w:t>occasions</w:t>
      </w:r>
      <w:r w:rsidR="00376481">
        <w:rPr>
          <w:rFonts w:ascii="Arial" w:hAnsi="Arial" w:cs="Arial"/>
          <w:szCs w:val="24"/>
        </w:rPr>
        <w:t xml:space="preserve">, reflecting the </w:t>
      </w:r>
      <w:r w:rsidR="00053F90" w:rsidRPr="00A47335">
        <w:rPr>
          <w:rFonts w:ascii="Arial" w:hAnsi="Arial" w:cs="Arial"/>
          <w:szCs w:val="24"/>
        </w:rPr>
        <w:t>serious</w:t>
      </w:r>
      <w:r w:rsidR="00A372B7" w:rsidRPr="00A47335">
        <w:rPr>
          <w:rFonts w:ascii="Arial" w:hAnsi="Arial" w:cs="Arial"/>
          <w:szCs w:val="24"/>
        </w:rPr>
        <w:t>,</w:t>
      </w:r>
      <w:r w:rsidR="00053F90" w:rsidRPr="00A47335">
        <w:rPr>
          <w:rFonts w:ascii="Arial" w:hAnsi="Arial" w:cs="Arial"/>
          <w:szCs w:val="24"/>
        </w:rPr>
        <w:t xml:space="preserve"> ongoing and changing </w:t>
      </w:r>
      <w:r w:rsidR="00376481" w:rsidRPr="00A47335">
        <w:rPr>
          <w:rFonts w:ascii="Arial" w:hAnsi="Arial" w:cs="Arial"/>
          <w:szCs w:val="24"/>
        </w:rPr>
        <w:t xml:space="preserve">nature of the pandemic. </w:t>
      </w:r>
      <w:r w:rsidR="00544481">
        <w:rPr>
          <w:rFonts w:ascii="Arial" w:hAnsi="Arial" w:cs="Arial"/>
          <w:szCs w:val="24"/>
        </w:rPr>
        <w:t xml:space="preserve"> </w:t>
      </w:r>
    </w:p>
    <w:p w14:paraId="20B33042" w14:textId="31AD4E15" w:rsidR="001F4244" w:rsidRPr="00A47335" w:rsidRDefault="00544481" w:rsidP="007D7C58">
      <w:pPr>
        <w:autoSpaceDE w:val="0"/>
        <w:autoSpaceDN w:val="0"/>
        <w:adjustRightInd w:val="0"/>
        <w:spacing w:before="240"/>
        <w:rPr>
          <w:rFonts w:ascii="Arial" w:hAnsi="Arial" w:cs="Arial"/>
          <w:szCs w:val="24"/>
        </w:rPr>
      </w:pPr>
      <w:r>
        <w:rPr>
          <w:rFonts w:ascii="Arial" w:hAnsi="Arial" w:cs="Arial"/>
          <w:szCs w:val="24"/>
        </w:rPr>
        <w:t>The public health emergency declaration was revoked with effect from 29 September 2022, and a COVID-19 Management Declaration</w:t>
      </w:r>
      <w:r w:rsidR="00F85365">
        <w:rPr>
          <w:rFonts w:ascii="Arial" w:hAnsi="Arial" w:cs="Arial"/>
          <w:szCs w:val="24"/>
        </w:rPr>
        <w:t xml:space="preserve"> </w:t>
      </w:r>
      <w:r>
        <w:rPr>
          <w:rFonts w:ascii="Arial" w:hAnsi="Arial" w:cs="Arial"/>
          <w:szCs w:val="24"/>
        </w:rPr>
        <w:t xml:space="preserve">(Management Declaration) introduced on 30 September 2022 to manage the ongoing risks presented by COVID-19.  The Management Declaration was initially made for a period of 90 days, until 28 December 2022, and </w:t>
      </w:r>
      <w:r w:rsidR="00F85365">
        <w:rPr>
          <w:rFonts w:ascii="Arial" w:hAnsi="Arial" w:cs="Arial"/>
          <w:szCs w:val="24"/>
        </w:rPr>
        <w:t>can</w:t>
      </w:r>
      <w:r>
        <w:rPr>
          <w:rFonts w:ascii="Arial" w:hAnsi="Arial" w:cs="Arial"/>
          <w:szCs w:val="24"/>
        </w:rPr>
        <w:t xml:space="preserve"> be extended for periods of up to 90 days at a time. </w:t>
      </w:r>
    </w:p>
    <w:p w14:paraId="231E8CF2" w14:textId="4F054612" w:rsidR="005C4B12" w:rsidRPr="00A47335" w:rsidRDefault="00376481" w:rsidP="007D7C58">
      <w:pPr>
        <w:autoSpaceDE w:val="0"/>
        <w:autoSpaceDN w:val="0"/>
        <w:adjustRightInd w:val="0"/>
        <w:spacing w:before="240"/>
        <w:rPr>
          <w:rFonts w:ascii="Arial" w:hAnsi="Arial" w:cs="Arial"/>
          <w:szCs w:val="24"/>
        </w:rPr>
      </w:pPr>
      <w:r w:rsidRPr="00A47335">
        <w:rPr>
          <w:rFonts w:ascii="Arial" w:hAnsi="Arial" w:cs="Arial"/>
          <w:szCs w:val="24"/>
        </w:rPr>
        <w:t xml:space="preserve">The </w:t>
      </w:r>
      <w:r w:rsidR="005C4B12" w:rsidRPr="00A47335">
        <w:rPr>
          <w:rFonts w:ascii="Arial" w:hAnsi="Arial" w:cs="Arial"/>
          <w:szCs w:val="24"/>
        </w:rPr>
        <w:t xml:space="preserve">Australian Capital </w:t>
      </w:r>
      <w:r w:rsidRPr="00A47335">
        <w:rPr>
          <w:rFonts w:ascii="Arial" w:hAnsi="Arial" w:cs="Arial"/>
          <w:szCs w:val="24"/>
        </w:rPr>
        <w:t>Territory</w:t>
      </w:r>
      <w:r w:rsidR="00F731AF" w:rsidRPr="00A47335">
        <w:rPr>
          <w:rFonts w:ascii="Arial" w:hAnsi="Arial" w:cs="Arial"/>
          <w:szCs w:val="24"/>
        </w:rPr>
        <w:t>, consistent with all other Australian jurisdictions,</w:t>
      </w:r>
      <w:r w:rsidR="00D63279" w:rsidRPr="00A47335">
        <w:rPr>
          <w:rFonts w:ascii="Arial" w:hAnsi="Arial" w:cs="Arial"/>
          <w:szCs w:val="24"/>
        </w:rPr>
        <w:t xml:space="preserve"> continues to experience </w:t>
      </w:r>
      <w:r w:rsidR="00960554">
        <w:rPr>
          <w:rFonts w:ascii="Arial" w:hAnsi="Arial" w:cs="Arial"/>
          <w:szCs w:val="24"/>
        </w:rPr>
        <w:t>ongoing</w:t>
      </w:r>
      <w:r w:rsidR="009C6585">
        <w:rPr>
          <w:rFonts w:ascii="Arial" w:hAnsi="Arial" w:cs="Arial"/>
          <w:szCs w:val="24"/>
        </w:rPr>
        <w:t xml:space="preserve"> transmission of</w:t>
      </w:r>
      <w:r w:rsidR="00D63279" w:rsidRPr="00A47335">
        <w:rPr>
          <w:rFonts w:ascii="Arial" w:hAnsi="Arial" w:cs="Arial"/>
          <w:szCs w:val="24"/>
        </w:rPr>
        <w:t xml:space="preserve"> COVID-19 </w:t>
      </w:r>
      <w:r w:rsidR="009C6585">
        <w:rPr>
          <w:rFonts w:ascii="Arial" w:hAnsi="Arial" w:cs="Arial"/>
          <w:szCs w:val="24"/>
        </w:rPr>
        <w:t xml:space="preserve">in the </w:t>
      </w:r>
      <w:r w:rsidR="00D63279" w:rsidRPr="00A47335">
        <w:rPr>
          <w:rFonts w:ascii="Arial" w:hAnsi="Arial" w:cs="Arial"/>
          <w:szCs w:val="24"/>
        </w:rPr>
        <w:t xml:space="preserve">community. </w:t>
      </w:r>
      <w:r w:rsidR="00544481">
        <w:rPr>
          <w:rFonts w:ascii="Arial" w:hAnsi="Arial" w:cs="Arial"/>
          <w:szCs w:val="24"/>
        </w:rPr>
        <w:t xml:space="preserve">In the week ending 4 December 2022, the ACT recorded 2,311 new COVID cases, and sadly, in the period 28 November 2022 to 4 December 2022, two COVID-19 related deaths were reported in the ACT, increasing the total to 135 deaths for the ACT.   </w:t>
      </w:r>
    </w:p>
    <w:p w14:paraId="2E8A36BA" w14:textId="0FE50573" w:rsidR="00D63279" w:rsidRPr="00A47335" w:rsidRDefault="00376481" w:rsidP="007D7C58">
      <w:pPr>
        <w:autoSpaceDE w:val="0"/>
        <w:autoSpaceDN w:val="0"/>
        <w:adjustRightInd w:val="0"/>
        <w:spacing w:before="240"/>
        <w:rPr>
          <w:rFonts w:ascii="Arial" w:hAnsi="Arial" w:cs="Arial"/>
          <w:szCs w:val="24"/>
        </w:rPr>
      </w:pPr>
      <w:r w:rsidRPr="00A47335">
        <w:rPr>
          <w:rFonts w:ascii="Arial" w:hAnsi="Arial" w:cs="Arial"/>
          <w:szCs w:val="24"/>
        </w:rPr>
        <w:t xml:space="preserve">Active outbreaks are </w:t>
      </w:r>
      <w:r w:rsidR="00544481">
        <w:rPr>
          <w:rFonts w:ascii="Arial" w:hAnsi="Arial" w:cs="Arial"/>
          <w:szCs w:val="24"/>
        </w:rPr>
        <w:t xml:space="preserve">also </w:t>
      </w:r>
      <w:r w:rsidR="008A0CD4" w:rsidRPr="00A47335">
        <w:rPr>
          <w:rFonts w:ascii="Arial" w:hAnsi="Arial" w:cs="Arial"/>
          <w:szCs w:val="24"/>
        </w:rPr>
        <w:t>continuing</w:t>
      </w:r>
      <w:r w:rsidRPr="00A47335">
        <w:rPr>
          <w:rFonts w:ascii="Arial" w:hAnsi="Arial" w:cs="Arial"/>
          <w:szCs w:val="24"/>
        </w:rPr>
        <w:t xml:space="preserve"> to be managed across the Territory</w:t>
      </w:r>
      <w:r w:rsidR="004238AE">
        <w:rPr>
          <w:rFonts w:ascii="Arial" w:hAnsi="Arial" w:cs="Arial"/>
          <w:szCs w:val="24"/>
        </w:rPr>
        <w:t xml:space="preserve"> in hospital, </w:t>
      </w:r>
      <w:r w:rsidRPr="00A47335">
        <w:rPr>
          <w:rFonts w:ascii="Arial" w:hAnsi="Arial" w:cs="Arial"/>
          <w:szCs w:val="24"/>
        </w:rPr>
        <w:t xml:space="preserve">residential aged-care and disability </w:t>
      </w:r>
      <w:r w:rsidR="004238AE">
        <w:rPr>
          <w:rFonts w:ascii="Arial" w:hAnsi="Arial" w:cs="Arial"/>
          <w:szCs w:val="24"/>
        </w:rPr>
        <w:t>support</w:t>
      </w:r>
      <w:r w:rsidR="004238AE" w:rsidRPr="00A47335">
        <w:rPr>
          <w:rFonts w:ascii="Arial" w:hAnsi="Arial" w:cs="Arial"/>
          <w:szCs w:val="24"/>
        </w:rPr>
        <w:t xml:space="preserve"> </w:t>
      </w:r>
      <w:r w:rsidRPr="00A47335">
        <w:rPr>
          <w:rFonts w:ascii="Arial" w:hAnsi="Arial" w:cs="Arial"/>
          <w:szCs w:val="24"/>
        </w:rPr>
        <w:t xml:space="preserve">settings. </w:t>
      </w:r>
      <w:r w:rsidR="00D63279" w:rsidRPr="00A47335">
        <w:rPr>
          <w:rFonts w:ascii="Arial" w:hAnsi="Arial" w:cs="Arial"/>
          <w:szCs w:val="24"/>
        </w:rPr>
        <w:t>Ongoing</w:t>
      </w:r>
      <w:r w:rsidR="0049592C" w:rsidRPr="00A47335">
        <w:rPr>
          <w:rFonts w:ascii="Arial" w:hAnsi="Arial" w:cs="Arial"/>
          <w:szCs w:val="24"/>
        </w:rPr>
        <w:t xml:space="preserve"> pressure </w:t>
      </w:r>
      <w:r w:rsidR="00D63279" w:rsidRPr="00A47335">
        <w:rPr>
          <w:rFonts w:ascii="Arial" w:hAnsi="Arial" w:cs="Arial"/>
          <w:szCs w:val="24"/>
        </w:rPr>
        <w:t xml:space="preserve">continues to be </w:t>
      </w:r>
      <w:r w:rsidR="0049592C" w:rsidRPr="00A47335">
        <w:rPr>
          <w:rFonts w:ascii="Arial" w:hAnsi="Arial" w:cs="Arial"/>
          <w:szCs w:val="24"/>
        </w:rPr>
        <w:t xml:space="preserve">placed on the </w:t>
      </w:r>
      <w:r w:rsidR="005C4B12" w:rsidRPr="00A47335">
        <w:rPr>
          <w:rFonts w:ascii="Arial" w:hAnsi="Arial" w:cs="Arial"/>
          <w:szCs w:val="24"/>
        </w:rPr>
        <w:t xml:space="preserve">ACT’s public hospital </w:t>
      </w:r>
      <w:r w:rsidR="0049592C" w:rsidRPr="00A47335">
        <w:rPr>
          <w:rFonts w:ascii="Arial" w:hAnsi="Arial" w:cs="Arial"/>
          <w:szCs w:val="24"/>
        </w:rPr>
        <w:t>system</w:t>
      </w:r>
      <w:r w:rsidR="00D63279" w:rsidRPr="00A47335">
        <w:rPr>
          <w:rFonts w:ascii="Arial" w:hAnsi="Arial" w:cs="Arial"/>
          <w:szCs w:val="24"/>
        </w:rPr>
        <w:t xml:space="preserve">, with the </w:t>
      </w:r>
      <w:r w:rsidR="00137A10" w:rsidRPr="00A47335">
        <w:rPr>
          <w:rFonts w:ascii="Arial" w:hAnsi="Arial" w:cs="Arial"/>
          <w:szCs w:val="24"/>
        </w:rPr>
        <w:t>ACT</w:t>
      </w:r>
      <w:r w:rsidR="005C4B12" w:rsidRPr="00A47335">
        <w:rPr>
          <w:rFonts w:ascii="Arial" w:hAnsi="Arial" w:cs="Arial"/>
          <w:szCs w:val="24"/>
        </w:rPr>
        <w:t>’s</w:t>
      </w:r>
      <w:r w:rsidR="00137A10" w:rsidRPr="00A47335">
        <w:rPr>
          <w:rFonts w:ascii="Arial" w:hAnsi="Arial" w:cs="Arial"/>
          <w:szCs w:val="24"/>
        </w:rPr>
        <w:t xml:space="preserve"> hospitals </w:t>
      </w:r>
      <w:r w:rsidR="005C4B12" w:rsidRPr="00A47335">
        <w:rPr>
          <w:rFonts w:ascii="Arial" w:hAnsi="Arial" w:cs="Arial"/>
          <w:szCs w:val="24"/>
        </w:rPr>
        <w:t>continu</w:t>
      </w:r>
      <w:r w:rsidR="00D63279" w:rsidRPr="00A47335">
        <w:rPr>
          <w:rFonts w:ascii="Arial" w:hAnsi="Arial" w:cs="Arial"/>
          <w:szCs w:val="24"/>
        </w:rPr>
        <w:t xml:space="preserve">ing </w:t>
      </w:r>
      <w:r w:rsidR="005C4B12" w:rsidRPr="00A47335">
        <w:rPr>
          <w:rFonts w:ascii="Arial" w:hAnsi="Arial" w:cs="Arial"/>
          <w:szCs w:val="24"/>
        </w:rPr>
        <w:t xml:space="preserve">to </w:t>
      </w:r>
      <w:r w:rsidR="004238AE">
        <w:rPr>
          <w:rFonts w:ascii="Arial" w:hAnsi="Arial" w:cs="Arial"/>
          <w:szCs w:val="24"/>
        </w:rPr>
        <w:t xml:space="preserve">provide </w:t>
      </w:r>
      <w:r w:rsidR="005C4B12" w:rsidRPr="00A47335">
        <w:rPr>
          <w:rFonts w:ascii="Arial" w:hAnsi="Arial" w:cs="Arial"/>
          <w:szCs w:val="24"/>
        </w:rPr>
        <w:t>care for patients affected by COVID-19</w:t>
      </w:r>
      <w:r w:rsidR="00217E66">
        <w:rPr>
          <w:rFonts w:ascii="Arial" w:hAnsi="Arial" w:cs="Arial"/>
          <w:szCs w:val="24"/>
        </w:rPr>
        <w:t>; although the number of patients requiring intensive care</w:t>
      </w:r>
      <w:r w:rsidR="002F034F">
        <w:rPr>
          <w:rFonts w:ascii="Arial" w:hAnsi="Arial" w:cs="Arial"/>
          <w:szCs w:val="24"/>
        </w:rPr>
        <w:t xml:space="preserve"> unit (ICU)</w:t>
      </w:r>
      <w:r w:rsidR="00217E66">
        <w:rPr>
          <w:rFonts w:ascii="Arial" w:hAnsi="Arial" w:cs="Arial"/>
          <w:szCs w:val="24"/>
        </w:rPr>
        <w:t xml:space="preserve"> support and ventilation has remained stable</w:t>
      </w:r>
      <w:r w:rsidR="005C4B12" w:rsidRPr="00A47335">
        <w:rPr>
          <w:rFonts w:ascii="Arial" w:hAnsi="Arial" w:cs="Arial"/>
          <w:szCs w:val="24"/>
        </w:rPr>
        <w:t xml:space="preserve">.  At </w:t>
      </w:r>
      <w:r w:rsidR="00544481">
        <w:rPr>
          <w:rFonts w:ascii="Arial" w:hAnsi="Arial" w:cs="Arial"/>
          <w:szCs w:val="24"/>
        </w:rPr>
        <w:t>12 December</w:t>
      </w:r>
      <w:r w:rsidR="00217E66">
        <w:rPr>
          <w:rFonts w:ascii="Arial" w:hAnsi="Arial" w:cs="Arial"/>
          <w:szCs w:val="24"/>
        </w:rPr>
        <w:t xml:space="preserve"> </w:t>
      </w:r>
      <w:r w:rsidR="005C4B12" w:rsidRPr="00A47335">
        <w:rPr>
          <w:rFonts w:ascii="Arial" w:hAnsi="Arial" w:cs="Arial"/>
          <w:szCs w:val="24"/>
        </w:rPr>
        <w:t xml:space="preserve">2022, the total number of </w:t>
      </w:r>
      <w:r w:rsidR="00544481">
        <w:rPr>
          <w:rFonts w:ascii="Arial" w:hAnsi="Arial" w:cs="Arial"/>
          <w:szCs w:val="24"/>
        </w:rPr>
        <w:t xml:space="preserve">COVID-19 active </w:t>
      </w:r>
      <w:r w:rsidR="005C4B12" w:rsidRPr="00A47335">
        <w:rPr>
          <w:rFonts w:ascii="Arial" w:hAnsi="Arial" w:cs="Arial"/>
          <w:szCs w:val="24"/>
        </w:rPr>
        <w:t xml:space="preserve">patients in hospital was </w:t>
      </w:r>
      <w:r w:rsidR="00544481">
        <w:rPr>
          <w:rFonts w:ascii="Arial" w:hAnsi="Arial" w:cs="Arial"/>
          <w:szCs w:val="24"/>
        </w:rPr>
        <w:t>68</w:t>
      </w:r>
      <w:r w:rsidR="00544481" w:rsidRPr="00A47335">
        <w:rPr>
          <w:rFonts w:ascii="Arial" w:hAnsi="Arial" w:cs="Arial"/>
          <w:szCs w:val="24"/>
        </w:rPr>
        <w:t xml:space="preserve"> </w:t>
      </w:r>
      <w:r w:rsidR="002F034F">
        <w:rPr>
          <w:rFonts w:ascii="Arial" w:hAnsi="Arial" w:cs="Arial"/>
          <w:szCs w:val="24"/>
        </w:rPr>
        <w:t>and there was one patient in ICU</w:t>
      </w:r>
      <w:r w:rsidR="00137A10" w:rsidRPr="00A47335">
        <w:rPr>
          <w:rFonts w:ascii="Arial" w:hAnsi="Arial" w:cs="Arial"/>
          <w:szCs w:val="24"/>
        </w:rPr>
        <w:t xml:space="preserve">. </w:t>
      </w:r>
    </w:p>
    <w:p w14:paraId="5AB237C6" w14:textId="3774A6A0" w:rsidR="00F731AF" w:rsidRDefault="0028064D" w:rsidP="007D7C58">
      <w:pPr>
        <w:autoSpaceDE w:val="0"/>
        <w:autoSpaceDN w:val="0"/>
        <w:adjustRightInd w:val="0"/>
        <w:spacing w:before="240"/>
        <w:rPr>
          <w:rFonts w:ascii="Arial" w:hAnsi="Arial" w:cs="Arial"/>
          <w:szCs w:val="24"/>
        </w:rPr>
      </w:pPr>
      <w:r>
        <w:rPr>
          <w:rFonts w:ascii="Arial" w:hAnsi="Arial" w:cs="Arial"/>
          <w:szCs w:val="24"/>
        </w:rPr>
        <w:t xml:space="preserve">As at </w:t>
      </w:r>
      <w:r w:rsidR="00544481">
        <w:rPr>
          <w:rFonts w:ascii="Arial" w:hAnsi="Arial" w:cs="Arial"/>
          <w:szCs w:val="24"/>
        </w:rPr>
        <w:t>6 December</w:t>
      </w:r>
      <w:r>
        <w:rPr>
          <w:rFonts w:ascii="Arial" w:hAnsi="Arial" w:cs="Arial"/>
          <w:szCs w:val="24"/>
        </w:rPr>
        <w:t xml:space="preserve"> 2022, </w:t>
      </w:r>
      <w:r w:rsidR="00B70652">
        <w:rPr>
          <w:rFonts w:ascii="Arial" w:hAnsi="Arial" w:cs="Arial"/>
          <w:szCs w:val="24"/>
        </w:rPr>
        <w:t xml:space="preserve">the average number of cases of </w:t>
      </w:r>
      <w:r w:rsidR="00F731AF" w:rsidRPr="00A47335">
        <w:rPr>
          <w:rFonts w:ascii="Arial" w:hAnsi="Arial" w:cs="Arial"/>
          <w:szCs w:val="24"/>
        </w:rPr>
        <w:t>COVID-19 across Australia continue</w:t>
      </w:r>
      <w:r>
        <w:rPr>
          <w:rFonts w:ascii="Arial" w:hAnsi="Arial" w:cs="Arial"/>
          <w:szCs w:val="24"/>
        </w:rPr>
        <w:t>d</w:t>
      </w:r>
      <w:r w:rsidR="00F731AF" w:rsidRPr="00A47335">
        <w:rPr>
          <w:rFonts w:ascii="Arial" w:hAnsi="Arial" w:cs="Arial"/>
          <w:szCs w:val="24"/>
        </w:rPr>
        <w:t xml:space="preserve"> to </w:t>
      </w:r>
      <w:r w:rsidR="00122017">
        <w:rPr>
          <w:rFonts w:ascii="Arial" w:hAnsi="Arial" w:cs="Arial"/>
          <w:szCs w:val="24"/>
        </w:rPr>
        <w:t>increase</w:t>
      </w:r>
      <w:r w:rsidR="00B70652">
        <w:rPr>
          <w:rFonts w:ascii="Arial" w:hAnsi="Arial" w:cs="Arial"/>
          <w:szCs w:val="24"/>
        </w:rPr>
        <w:t>, with an average of 15,569 reported daily</w:t>
      </w:r>
      <w:r w:rsidR="00F731AF" w:rsidRPr="00A47335">
        <w:rPr>
          <w:rFonts w:ascii="Arial" w:hAnsi="Arial" w:cs="Arial"/>
          <w:szCs w:val="24"/>
        </w:rPr>
        <w:t>.</w:t>
      </w:r>
    </w:p>
    <w:p w14:paraId="1E0AE9CE" w14:textId="488C1AC5" w:rsidR="005742DA" w:rsidRDefault="005742DA" w:rsidP="000E3CBE">
      <w:pPr>
        <w:rPr>
          <w:rFonts w:ascii="Arial" w:hAnsi="Arial" w:cs="Arial"/>
        </w:rPr>
      </w:pPr>
    </w:p>
    <w:p w14:paraId="36D09770" w14:textId="112921BF" w:rsidR="005811AD" w:rsidRDefault="005811AD" w:rsidP="000E3CBE">
      <w:pPr>
        <w:rPr>
          <w:rFonts w:ascii="Arial" w:hAnsi="Arial" w:cs="Arial"/>
        </w:rPr>
      </w:pPr>
      <w:r>
        <w:rPr>
          <w:rFonts w:ascii="Arial" w:hAnsi="Arial" w:cs="Arial"/>
        </w:rPr>
        <w:t xml:space="preserve">There remains </w:t>
      </w:r>
      <w:r w:rsidR="00122017">
        <w:rPr>
          <w:rFonts w:ascii="Arial" w:hAnsi="Arial" w:cs="Arial"/>
        </w:rPr>
        <w:t xml:space="preserve">a level </w:t>
      </w:r>
      <w:r w:rsidR="00C05FEC">
        <w:rPr>
          <w:rFonts w:ascii="Arial" w:hAnsi="Arial" w:cs="Arial"/>
        </w:rPr>
        <w:t xml:space="preserve">of </w:t>
      </w:r>
      <w:r>
        <w:rPr>
          <w:rFonts w:ascii="Arial" w:hAnsi="Arial" w:cs="Arial"/>
        </w:rPr>
        <w:t xml:space="preserve">uncertainty and complexity relating to the evolution of the COVID-19 pandemic, which is likely to continue over the coming months.  </w:t>
      </w:r>
    </w:p>
    <w:p w14:paraId="0AEAEFF9" w14:textId="77777777" w:rsidR="005811AD" w:rsidRDefault="005811AD" w:rsidP="000E3CBE">
      <w:pPr>
        <w:rPr>
          <w:rFonts w:ascii="Arial" w:hAnsi="Arial" w:cs="Arial"/>
        </w:rPr>
      </w:pPr>
    </w:p>
    <w:p w14:paraId="16759C29" w14:textId="77777777" w:rsidR="00053F90" w:rsidRDefault="00053F90" w:rsidP="000E3CBE">
      <w:pPr>
        <w:rPr>
          <w:rFonts w:ascii="Arial" w:hAnsi="Arial" w:cs="Arial"/>
        </w:rPr>
      </w:pPr>
    </w:p>
    <w:p w14:paraId="23B83BBC" w14:textId="0D7762CA" w:rsidR="005021F2" w:rsidRDefault="001E051B" w:rsidP="00540CE3">
      <w:pPr>
        <w:keepNext/>
        <w:rPr>
          <w:rFonts w:ascii="Arial" w:hAnsi="Arial" w:cs="Arial"/>
          <w:b/>
        </w:rPr>
      </w:pPr>
      <w:r>
        <w:rPr>
          <w:rFonts w:ascii="Arial" w:hAnsi="Arial" w:cs="Arial"/>
          <w:b/>
        </w:rPr>
        <w:lastRenderedPageBreak/>
        <w:t>Policy o</w:t>
      </w:r>
      <w:r w:rsidR="001E5C3E">
        <w:rPr>
          <w:rFonts w:ascii="Arial" w:hAnsi="Arial" w:cs="Arial"/>
          <w:b/>
        </w:rPr>
        <w:t>bjectives</w:t>
      </w:r>
      <w:r w:rsidR="005742DA">
        <w:rPr>
          <w:rFonts w:ascii="Arial" w:hAnsi="Arial" w:cs="Arial"/>
          <w:b/>
        </w:rPr>
        <w:t xml:space="preserve"> of government intervention</w:t>
      </w:r>
    </w:p>
    <w:p w14:paraId="43BCEC45" w14:textId="77777777" w:rsidR="00B70652" w:rsidRDefault="00B70652" w:rsidP="00B70652">
      <w:pPr>
        <w:rPr>
          <w:rFonts w:ascii="Arial" w:hAnsi="Arial" w:cs="Arial"/>
        </w:rPr>
      </w:pPr>
    </w:p>
    <w:p w14:paraId="63682317" w14:textId="7FD78632" w:rsidR="00B70652" w:rsidRDefault="00B70652" w:rsidP="00B70652">
      <w:pPr>
        <w:rPr>
          <w:rFonts w:ascii="Arial" w:hAnsi="Arial" w:cs="Arial"/>
        </w:rPr>
      </w:pPr>
      <w:r>
        <w:rPr>
          <w:rFonts w:ascii="Arial" w:hAnsi="Arial" w:cs="Arial"/>
        </w:rPr>
        <w:t xml:space="preserve">The ACT continues to transition the COVID-19 response to the endemic management of COVID-19, similar to other notifiable diseases.  There is a strong focus on ensuring that only critical measures to support the COVID-19 response remain as the transition process evolves.     </w:t>
      </w:r>
    </w:p>
    <w:p w14:paraId="1B0E44F0" w14:textId="02517505" w:rsidR="00960554" w:rsidRDefault="007835AC" w:rsidP="007835AC">
      <w:pPr>
        <w:autoSpaceDE w:val="0"/>
        <w:autoSpaceDN w:val="0"/>
        <w:adjustRightInd w:val="0"/>
        <w:spacing w:before="240"/>
        <w:rPr>
          <w:rFonts w:ascii="Arial" w:hAnsi="Arial" w:cs="Arial"/>
          <w:szCs w:val="24"/>
        </w:rPr>
      </w:pPr>
      <w:r>
        <w:rPr>
          <w:rFonts w:ascii="Arial" w:hAnsi="Arial" w:cs="Arial"/>
          <w:szCs w:val="24"/>
        </w:rPr>
        <w:t>The Territory</w:t>
      </w:r>
      <w:r w:rsidR="00B70652">
        <w:rPr>
          <w:rFonts w:ascii="Arial" w:hAnsi="Arial" w:cs="Arial"/>
          <w:szCs w:val="24"/>
        </w:rPr>
        <w:t xml:space="preserve"> continues to work to </w:t>
      </w:r>
      <w:r w:rsidR="00F31EA5">
        <w:rPr>
          <w:rFonts w:ascii="Arial" w:hAnsi="Arial" w:cs="Arial"/>
          <w:szCs w:val="24"/>
        </w:rPr>
        <w:t>reduce</w:t>
      </w:r>
      <w:r w:rsidR="00053F90">
        <w:rPr>
          <w:rFonts w:ascii="Arial" w:hAnsi="Arial" w:cs="Arial"/>
          <w:szCs w:val="24"/>
        </w:rPr>
        <w:t>, or limit,</w:t>
      </w:r>
      <w:r w:rsidR="00F31EA5">
        <w:rPr>
          <w:rFonts w:ascii="Arial" w:hAnsi="Arial" w:cs="Arial"/>
          <w:szCs w:val="24"/>
        </w:rPr>
        <w:t xml:space="preserve"> the rate of COVID-19 transmission among members of the community, particularly </w:t>
      </w:r>
      <w:r w:rsidR="008D5D14">
        <w:rPr>
          <w:rFonts w:ascii="Arial" w:hAnsi="Arial" w:cs="Arial"/>
          <w:szCs w:val="24"/>
        </w:rPr>
        <w:t>within</w:t>
      </w:r>
      <w:r w:rsidR="003F21F7">
        <w:rPr>
          <w:rFonts w:ascii="Arial" w:hAnsi="Arial" w:cs="Arial"/>
          <w:szCs w:val="24"/>
        </w:rPr>
        <w:t xml:space="preserve"> high-risk population</w:t>
      </w:r>
      <w:r w:rsidR="004A68D3">
        <w:rPr>
          <w:rFonts w:ascii="Arial" w:hAnsi="Arial" w:cs="Arial"/>
          <w:szCs w:val="24"/>
        </w:rPr>
        <w:t>s (</w:t>
      </w:r>
      <w:r w:rsidR="00F85365">
        <w:rPr>
          <w:rFonts w:ascii="Arial" w:hAnsi="Arial" w:cs="Arial"/>
          <w:szCs w:val="24"/>
        </w:rPr>
        <w:t>e.g.</w:t>
      </w:r>
      <w:r w:rsidR="004A68D3">
        <w:rPr>
          <w:rFonts w:ascii="Arial" w:hAnsi="Arial" w:cs="Arial"/>
          <w:szCs w:val="24"/>
        </w:rPr>
        <w:t>, older persons and people that are immunocompromised)</w:t>
      </w:r>
      <w:r w:rsidR="003F21F7">
        <w:rPr>
          <w:rFonts w:ascii="Arial" w:hAnsi="Arial" w:cs="Arial"/>
          <w:szCs w:val="24"/>
        </w:rPr>
        <w:t xml:space="preserve"> and in higher-risk </w:t>
      </w:r>
      <w:r w:rsidR="004A68D3">
        <w:rPr>
          <w:rFonts w:ascii="Arial" w:hAnsi="Arial" w:cs="Arial"/>
          <w:szCs w:val="24"/>
        </w:rPr>
        <w:t xml:space="preserve">settings (e.g., residential, aged care and disability settings). </w:t>
      </w:r>
      <w:bookmarkStart w:id="2" w:name="_Hlk106727772"/>
    </w:p>
    <w:bookmarkEnd w:id="2"/>
    <w:p w14:paraId="70124706" w14:textId="03F35ED3" w:rsidR="007835AC" w:rsidRDefault="00BD3E0F" w:rsidP="007835AC">
      <w:pPr>
        <w:autoSpaceDE w:val="0"/>
        <w:autoSpaceDN w:val="0"/>
        <w:adjustRightInd w:val="0"/>
        <w:spacing w:before="240"/>
        <w:rPr>
          <w:rFonts w:ascii="Arial" w:hAnsi="Arial" w:cs="Arial"/>
          <w:szCs w:val="24"/>
        </w:rPr>
      </w:pPr>
      <w:r>
        <w:rPr>
          <w:rFonts w:ascii="Arial" w:hAnsi="Arial" w:cs="Arial"/>
          <w:szCs w:val="24"/>
        </w:rPr>
        <w:t>By reducing the rate and risk of COVID-19 transmission in high</w:t>
      </w:r>
      <w:r w:rsidR="00B70652">
        <w:rPr>
          <w:rFonts w:ascii="Arial" w:hAnsi="Arial" w:cs="Arial"/>
          <w:szCs w:val="24"/>
        </w:rPr>
        <w:t>er</w:t>
      </w:r>
      <w:r>
        <w:rPr>
          <w:rFonts w:ascii="Arial" w:hAnsi="Arial" w:cs="Arial"/>
          <w:szCs w:val="24"/>
        </w:rPr>
        <w:t xml:space="preserve">-risk populations and settings, the Territory also aims to reduce the average number of patients that require hospitalisation and specialist or intensive </w:t>
      </w:r>
      <w:r w:rsidR="00C4469F">
        <w:rPr>
          <w:rFonts w:ascii="Arial" w:hAnsi="Arial" w:cs="Arial"/>
          <w:szCs w:val="24"/>
        </w:rPr>
        <w:t>health</w:t>
      </w:r>
      <w:r>
        <w:rPr>
          <w:rFonts w:ascii="Arial" w:hAnsi="Arial" w:cs="Arial"/>
          <w:szCs w:val="24"/>
        </w:rPr>
        <w:t xml:space="preserve">care </w:t>
      </w:r>
      <w:r w:rsidR="00C4469F">
        <w:rPr>
          <w:rFonts w:ascii="Arial" w:hAnsi="Arial" w:cs="Arial"/>
          <w:szCs w:val="24"/>
        </w:rPr>
        <w:t>due to</w:t>
      </w:r>
      <w:r>
        <w:rPr>
          <w:rFonts w:ascii="Arial" w:hAnsi="Arial" w:cs="Arial"/>
          <w:szCs w:val="24"/>
        </w:rPr>
        <w:t xml:space="preserve"> severe illness from COVID-19. </w:t>
      </w:r>
    </w:p>
    <w:p w14:paraId="4D36ADA8" w14:textId="25740E0E" w:rsidR="00D63279" w:rsidRDefault="00D63279" w:rsidP="007835AC">
      <w:pPr>
        <w:autoSpaceDE w:val="0"/>
        <w:autoSpaceDN w:val="0"/>
        <w:adjustRightInd w:val="0"/>
        <w:spacing w:before="240"/>
        <w:rPr>
          <w:rFonts w:ascii="Arial" w:hAnsi="Arial" w:cs="Arial"/>
          <w:szCs w:val="24"/>
        </w:rPr>
      </w:pPr>
      <w:r>
        <w:rPr>
          <w:rFonts w:ascii="Arial" w:hAnsi="Arial" w:cs="Arial"/>
          <w:szCs w:val="24"/>
        </w:rPr>
        <w:t xml:space="preserve">The ability to implement </w:t>
      </w:r>
      <w:r w:rsidR="001D20DB">
        <w:rPr>
          <w:rFonts w:ascii="Arial" w:hAnsi="Arial" w:cs="Arial"/>
          <w:szCs w:val="24"/>
        </w:rPr>
        <w:t>PHSM</w:t>
      </w:r>
      <w:r>
        <w:rPr>
          <w:rFonts w:ascii="Arial" w:hAnsi="Arial" w:cs="Arial"/>
          <w:szCs w:val="24"/>
        </w:rPr>
        <w:t>, T</w:t>
      </w:r>
      <w:r w:rsidR="00B32EA7">
        <w:rPr>
          <w:rFonts w:ascii="Arial" w:hAnsi="Arial" w:cs="Arial"/>
          <w:szCs w:val="24"/>
        </w:rPr>
        <w:t>est, Trace, Isolate and Quarantine (T</w:t>
      </w:r>
      <w:r>
        <w:rPr>
          <w:rFonts w:ascii="Arial" w:hAnsi="Arial" w:cs="Arial"/>
          <w:szCs w:val="24"/>
        </w:rPr>
        <w:t>TIQ</w:t>
      </w:r>
      <w:r w:rsidR="00B32EA7">
        <w:rPr>
          <w:rFonts w:ascii="Arial" w:hAnsi="Arial" w:cs="Arial"/>
          <w:szCs w:val="24"/>
        </w:rPr>
        <w:t>)</w:t>
      </w:r>
      <w:r>
        <w:rPr>
          <w:rFonts w:ascii="Arial" w:hAnsi="Arial" w:cs="Arial"/>
          <w:szCs w:val="24"/>
        </w:rPr>
        <w:t xml:space="preserve"> requirements and vaccination </w:t>
      </w:r>
      <w:r w:rsidR="00A372B7">
        <w:rPr>
          <w:rFonts w:ascii="Arial" w:hAnsi="Arial" w:cs="Arial"/>
          <w:szCs w:val="24"/>
        </w:rPr>
        <w:t xml:space="preserve">requirements </w:t>
      </w:r>
      <w:r w:rsidR="00B8337D">
        <w:rPr>
          <w:rFonts w:ascii="Arial" w:hAnsi="Arial" w:cs="Arial"/>
          <w:szCs w:val="24"/>
        </w:rPr>
        <w:t>has been</w:t>
      </w:r>
      <w:r>
        <w:rPr>
          <w:rFonts w:ascii="Arial" w:hAnsi="Arial" w:cs="Arial"/>
          <w:szCs w:val="24"/>
        </w:rPr>
        <w:t xml:space="preserve"> essential to </w:t>
      </w:r>
      <w:r w:rsidR="00A372B7">
        <w:rPr>
          <w:rFonts w:ascii="Arial" w:hAnsi="Arial" w:cs="Arial"/>
          <w:szCs w:val="24"/>
        </w:rPr>
        <w:t>alleviat</w:t>
      </w:r>
      <w:r w:rsidR="00B8337D">
        <w:rPr>
          <w:rFonts w:ascii="Arial" w:hAnsi="Arial" w:cs="Arial"/>
          <w:szCs w:val="24"/>
        </w:rPr>
        <w:t>ing</w:t>
      </w:r>
      <w:r w:rsidR="00A372B7">
        <w:rPr>
          <w:rFonts w:ascii="Arial" w:hAnsi="Arial" w:cs="Arial"/>
          <w:szCs w:val="24"/>
        </w:rPr>
        <w:t xml:space="preserve"> the public health risk presented by COVID-19</w:t>
      </w:r>
      <w:r w:rsidR="00B8337D">
        <w:rPr>
          <w:rFonts w:ascii="Arial" w:hAnsi="Arial" w:cs="Arial"/>
          <w:szCs w:val="24"/>
        </w:rPr>
        <w:t xml:space="preserve"> since the commencement of the pandemic,</w:t>
      </w:r>
      <w:r w:rsidR="00A372B7">
        <w:rPr>
          <w:rFonts w:ascii="Arial" w:hAnsi="Arial" w:cs="Arial"/>
          <w:szCs w:val="24"/>
        </w:rPr>
        <w:t xml:space="preserve"> by </w:t>
      </w:r>
      <w:r w:rsidR="007558E3">
        <w:rPr>
          <w:rFonts w:ascii="Arial" w:hAnsi="Arial" w:cs="Arial"/>
          <w:szCs w:val="24"/>
        </w:rPr>
        <w:t xml:space="preserve">minimising </w:t>
      </w:r>
      <w:r>
        <w:rPr>
          <w:rFonts w:ascii="Arial" w:hAnsi="Arial" w:cs="Arial"/>
          <w:szCs w:val="24"/>
        </w:rPr>
        <w:t>community transmission</w:t>
      </w:r>
      <w:r w:rsidR="00A372B7">
        <w:rPr>
          <w:rFonts w:ascii="Arial" w:hAnsi="Arial" w:cs="Arial"/>
          <w:szCs w:val="24"/>
        </w:rPr>
        <w:t xml:space="preserve"> in either a targeted or broad community scale</w:t>
      </w:r>
      <w:r>
        <w:rPr>
          <w:rFonts w:ascii="Arial" w:hAnsi="Arial" w:cs="Arial"/>
          <w:szCs w:val="24"/>
        </w:rPr>
        <w:t>.  Implementation</w:t>
      </w:r>
      <w:r w:rsidR="00A372B7">
        <w:rPr>
          <w:rFonts w:ascii="Arial" w:hAnsi="Arial" w:cs="Arial"/>
          <w:szCs w:val="24"/>
        </w:rPr>
        <w:t xml:space="preserve"> of public health measures</w:t>
      </w:r>
      <w:r>
        <w:rPr>
          <w:rFonts w:ascii="Arial" w:hAnsi="Arial" w:cs="Arial"/>
          <w:szCs w:val="24"/>
        </w:rPr>
        <w:t xml:space="preserve"> is consistent with national and expert advice and seeks to align with neighbouring jurisdictions to </w:t>
      </w:r>
      <w:r w:rsidR="00A372B7">
        <w:rPr>
          <w:rFonts w:ascii="Arial" w:hAnsi="Arial" w:cs="Arial"/>
          <w:szCs w:val="24"/>
        </w:rPr>
        <w:t xml:space="preserve">provide coverage to </w:t>
      </w:r>
      <w:r>
        <w:rPr>
          <w:rFonts w:ascii="Arial" w:hAnsi="Arial" w:cs="Arial"/>
          <w:szCs w:val="24"/>
        </w:rPr>
        <w:t>protect the most vulnerable in the community from severe illness or death.</w:t>
      </w:r>
    </w:p>
    <w:p w14:paraId="03795AE4" w14:textId="2EA7AFD1" w:rsidR="00D63279" w:rsidRDefault="009160D1" w:rsidP="007835AC">
      <w:pPr>
        <w:autoSpaceDE w:val="0"/>
        <w:autoSpaceDN w:val="0"/>
        <w:adjustRightInd w:val="0"/>
        <w:spacing w:before="240"/>
        <w:rPr>
          <w:rFonts w:ascii="Arial" w:hAnsi="Arial" w:cs="Arial"/>
          <w:szCs w:val="24"/>
        </w:rPr>
      </w:pPr>
      <w:r>
        <w:rPr>
          <w:rFonts w:ascii="Arial" w:hAnsi="Arial" w:cs="Arial"/>
          <w:szCs w:val="24"/>
        </w:rPr>
        <w:t xml:space="preserve">As noted above, the ACT continues to transition to managing COVID-19 consistent with other notifiable diseases, with significant easing of public health mandates taking place since the public health emergency declaration was revoked in September 2022.  The ACT has subsequently experienced its first COVID-19 wave without a public health emergency in place and only baseline public health measures.  Implementing a Management Declaration which enables Directions to be made quickly and efficiently to respond to any worsening of an epidemiological situation is not inconsistent with the policy objectives of any Territory law.   </w:t>
      </w:r>
      <w:r w:rsidRPr="009160D1">
        <w:rPr>
          <w:rFonts w:ascii="Arial" w:hAnsi="Arial" w:cs="Arial"/>
          <w:szCs w:val="24"/>
        </w:rPr>
        <w:t xml:space="preserve"> </w:t>
      </w:r>
    </w:p>
    <w:p w14:paraId="7D644157" w14:textId="020F55E1" w:rsidR="00F731AF" w:rsidRDefault="00F731AF" w:rsidP="00D63279">
      <w:pPr>
        <w:rPr>
          <w:rFonts w:ascii="Arial" w:hAnsi="Arial" w:cs="Arial"/>
          <w:b/>
        </w:rPr>
      </w:pPr>
    </w:p>
    <w:p w14:paraId="215E4A91" w14:textId="4F90FB71" w:rsidR="00B70652" w:rsidRDefault="00B70652">
      <w:pPr>
        <w:rPr>
          <w:rFonts w:ascii="Arial" w:hAnsi="Arial" w:cs="Arial"/>
          <w:b/>
        </w:rPr>
      </w:pPr>
      <w:r>
        <w:rPr>
          <w:rFonts w:ascii="Arial" w:hAnsi="Arial" w:cs="Arial"/>
          <w:b/>
        </w:rPr>
        <w:br w:type="page"/>
      </w:r>
    </w:p>
    <w:p w14:paraId="080AFF16" w14:textId="77777777" w:rsidR="00523E8B" w:rsidRDefault="00523E8B" w:rsidP="00D63279">
      <w:pPr>
        <w:rPr>
          <w:rFonts w:ascii="Arial" w:hAnsi="Arial" w:cs="Arial"/>
          <w:b/>
        </w:rPr>
      </w:pPr>
    </w:p>
    <w:p w14:paraId="5A9CFFAA" w14:textId="546FB32F" w:rsidR="00D63279" w:rsidRDefault="00D63279" w:rsidP="00D63279">
      <w:pPr>
        <w:rPr>
          <w:rFonts w:ascii="Arial" w:hAnsi="Arial" w:cs="Arial"/>
          <w:b/>
        </w:rPr>
      </w:pPr>
      <w:bookmarkStart w:id="3" w:name="_Hlk106727924"/>
      <w:r>
        <w:rPr>
          <w:rFonts w:ascii="Arial" w:hAnsi="Arial" w:cs="Arial"/>
          <w:b/>
        </w:rPr>
        <w:t xml:space="preserve">Reasonable alternatives </w:t>
      </w:r>
    </w:p>
    <w:bookmarkEnd w:id="3"/>
    <w:p w14:paraId="51E9D50A" w14:textId="7DE9CD70" w:rsidR="00CD7BD1" w:rsidRDefault="00D63279" w:rsidP="007835AC">
      <w:pPr>
        <w:autoSpaceDE w:val="0"/>
        <w:autoSpaceDN w:val="0"/>
        <w:adjustRightInd w:val="0"/>
        <w:spacing w:before="240"/>
        <w:rPr>
          <w:rFonts w:ascii="Arial" w:hAnsi="Arial" w:cs="Arial"/>
          <w:szCs w:val="24"/>
        </w:rPr>
      </w:pPr>
      <w:r>
        <w:rPr>
          <w:rFonts w:ascii="Arial" w:hAnsi="Arial" w:cs="Arial"/>
          <w:szCs w:val="24"/>
        </w:rPr>
        <w:t xml:space="preserve">The </w:t>
      </w:r>
      <w:r w:rsidR="00B47375">
        <w:rPr>
          <w:rFonts w:ascii="Arial" w:hAnsi="Arial" w:cs="Arial"/>
          <w:szCs w:val="24"/>
        </w:rPr>
        <w:t>ACT Executive</w:t>
      </w:r>
      <w:r>
        <w:rPr>
          <w:rFonts w:ascii="Arial" w:hAnsi="Arial" w:cs="Arial"/>
          <w:szCs w:val="24"/>
        </w:rPr>
        <w:t xml:space="preserve"> </w:t>
      </w:r>
      <w:r w:rsidR="00B47375">
        <w:rPr>
          <w:rFonts w:ascii="Arial" w:hAnsi="Arial" w:cs="Arial"/>
          <w:szCs w:val="24"/>
        </w:rPr>
        <w:t xml:space="preserve">agreed to the implementation of a COVID-19 Management Declaration Framework in accordance with Part 6C of the </w:t>
      </w:r>
      <w:r w:rsidR="00B47375" w:rsidRPr="00F85365">
        <w:rPr>
          <w:rFonts w:ascii="Arial" w:hAnsi="Arial" w:cs="Arial"/>
          <w:i/>
          <w:iCs/>
          <w:szCs w:val="24"/>
        </w:rPr>
        <w:t>Public Health Act 1997</w:t>
      </w:r>
      <w:r w:rsidR="00CD7BD1">
        <w:rPr>
          <w:rFonts w:ascii="Arial" w:hAnsi="Arial" w:cs="Arial"/>
          <w:szCs w:val="24"/>
        </w:rPr>
        <w:t xml:space="preserve"> </w:t>
      </w:r>
      <w:r w:rsidR="001064E6">
        <w:rPr>
          <w:rFonts w:ascii="Arial" w:hAnsi="Arial" w:cs="Arial"/>
          <w:szCs w:val="24"/>
        </w:rPr>
        <w:t xml:space="preserve">(the Act) </w:t>
      </w:r>
      <w:r w:rsidR="00CD7BD1">
        <w:rPr>
          <w:rFonts w:ascii="Arial" w:hAnsi="Arial" w:cs="Arial"/>
          <w:szCs w:val="24"/>
        </w:rPr>
        <w:t xml:space="preserve">with effect from 30 September 2022.  The Management Declaration supported a move away from wide-spread Public Health Emergency settings, following the revocation of the Public Health Emergency Declaration, enabling targeted public health measures to be put in place to assist with reducing the risk of COVID-19 transmission.   </w:t>
      </w:r>
    </w:p>
    <w:p w14:paraId="01184920" w14:textId="77777777" w:rsidR="00CD7BD1" w:rsidRDefault="00CD7BD1" w:rsidP="007835AC">
      <w:pPr>
        <w:autoSpaceDE w:val="0"/>
        <w:autoSpaceDN w:val="0"/>
        <w:adjustRightInd w:val="0"/>
        <w:spacing w:before="240"/>
        <w:rPr>
          <w:rFonts w:ascii="Arial" w:hAnsi="Arial" w:cs="Arial"/>
          <w:szCs w:val="24"/>
        </w:rPr>
      </w:pPr>
      <w:r>
        <w:rPr>
          <w:rFonts w:ascii="Arial" w:hAnsi="Arial" w:cs="Arial"/>
          <w:szCs w:val="24"/>
        </w:rPr>
        <w:t xml:space="preserve">The COVID-19 Management Declaration was implemented for a period of 90 days, until 28 December 2022, and can be extended for up to 90 days at a time. </w:t>
      </w:r>
    </w:p>
    <w:p w14:paraId="54BC65DF" w14:textId="402AEC6F" w:rsidR="00D63279" w:rsidRDefault="00D63279" w:rsidP="007835AC">
      <w:pPr>
        <w:autoSpaceDE w:val="0"/>
        <w:autoSpaceDN w:val="0"/>
        <w:adjustRightInd w:val="0"/>
        <w:spacing w:before="240"/>
        <w:rPr>
          <w:rFonts w:ascii="Arial" w:hAnsi="Arial" w:cs="Arial"/>
          <w:szCs w:val="24"/>
        </w:rPr>
      </w:pPr>
      <w:r>
        <w:rPr>
          <w:rFonts w:ascii="Arial" w:hAnsi="Arial" w:cs="Arial"/>
          <w:szCs w:val="24"/>
        </w:rPr>
        <w:t xml:space="preserve">The </w:t>
      </w:r>
      <w:r w:rsidR="00B47375">
        <w:rPr>
          <w:rFonts w:ascii="Arial" w:hAnsi="Arial" w:cs="Arial"/>
          <w:szCs w:val="24"/>
        </w:rPr>
        <w:t xml:space="preserve">Management </w:t>
      </w:r>
      <w:r>
        <w:rPr>
          <w:rFonts w:ascii="Arial" w:hAnsi="Arial" w:cs="Arial"/>
          <w:szCs w:val="24"/>
        </w:rPr>
        <w:t xml:space="preserve">Declaration has enabled the </w:t>
      </w:r>
      <w:r w:rsidR="00B47375">
        <w:rPr>
          <w:rFonts w:ascii="Arial" w:hAnsi="Arial" w:cs="Arial"/>
          <w:szCs w:val="24"/>
        </w:rPr>
        <w:t xml:space="preserve">Minister for Health and </w:t>
      </w:r>
      <w:r>
        <w:rPr>
          <w:rFonts w:ascii="Arial" w:hAnsi="Arial" w:cs="Arial"/>
          <w:szCs w:val="24"/>
        </w:rPr>
        <w:t xml:space="preserve">Chief Health Officer to make COVID-19 Public Health </w:t>
      </w:r>
      <w:r w:rsidR="00B47375">
        <w:rPr>
          <w:rFonts w:ascii="Arial" w:hAnsi="Arial" w:cs="Arial"/>
          <w:szCs w:val="24"/>
        </w:rPr>
        <w:t xml:space="preserve">Management </w:t>
      </w:r>
      <w:r>
        <w:rPr>
          <w:rFonts w:ascii="Arial" w:hAnsi="Arial" w:cs="Arial"/>
          <w:szCs w:val="24"/>
        </w:rPr>
        <w:t xml:space="preserve">Directions to maintain a </w:t>
      </w:r>
      <w:r w:rsidR="00B47375">
        <w:rPr>
          <w:rFonts w:ascii="Arial" w:hAnsi="Arial" w:cs="Arial"/>
          <w:szCs w:val="24"/>
        </w:rPr>
        <w:t xml:space="preserve">base </w:t>
      </w:r>
      <w:r>
        <w:rPr>
          <w:rFonts w:ascii="Arial" w:hAnsi="Arial" w:cs="Arial"/>
          <w:szCs w:val="24"/>
        </w:rPr>
        <w:t>level of</w:t>
      </w:r>
      <w:r w:rsidR="00B47375">
        <w:rPr>
          <w:rFonts w:ascii="Arial" w:hAnsi="Arial" w:cs="Arial"/>
          <w:szCs w:val="24"/>
        </w:rPr>
        <w:t xml:space="preserve"> public health measures to support the ACT’s response to the pandemic</w:t>
      </w:r>
      <w:r>
        <w:rPr>
          <w:rFonts w:ascii="Arial" w:hAnsi="Arial" w:cs="Arial"/>
          <w:szCs w:val="24"/>
        </w:rPr>
        <w:t>.</w:t>
      </w:r>
    </w:p>
    <w:p w14:paraId="118A2EAE" w14:textId="6B5751DA" w:rsidR="00D63279" w:rsidRDefault="00D63279" w:rsidP="00D63279">
      <w:pPr>
        <w:rPr>
          <w:rFonts w:ascii="Arial" w:hAnsi="Arial" w:cs="Arial"/>
          <w:szCs w:val="24"/>
        </w:rPr>
      </w:pPr>
    </w:p>
    <w:p w14:paraId="71562DAB" w14:textId="61FAB5BC" w:rsidR="00CD7BD1" w:rsidRDefault="00CD7BD1" w:rsidP="00F85365">
      <w:pPr>
        <w:rPr>
          <w:rFonts w:ascii="Arial" w:hAnsi="Arial" w:cs="Arial"/>
          <w:szCs w:val="24"/>
        </w:rPr>
      </w:pPr>
      <w:r>
        <w:rPr>
          <w:rFonts w:ascii="Arial" w:hAnsi="Arial" w:cs="Arial"/>
          <w:szCs w:val="24"/>
        </w:rPr>
        <w:t xml:space="preserve">The only reasonable alternative to an extension of the Management Declaration would be to allow the Declaration to end.  </w:t>
      </w:r>
    </w:p>
    <w:p w14:paraId="6EE0EFBA" w14:textId="37C0F2E2" w:rsidR="00B47375" w:rsidRDefault="00B47375" w:rsidP="00D63279">
      <w:pPr>
        <w:rPr>
          <w:rFonts w:ascii="Arial" w:hAnsi="Arial" w:cs="Arial"/>
          <w:szCs w:val="24"/>
        </w:rPr>
      </w:pPr>
    </w:p>
    <w:p w14:paraId="398F4D58" w14:textId="6F5404B6" w:rsidR="00CD7BD1" w:rsidRDefault="00CD7BD1" w:rsidP="00D63279">
      <w:pPr>
        <w:rPr>
          <w:rFonts w:ascii="Arial" w:hAnsi="Arial" w:cs="Arial"/>
          <w:szCs w:val="24"/>
        </w:rPr>
      </w:pPr>
      <w:r>
        <w:rPr>
          <w:rFonts w:ascii="Arial" w:hAnsi="Arial" w:cs="Arial"/>
          <w:szCs w:val="24"/>
        </w:rPr>
        <w:t>In considering the current uncertain epidemiological situation in the ACT, it is felt that it is proportionate for the ACT Government to continue to provide a Framework that enables the implementation of targeted public health measures</w:t>
      </w:r>
      <w:r w:rsidR="00122017">
        <w:rPr>
          <w:rFonts w:ascii="Arial" w:hAnsi="Arial" w:cs="Arial"/>
          <w:szCs w:val="24"/>
        </w:rPr>
        <w:t xml:space="preserve"> during this first wave experienced since the majority of mandated control measures were removed</w:t>
      </w:r>
      <w:r>
        <w:rPr>
          <w:rFonts w:ascii="Arial" w:hAnsi="Arial" w:cs="Arial"/>
          <w:szCs w:val="24"/>
        </w:rPr>
        <w:t xml:space="preserve">.  </w:t>
      </w:r>
    </w:p>
    <w:p w14:paraId="0B0E1F30" w14:textId="77777777" w:rsidR="00CD7BD1" w:rsidRDefault="00CD7BD1" w:rsidP="00D63279">
      <w:pPr>
        <w:rPr>
          <w:rFonts w:ascii="Arial" w:hAnsi="Arial" w:cs="Arial"/>
          <w:szCs w:val="24"/>
        </w:rPr>
      </w:pPr>
    </w:p>
    <w:p w14:paraId="45F922EA" w14:textId="77777777" w:rsidR="00523E8B" w:rsidRDefault="00523E8B" w:rsidP="000E3CBE">
      <w:pPr>
        <w:rPr>
          <w:rFonts w:ascii="Arial" w:hAnsi="Arial" w:cs="Arial"/>
        </w:rPr>
      </w:pPr>
    </w:p>
    <w:p w14:paraId="3019B82C" w14:textId="77777777" w:rsidR="00314C86" w:rsidRDefault="00314C86" w:rsidP="000E3CBE">
      <w:pPr>
        <w:rPr>
          <w:rFonts w:ascii="Arial" w:hAnsi="Arial" w:cs="Arial"/>
          <w:b/>
        </w:rPr>
      </w:pPr>
      <w:r>
        <w:rPr>
          <w:rFonts w:ascii="Arial" w:hAnsi="Arial" w:cs="Arial"/>
          <w:b/>
        </w:rPr>
        <w:t>Options</w:t>
      </w:r>
    </w:p>
    <w:p w14:paraId="65BB4CE5" w14:textId="77777777" w:rsidR="00314C86" w:rsidRDefault="00314C86" w:rsidP="000E3CBE">
      <w:pPr>
        <w:rPr>
          <w:rFonts w:ascii="Arial" w:hAnsi="Arial" w:cs="Arial"/>
          <w:b/>
        </w:rPr>
      </w:pPr>
    </w:p>
    <w:p w14:paraId="55B79160" w14:textId="577EEED0" w:rsidR="008429B1" w:rsidRDefault="00B14385" w:rsidP="000E3CBE">
      <w:pPr>
        <w:rPr>
          <w:rFonts w:ascii="Arial" w:hAnsi="Arial" w:cs="Arial"/>
        </w:rPr>
      </w:pPr>
      <w:r w:rsidRPr="00DB4CEA">
        <w:rPr>
          <w:rFonts w:ascii="Arial" w:hAnsi="Arial" w:cs="Arial"/>
          <w:u w:val="single"/>
        </w:rPr>
        <w:t>Option 1</w:t>
      </w:r>
      <w:r w:rsidRPr="00A52941">
        <w:rPr>
          <w:rFonts w:ascii="Arial" w:hAnsi="Arial" w:cs="Arial"/>
          <w:u w:val="single"/>
        </w:rPr>
        <w:t xml:space="preserve">: </w:t>
      </w:r>
      <w:r w:rsidR="00CD7BD1">
        <w:rPr>
          <w:rFonts w:ascii="Arial" w:hAnsi="Arial" w:cs="Arial"/>
          <w:u w:val="single"/>
        </w:rPr>
        <w:t xml:space="preserve">Allow </w:t>
      </w:r>
      <w:r w:rsidR="00B96F5D">
        <w:rPr>
          <w:rFonts w:ascii="Arial" w:hAnsi="Arial" w:cs="Arial"/>
          <w:u w:val="single"/>
        </w:rPr>
        <w:t xml:space="preserve">the COVID-19 </w:t>
      </w:r>
      <w:r w:rsidR="00CD7BD1">
        <w:rPr>
          <w:rFonts w:ascii="Arial" w:hAnsi="Arial" w:cs="Arial"/>
          <w:u w:val="single"/>
        </w:rPr>
        <w:t>Management Declaration to end on 28 December 2022</w:t>
      </w:r>
    </w:p>
    <w:p w14:paraId="4154B8BD" w14:textId="77777777" w:rsidR="005C3D84" w:rsidRPr="008429B1" w:rsidRDefault="005C3D84" w:rsidP="000E3CBE">
      <w:pPr>
        <w:rPr>
          <w:rFonts w:ascii="Arial" w:hAnsi="Arial" w:cs="Arial"/>
        </w:rPr>
      </w:pPr>
    </w:p>
    <w:p w14:paraId="57E97F07" w14:textId="0202F049" w:rsidR="007F46DE" w:rsidRDefault="0022305B" w:rsidP="000C1904">
      <w:pPr>
        <w:rPr>
          <w:rFonts w:ascii="Arial" w:hAnsi="Arial" w:cs="Arial"/>
          <w:szCs w:val="24"/>
        </w:rPr>
      </w:pPr>
      <w:r>
        <w:rPr>
          <w:rFonts w:ascii="Arial" w:hAnsi="Arial" w:cs="Arial"/>
          <w:szCs w:val="24"/>
        </w:rPr>
        <w:t>N</w:t>
      </w:r>
      <w:r w:rsidR="00DA6C5D">
        <w:rPr>
          <w:rFonts w:ascii="Arial" w:hAnsi="Arial" w:cs="Arial"/>
          <w:szCs w:val="24"/>
        </w:rPr>
        <w:t>o</w:t>
      </w:r>
      <w:r w:rsidR="00AA1EE0">
        <w:rPr>
          <w:rFonts w:ascii="Arial" w:hAnsi="Arial" w:cs="Arial"/>
          <w:szCs w:val="24"/>
        </w:rPr>
        <w:t xml:space="preserve"> regulatory action </w:t>
      </w:r>
      <w:r w:rsidR="00DA6C5D">
        <w:rPr>
          <w:rFonts w:ascii="Arial" w:hAnsi="Arial" w:cs="Arial"/>
          <w:szCs w:val="24"/>
        </w:rPr>
        <w:t xml:space="preserve">is taken </w:t>
      </w:r>
      <w:r w:rsidR="007F46DE">
        <w:rPr>
          <w:rFonts w:ascii="Arial" w:hAnsi="Arial" w:cs="Arial"/>
          <w:szCs w:val="24"/>
        </w:rPr>
        <w:t>to mitigate the risk to public health and safety posed by COVID-19</w:t>
      </w:r>
      <w:r w:rsidR="00960554">
        <w:rPr>
          <w:rFonts w:ascii="Arial" w:hAnsi="Arial" w:cs="Arial"/>
          <w:szCs w:val="24"/>
        </w:rPr>
        <w:t>, with only recommendations made to the community</w:t>
      </w:r>
      <w:r w:rsidR="007F46DE">
        <w:rPr>
          <w:rFonts w:ascii="Arial" w:hAnsi="Arial" w:cs="Arial"/>
          <w:szCs w:val="24"/>
        </w:rPr>
        <w:t xml:space="preserve">. </w:t>
      </w:r>
      <w:r w:rsidR="00F74ECA">
        <w:rPr>
          <w:rFonts w:ascii="Arial" w:hAnsi="Arial" w:cs="Arial"/>
          <w:szCs w:val="24"/>
        </w:rPr>
        <w:t>The</w:t>
      </w:r>
      <w:r w:rsidR="005C3D84">
        <w:rPr>
          <w:rFonts w:ascii="Arial" w:hAnsi="Arial" w:cs="Arial"/>
          <w:szCs w:val="24"/>
        </w:rPr>
        <w:t xml:space="preserve"> impact</w:t>
      </w:r>
      <w:r w:rsidR="00F74ECA">
        <w:rPr>
          <w:rFonts w:ascii="Arial" w:hAnsi="Arial" w:cs="Arial"/>
          <w:szCs w:val="24"/>
        </w:rPr>
        <w:t xml:space="preserve"> of</w:t>
      </w:r>
      <w:r w:rsidR="0086217E">
        <w:rPr>
          <w:rFonts w:ascii="Arial" w:hAnsi="Arial" w:cs="Arial"/>
          <w:szCs w:val="24"/>
        </w:rPr>
        <w:t xml:space="preserve"> this</w:t>
      </w:r>
      <w:r w:rsidR="009117EA">
        <w:rPr>
          <w:rFonts w:ascii="Arial" w:hAnsi="Arial" w:cs="Arial"/>
          <w:szCs w:val="24"/>
        </w:rPr>
        <w:t xml:space="preserve"> option </w:t>
      </w:r>
      <w:r w:rsidR="00F74ECA">
        <w:rPr>
          <w:rFonts w:ascii="Arial" w:hAnsi="Arial" w:cs="Arial"/>
          <w:szCs w:val="24"/>
        </w:rPr>
        <w:t>is dependent on</w:t>
      </w:r>
      <w:r w:rsidR="005C3D84">
        <w:rPr>
          <w:rFonts w:ascii="Arial" w:hAnsi="Arial" w:cs="Arial"/>
          <w:szCs w:val="24"/>
        </w:rPr>
        <w:t xml:space="preserve"> each person in the ACT to </w:t>
      </w:r>
      <w:r w:rsidR="009117EA">
        <w:rPr>
          <w:rFonts w:ascii="Arial" w:hAnsi="Arial" w:cs="Arial"/>
          <w:szCs w:val="24"/>
        </w:rPr>
        <w:t xml:space="preserve">maintain an awareness of </w:t>
      </w:r>
      <w:r w:rsidR="005C3D84">
        <w:rPr>
          <w:rFonts w:ascii="Arial" w:hAnsi="Arial" w:cs="Arial"/>
          <w:szCs w:val="24"/>
        </w:rPr>
        <w:t xml:space="preserve">the current </w:t>
      </w:r>
      <w:r w:rsidR="009117EA">
        <w:rPr>
          <w:rFonts w:ascii="Arial" w:hAnsi="Arial" w:cs="Arial"/>
          <w:szCs w:val="24"/>
        </w:rPr>
        <w:t xml:space="preserve">public health advice and act </w:t>
      </w:r>
      <w:r w:rsidR="005C3D84">
        <w:rPr>
          <w:rFonts w:ascii="Arial" w:hAnsi="Arial" w:cs="Arial"/>
          <w:szCs w:val="24"/>
        </w:rPr>
        <w:t>in a manner</w:t>
      </w:r>
      <w:r w:rsidR="00DA2EAE">
        <w:rPr>
          <w:rFonts w:ascii="Arial" w:hAnsi="Arial" w:cs="Arial"/>
          <w:szCs w:val="24"/>
        </w:rPr>
        <w:t xml:space="preserve"> consistent with this advice</w:t>
      </w:r>
      <w:r w:rsidR="005C3D84">
        <w:rPr>
          <w:rFonts w:ascii="Arial" w:hAnsi="Arial" w:cs="Arial"/>
          <w:szCs w:val="24"/>
        </w:rPr>
        <w:t xml:space="preserve">. </w:t>
      </w:r>
    </w:p>
    <w:p w14:paraId="4ABF1234" w14:textId="1F2A2631" w:rsidR="0086217E" w:rsidRDefault="0086217E" w:rsidP="000C1904">
      <w:pPr>
        <w:rPr>
          <w:rFonts w:ascii="Arial" w:hAnsi="Arial" w:cs="Arial"/>
          <w:szCs w:val="24"/>
        </w:rPr>
      </w:pPr>
    </w:p>
    <w:p w14:paraId="3E89FAA4" w14:textId="1055CD9B" w:rsidR="000C1904" w:rsidRDefault="00197AD8" w:rsidP="000C1904">
      <w:pPr>
        <w:rPr>
          <w:rFonts w:ascii="Arial" w:hAnsi="Arial" w:cs="Arial"/>
        </w:rPr>
      </w:pPr>
      <w:r>
        <w:rPr>
          <w:rFonts w:ascii="Arial" w:hAnsi="Arial" w:cs="Arial"/>
          <w:szCs w:val="24"/>
        </w:rPr>
        <w:t>This approach</w:t>
      </w:r>
      <w:r w:rsidR="0086217E">
        <w:rPr>
          <w:rFonts w:ascii="Arial" w:hAnsi="Arial" w:cs="Arial"/>
          <w:szCs w:val="24"/>
        </w:rPr>
        <w:t xml:space="preserve"> acknowledges the high rate of COVID-19 vaccination achieved by the Territory population</w:t>
      </w:r>
      <w:r>
        <w:rPr>
          <w:rFonts w:ascii="Arial" w:hAnsi="Arial" w:cs="Arial"/>
          <w:szCs w:val="24"/>
        </w:rPr>
        <w:t xml:space="preserve"> (</w:t>
      </w:r>
      <w:r w:rsidR="001F1EE8">
        <w:rPr>
          <w:rFonts w:ascii="Arial" w:hAnsi="Arial" w:cs="Arial"/>
          <w:szCs w:val="24"/>
        </w:rPr>
        <w:t>76</w:t>
      </w:r>
      <w:r w:rsidR="001F1316">
        <w:rPr>
          <w:rFonts w:ascii="Arial" w:hAnsi="Arial" w:cs="Arial"/>
          <w:szCs w:val="24"/>
        </w:rPr>
        <w:t>.8</w:t>
      </w:r>
      <w:r>
        <w:rPr>
          <w:rFonts w:ascii="Arial" w:hAnsi="Arial" w:cs="Arial"/>
          <w:szCs w:val="24"/>
        </w:rPr>
        <w:t xml:space="preserve">% </w:t>
      </w:r>
      <w:r w:rsidR="001F1316">
        <w:rPr>
          <w:rFonts w:ascii="Arial" w:hAnsi="Arial" w:cs="Arial"/>
          <w:szCs w:val="24"/>
        </w:rPr>
        <w:t>of children aged 5 to 15 years having received two doses and 78.</w:t>
      </w:r>
      <w:r w:rsidR="001F1EE8">
        <w:rPr>
          <w:rFonts w:ascii="Arial" w:hAnsi="Arial" w:cs="Arial"/>
          <w:szCs w:val="24"/>
        </w:rPr>
        <w:t>6</w:t>
      </w:r>
      <w:r w:rsidR="001F1316">
        <w:rPr>
          <w:rFonts w:ascii="Arial" w:hAnsi="Arial" w:cs="Arial"/>
          <w:szCs w:val="24"/>
        </w:rPr>
        <w:t xml:space="preserve">% of eligible persons aged 16 years and older have received three or more doses; at </w:t>
      </w:r>
      <w:r w:rsidR="001F1EE8">
        <w:rPr>
          <w:rFonts w:ascii="Arial" w:hAnsi="Arial" w:cs="Arial"/>
          <w:szCs w:val="24"/>
        </w:rPr>
        <w:t>8 December</w:t>
      </w:r>
      <w:r w:rsidR="001F1316">
        <w:rPr>
          <w:rFonts w:ascii="Arial" w:hAnsi="Arial" w:cs="Arial"/>
          <w:szCs w:val="24"/>
        </w:rPr>
        <w:t xml:space="preserve"> 2022). </w:t>
      </w:r>
      <w:r w:rsidR="009B41F5">
        <w:rPr>
          <w:rFonts w:ascii="Arial" w:hAnsi="Arial" w:cs="Arial"/>
          <w:szCs w:val="24"/>
        </w:rPr>
        <w:t xml:space="preserve"> It also reflects the emergence of new anti</w:t>
      </w:r>
      <w:r w:rsidR="005811AD">
        <w:rPr>
          <w:rFonts w:ascii="Arial" w:hAnsi="Arial" w:cs="Arial"/>
          <w:szCs w:val="24"/>
        </w:rPr>
        <w:t>-</w:t>
      </w:r>
      <w:r w:rsidR="009B41F5">
        <w:rPr>
          <w:rFonts w:ascii="Arial" w:hAnsi="Arial" w:cs="Arial"/>
          <w:szCs w:val="24"/>
        </w:rPr>
        <w:t xml:space="preserve">viral treatments which can prevent more serious health outcomes for persons who are most at risk.  </w:t>
      </w:r>
      <w:r w:rsidR="001F1316">
        <w:rPr>
          <w:rFonts w:ascii="Arial" w:hAnsi="Arial" w:cs="Arial"/>
          <w:szCs w:val="24"/>
        </w:rPr>
        <w:t>However, it</w:t>
      </w:r>
      <w:r>
        <w:rPr>
          <w:rFonts w:ascii="Arial" w:hAnsi="Arial" w:cs="Arial"/>
          <w:szCs w:val="24"/>
        </w:rPr>
        <w:t xml:space="preserve"> does not consider the </w:t>
      </w:r>
      <w:r w:rsidR="00CB3075">
        <w:rPr>
          <w:rFonts w:ascii="Arial" w:hAnsi="Arial" w:cs="Arial"/>
          <w:szCs w:val="24"/>
        </w:rPr>
        <w:t>highly transmissible</w:t>
      </w:r>
      <w:r>
        <w:rPr>
          <w:rFonts w:ascii="Arial" w:hAnsi="Arial" w:cs="Arial"/>
          <w:szCs w:val="24"/>
        </w:rPr>
        <w:t xml:space="preserve"> nature of the Omicron Variant</w:t>
      </w:r>
      <w:r w:rsidR="00CD7BD1">
        <w:rPr>
          <w:rFonts w:ascii="Arial" w:hAnsi="Arial" w:cs="Arial"/>
          <w:szCs w:val="24"/>
        </w:rPr>
        <w:t>s</w:t>
      </w:r>
      <w:r>
        <w:rPr>
          <w:rFonts w:ascii="Arial" w:hAnsi="Arial" w:cs="Arial"/>
          <w:szCs w:val="24"/>
        </w:rPr>
        <w:t xml:space="preserve"> of Concern and its subvariants, </w:t>
      </w:r>
      <w:r w:rsidR="001F1EE8">
        <w:rPr>
          <w:rFonts w:ascii="Arial" w:hAnsi="Arial" w:cs="Arial"/>
          <w:szCs w:val="24"/>
        </w:rPr>
        <w:t xml:space="preserve">the increasing cases which are being experienced locally and nationally, </w:t>
      </w:r>
      <w:r>
        <w:rPr>
          <w:rFonts w:ascii="Arial" w:hAnsi="Arial" w:cs="Arial"/>
          <w:szCs w:val="24"/>
        </w:rPr>
        <w:t xml:space="preserve">or the time limited effectiveness of the vaccine. </w:t>
      </w:r>
    </w:p>
    <w:p w14:paraId="12C0DBFB" w14:textId="0BC3F338" w:rsidR="009B41F5" w:rsidRDefault="009B41F5" w:rsidP="000C1904">
      <w:pPr>
        <w:rPr>
          <w:rFonts w:ascii="Arial" w:hAnsi="Arial" w:cs="Arial"/>
        </w:rPr>
      </w:pPr>
    </w:p>
    <w:p w14:paraId="6A19B984" w14:textId="0530E86D" w:rsidR="001F1EE8" w:rsidRDefault="009B41F5" w:rsidP="009B41F5">
      <w:pPr>
        <w:rPr>
          <w:rFonts w:ascii="Arial" w:hAnsi="Arial" w:cs="Arial"/>
          <w:szCs w:val="24"/>
        </w:rPr>
      </w:pPr>
      <w:r>
        <w:rPr>
          <w:rFonts w:ascii="Arial" w:hAnsi="Arial" w:cs="Arial"/>
          <w:szCs w:val="24"/>
        </w:rPr>
        <w:t xml:space="preserve">This approach acknowledges that the ACT is at the end stage of transitioning to endemic management of COVID-19, similar to other notifiable diseases, with only baseline public health requirements currently in place.  </w:t>
      </w:r>
      <w:r w:rsidR="00CD7BD1">
        <w:rPr>
          <w:rFonts w:ascii="Arial" w:hAnsi="Arial" w:cs="Arial"/>
          <w:szCs w:val="24"/>
        </w:rPr>
        <w:t xml:space="preserve">The only public health </w:t>
      </w:r>
      <w:r w:rsidR="001F1EE8">
        <w:rPr>
          <w:rFonts w:ascii="Arial" w:hAnsi="Arial" w:cs="Arial"/>
          <w:szCs w:val="24"/>
        </w:rPr>
        <w:t xml:space="preserve">measures that are likely to remain with an extension of the Management Declaration enable critical surveillance and monitoring to of COVID-19 to continue in the ACT, through the requirement for individuals to report their positive Rapid Antigen Test </w:t>
      </w:r>
      <w:r w:rsidR="001F1EE8">
        <w:rPr>
          <w:rFonts w:ascii="Arial" w:hAnsi="Arial" w:cs="Arial"/>
          <w:szCs w:val="24"/>
        </w:rPr>
        <w:lastRenderedPageBreak/>
        <w:t xml:space="preserve">results to ACT Health.  This process also enables diagnosed persons to receive important advice about symptom management and access to oral antiviral treatments. </w:t>
      </w:r>
    </w:p>
    <w:p w14:paraId="07DEDA2E" w14:textId="77777777" w:rsidR="001F1EE8" w:rsidRDefault="001F1EE8" w:rsidP="009B41F5">
      <w:pPr>
        <w:rPr>
          <w:rFonts w:ascii="Arial" w:hAnsi="Arial" w:cs="Arial"/>
          <w:szCs w:val="24"/>
        </w:rPr>
      </w:pPr>
    </w:p>
    <w:p w14:paraId="1FE9B3BE" w14:textId="3B6D3576" w:rsidR="001F1EE8" w:rsidRDefault="001064E6" w:rsidP="009B41F5">
      <w:pPr>
        <w:rPr>
          <w:rFonts w:ascii="Arial" w:hAnsi="Arial" w:cs="Arial"/>
          <w:szCs w:val="24"/>
        </w:rPr>
      </w:pPr>
      <w:r>
        <w:rPr>
          <w:rFonts w:ascii="Arial" w:hAnsi="Arial" w:cs="Arial"/>
          <w:szCs w:val="24"/>
        </w:rPr>
        <w:t>With this option, there is minimal</w:t>
      </w:r>
      <w:r w:rsidR="001F1EE8">
        <w:rPr>
          <w:rFonts w:ascii="Arial" w:hAnsi="Arial" w:cs="Arial"/>
          <w:szCs w:val="24"/>
        </w:rPr>
        <w:t xml:space="preserve"> ability to act quickly to respond </w:t>
      </w:r>
      <w:r>
        <w:rPr>
          <w:rFonts w:ascii="Arial" w:hAnsi="Arial" w:cs="Arial"/>
          <w:szCs w:val="24"/>
        </w:rPr>
        <w:t xml:space="preserve">to any deterioration of the epidemiological situation, including any support for increased burden on the public health and hospital systems. </w:t>
      </w:r>
    </w:p>
    <w:p w14:paraId="775671D0" w14:textId="77777777" w:rsidR="009B41F5" w:rsidRDefault="009B41F5" w:rsidP="000C1904">
      <w:pPr>
        <w:rPr>
          <w:rFonts w:ascii="Arial" w:hAnsi="Arial" w:cs="Arial"/>
        </w:rPr>
      </w:pPr>
    </w:p>
    <w:p w14:paraId="726E379F" w14:textId="77777777" w:rsidR="00DA19FF" w:rsidRDefault="00DA19FF" w:rsidP="00344B52">
      <w:pPr>
        <w:autoSpaceDE w:val="0"/>
        <w:autoSpaceDN w:val="0"/>
        <w:adjustRightInd w:val="0"/>
        <w:rPr>
          <w:rFonts w:ascii="Arial" w:hAnsi="Arial" w:cs="Arial"/>
          <w:color w:val="000000"/>
          <w:szCs w:val="24"/>
          <w:lang w:eastAsia="en-AU"/>
        </w:rPr>
      </w:pPr>
    </w:p>
    <w:p w14:paraId="24EBE78D" w14:textId="4D88B14F" w:rsidR="007D7C58" w:rsidRDefault="00B14385" w:rsidP="00344B52">
      <w:pPr>
        <w:autoSpaceDE w:val="0"/>
        <w:autoSpaceDN w:val="0"/>
        <w:adjustRightInd w:val="0"/>
        <w:rPr>
          <w:rFonts w:ascii="Arial" w:hAnsi="Arial" w:cs="Arial"/>
          <w:szCs w:val="24"/>
          <w:u w:val="single"/>
        </w:rPr>
      </w:pPr>
      <w:r w:rsidRPr="00710F51">
        <w:rPr>
          <w:rFonts w:ascii="Arial" w:hAnsi="Arial" w:cs="Arial"/>
          <w:color w:val="000000"/>
          <w:szCs w:val="24"/>
          <w:u w:val="single"/>
          <w:lang w:eastAsia="en-AU"/>
        </w:rPr>
        <w:t xml:space="preserve">Option </w:t>
      </w:r>
      <w:r w:rsidR="001F1EE8">
        <w:rPr>
          <w:rFonts w:ascii="Arial" w:hAnsi="Arial" w:cs="Arial"/>
          <w:color w:val="000000"/>
          <w:szCs w:val="24"/>
          <w:u w:val="single"/>
          <w:lang w:eastAsia="en-AU"/>
        </w:rPr>
        <w:t>2</w:t>
      </w:r>
      <w:r w:rsidRPr="00710F51">
        <w:rPr>
          <w:rFonts w:ascii="Arial" w:hAnsi="Arial" w:cs="Arial"/>
          <w:color w:val="000000"/>
          <w:szCs w:val="24"/>
          <w:u w:val="single"/>
          <w:lang w:eastAsia="en-AU"/>
        </w:rPr>
        <w:t xml:space="preserve">: </w:t>
      </w:r>
      <w:r w:rsidR="001F1EE8">
        <w:rPr>
          <w:rFonts w:ascii="Arial" w:hAnsi="Arial" w:cs="Arial"/>
          <w:color w:val="000000"/>
          <w:szCs w:val="24"/>
          <w:u w:val="single"/>
          <w:lang w:eastAsia="en-AU"/>
        </w:rPr>
        <w:t>Extend</w:t>
      </w:r>
      <w:r w:rsidR="001F1EE8" w:rsidRPr="00710F51">
        <w:rPr>
          <w:rFonts w:ascii="Arial" w:hAnsi="Arial" w:cs="Arial"/>
          <w:u w:val="single"/>
        </w:rPr>
        <w:t xml:space="preserve"> </w:t>
      </w:r>
      <w:r w:rsidRPr="00710F51">
        <w:rPr>
          <w:rFonts w:ascii="Arial" w:hAnsi="Arial" w:cs="Arial"/>
          <w:u w:val="single"/>
        </w:rPr>
        <w:t xml:space="preserve">the </w:t>
      </w:r>
      <w:r w:rsidRPr="00710F51">
        <w:rPr>
          <w:rFonts w:ascii="Arial" w:hAnsi="Arial" w:cs="Arial"/>
          <w:szCs w:val="24"/>
          <w:u w:val="single"/>
        </w:rPr>
        <w:t>Public Health (COVID-19 Management) Declaration</w:t>
      </w:r>
      <w:r w:rsidR="001F1EE8">
        <w:rPr>
          <w:rFonts w:ascii="Arial" w:hAnsi="Arial" w:cs="Arial"/>
          <w:szCs w:val="24"/>
          <w:u w:val="single"/>
        </w:rPr>
        <w:t xml:space="preserve"> by 90 days</w:t>
      </w:r>
    </w:p>
    <w:p w14:paraId="28C05B91" w14:textId="1656838B" w:rsidR="001064E6" w:rsidRDefault="00B42DD9" w:rsidP="00E91C3F">
      <w:pPr>
        <w:autoSpaceDE w:val="0"/>
        <w:autoSpaceDN w:val="0"/>
        <w:adjustRightInd w:val="0"/>
        <w:rPr>
          <w:rFonts w:ascii="Arial" w:hAnsi="Arial" w:cs="Arial"/>
        </w:rPr>
      </w:pPr>
      <w:r>
        <w:rPr>
          <w:rFonts w:ascii="Arial" w:hAnsi="Arial" w:cs="Arial"/>
        </w:rPr>
        <w:t>T</w:t>
      </w:r>
      <w:r w:rsidR="00880056">
        <w:rPr>
          <w:rFonts w:ascii="Arial" w:hAnsi="Arial" w:cs="Arial"/>
        </w:rPr>
        <w:t xml:space="preserve">he Executive </w:t>
      </w:r>
      <w:r w:rsidR="001064E6">
        <w:rPr>
          <w:rFonts w:ascii="Arial" w:hAnsi="Arial" w:cs="Arial"/>
        </w:rPr>
        <w:t xml:space="preserve">extends </w:t>
      </w:r>
      <w:r w:rsidR="00880056">
        <w:rPr>
          <w:rFonts w:ascii="Arial" w:hAnsi="Arial" w:cs="Arial"/>
        </w:rPr>
        <w:t xml:space="preserve">a </w:t>
      </w:r>
      <w:r w:rsidR="00AE5FB2">
        <w:rPr>
          <w:rFonts w:ascii="Arial" w:hAnsi="Arial" w:cs="Arial"/>
        </w:rPr>
        <w:t>P</w:t>
      </w:r>
      <w:r w:rsidR="00DB4CEA">
        <w:rPr>
          <w:rFonts w:ascii="Arial" w:hAnsi="Arial" w:cs="Arial"/>
        </w:rPr>
        <w:t xml:space="preserve">ublic </w:t>
      </w:r>
      <w:r w:rsidR="00AE5FB2">
        <w:rPr>
          <w:rFonts w:ascii="Arial" w:hAnsi="Arial" w:cs="Arial"/>
        </w:rPr>
        <w:t>H</w:t>
      </w:r>
      <w:r w:rsidR="00DB4CEA">
        <w:rPr>
          <w:rFonts w:ascii="Arial" w:hAnsi="Arial" w:cs="Arial"/>
        </w:rPr>
        <w:t>ealth (COVID-19 Management) Declaration</w:t>
      </w:r>
      <w:r w:rsidR="00880056">
        <w:rPr>
          <w:rFonts w:ascii="Arial" w:hAnsi="Arial" w:cs="Arial"/>
        </w:rPr>
        <w:t xml:space="preserve"> (‘Declaration) under section 118O </w:t>
      </w:r>
      <w:r w:rsidR="001064E6">
        <w:rPr>
          <w:rFonts w:ascii="Arial" w:hAnsi="Arial" w:cs="Arial"/>
        </w:rPr>
        <w:t xml:space="preserve">and 118P </w:t>
      </w:r>
      <w:r w:rsidR="00880056">
        <w:rPr>
          <w:rFonts w:ascii="Arial" w:hAnsi="Arial" w:cs="Arial"/>
        </w:rPr>
        <w:t xml:space="preserve">of the </w:t>
      </w:r>
      <w:r w:rsidR="00007C16" w:rsidRPr="00053F90">
        <w:rPr>
          <w:rFonts w:ascii="Arial" w:hAnsi="Arial" w:cs="Arial"/>
        </w:rPr>
        <w:t>Act</w:t>
      </w:r>
      <w:r w:rsidR="00880056">
        <w:rPr>
          <w:rFonts w:ascii="Arial" w:hAnsi="Arial" w:cs="Arial"/>
        </w:rPr>
        <w:t xml:space="preserve">. This action is permitted under the Act when the Executive has reasonable grounds to believe that COVID-19 presents a serious public health risk to the Territory. </w:t>
      </w:r>
    </w:p>
    <w:p w14:paraId="4540611D" w14:textId="77777777" w:rsidR="001064E6" w:rsidRDefault="001064E6" w:rsidP="00E91C3F">
      <w:pPr>
        <w:autoSpaceDE w:val="0"/>
        <w:autoSpaceDN w:val="0"/>
        <w:adjustRightInd w:val="0"/>
        <w:rPr>
          <w:rFonts w:ascii="Arial" w:hAnsi="Arial" w:cs="Arial"/>
        </w:rPr>
      </w:pPr>
    </w:p>
    <w:p w14:paraId="773CC13B" w14:textId="6E261BC0" w:rsidR="002032C8" w:rsidRPr="00B42DD9" w:rsidRDefault="00880056" w:rsidP="00E91C3F">
      <w:pPr>
        <w:autoSpaceDE w:val="0"/>
        <w:autoSpaceDN w:val="0"/>
        <w:adjustRightInd w:val="0"/>
        <w:rPr>
          <w:rFonts w:ascii="Arial" w:hAnsi="Arial" w:cs="Arial"/>
        </w:rPr>
      </w:pPr>
      <w:r>
        <w:rPr>
          <w:rFonts w:ascii="Arial" w:hAnsi="Arial" w:cs="Arial"/>
        </w:rPr>
        <w:t xml:space="preserve">By </w:t>
      </w:r>
      <w:r w:rsidR="001064E6">
        <w:rPr>
          <w:rFonts w:ascii="Arial" w:hAnsi="Arial" w:cs="Arial"/>
        </w:rPr>
        <w:t xml:space="preserve">extending the </w:t>
      </w:r>
      <w:r>
        <w:rPr>
          <w:rFonts w:ascii="Arial" w:hAnsi="Arial" w:cs="Arial"/>
        </w:rPr>
        <w:t xml:space="preserve">Declaration, the Executive, Minister for Health </w:t>
      </w:r>
      <w:r w:rsidR="008D1334">
        <w:rPr>
          <w:rFonts w:ascii="Arial" w:hAnsi="Arial" w:cs="Arial"/>
        </w:rPr>
        <w:t xml:space="preserve">and the Chief Health Officer </w:t>
      </w:r>
      <w:r w:rsidR="001064E6">
        <w:rPr>
          <w:rFonts w:ascii="Arial" w:hAnsi="Arial" w:cs="Arial"/>
        </w:rPr>
        <w:t xml:space="preserve">continue to maintain the ability </w:t>
      </w:r>
      <w:r>
        <w:rPr>
          <w:rFonts w:ascii="Arial" w:hAnsi="Arial" w:cs="Arial"/>
        </w:rPr>
        <w:t xml:space="preserve">to make </w:t>
      </w:r>
      <w:r w:rsidR="00E91C3F">
        <w:rPr>
          <w:rFonts w:ascii="Arial" w:hAnsi="Arial" w:cs="Arial"/>
        </w:rPr>
        <w:t xml:space="preserve">specific </w:t>
      </w:r>
      <w:r>
        <w:rPr>
          <w:rFonts w:ascii="Arial" w:hAnsi="Arial" w:cs="Arial"/>
        </w:rPr>
        <w:t>Directions</w:t>
      </w:r>
      <w:r w:rsidR="00E91C3F">
        <w:rPr>
          <w:rFonts w:ascii="Arial" w:hAnsi="Arial" w:cs="Arial"/>
        </w:rPr>
        <w:t xml:space="preserve"> </w:t>
      </w:r>
      <w:r w:rsidR="00690C25">
        <w:rPr>
          <w:rFonts w:ascii="Arial" w:hAnsi="Arial" w:cs="Arial"/>
        </w:rPr>
        <w:t xml:space="preserve">in a timely and responsive manner to mitigate the risk that COVID-19 presents to public health. Directions enable regulation </w:t>
      </w:r>
      <w:r w:rsidR="00E91C3F">
        <w:rPr>
          <w:rFonts w:ascii="Arial" w:hAnsi="Arial" w:cs="Arial"/>
        </w:rPr>
        <w:t>that would p</w:t>
      </w:r>
      <w:r w:rsidR="00F32A93" w:rsidRPr="00E91C3F">
        <w:rPr>
          <w:rFonts w:ascii="Arial" w:hAnsi="Arial" w:cs="Arial"/>
          <w:szCs w:val="24"/>
          <w:lang w:eastAsia="en-AU"/>
        </w:rPr>
        <w:t>revent or limit entry to an area or into the ACT</w:t>
      </w:r>
      <w:r w:rsidR="00E91C3F">
        <w:rPr>
          <w:rFonts w:ascii="Arial" w:hAnsi="Arial" w:cs="Arial"/>
          <w:szCs w:val="24"/>
          <w:lang w:eastAsia="en-AU"/>
        </w:rPr>
        <w:t>; r</w:t>
      </w:r>
      <w:r w:rsidR="00F32A93" w:rsidRPr="00E91C3F">
        <w:rPr>
          <w:rFonts w:ascii="Arial" w:hAnsi="Arial" w:cs="Arial"/>
          <w:szCs w:val="24"/>
          <w:lang w:eastAsia="en-AU"/>
        </w:rPr>
        <w:t>egulat</w:t>
      </w:r>
      <w:r w:rsidR="00E91C3F">
        <w:rPr>
          <w:rFonts w:ascii="Arial" w:hAnsi="Arial" w:cs="Arial"/>
          <w:szCs w:val="24"/>
          <w:lang w:eastAsia="en-AU"/>
        </w:rPr>
        <w:t>e</w:t>
      </w:r>
      <w:r w:rsidR="00F32A93" w:rsidRPr="00E91C3F">
        <w:rPr>
          <w:rFonts w:ascii="Arial" w:hAnsi="Arial" w:cs="Arial"/>
          <w:szCs w:val="24"/>
          <w:lang w:eastAsia="en-AU"/>
        </w:rPr>
        <w:t xml:space="preserve"> gatherings</w:t>
      </w:r>
      <w:r w:rsidR="00E91C3F">
        <w:rPr>
          <w:rFonts w:ascii="Arial" w:hAnsi="Arial" w:cs="Arial"/>
          <w:szCs w:val="24"/>
          <w:lang w:eastAsia="en-AU"/>
        </w:rPr>
        <w:t>; require use of personal protective equipment, regulate certain activities or businesses</w:t>
      </w:r>
      <w:r w:rsidR="00690C25">
        <w:rPr>
          <w:rFonts w:ascii="Arial" w:hAnsi="Arial" w:cs="Arial"/>
          <w:szCs w:val="24"/>
          <w:lang w:eastAsia="en-AU"/>
        </w:rPr>
        <w:t>;</w:t>
      </w:r>
      <w:r w:rsidR="00E91C3F">
        <w:rPr>
          <w:rFonts w:ascii="Arial" w:hAnsi="Arial" w:cs="Arial"/>
          <w:szCs w:val="24"/>
          <w:lang w:eastAsia="en-AU"/>
        </w:rPr>
        <w:t xml:space="preserve"> require the provision of information; require a medical examination or testing; require segregation or isolation; or require that someone be vaccinated before engaging </w:t>
      </w:r>
      <w:r w:rsidR="00401D49">
        <w:rPr>
          <w:rFonts w:ascii="Arial" w:hAnsi="Arial" w:cs="Arial"/>
          <w:szCs w:val="24"/>
          <w:lang w:eastAsia="en-AU"/>
        </w:rPr>
        <w:t>certain work</w:t>
      </w:r>
      <w:r w:rsidR="00690C25">
        <w:rPr>
          <w:rFonts w:ascii="Arial" w:hAnsi="Arial" w:cs="Arial"/>
          <w:szCs w:val="24"/>
          <w:lang w:eastAsia="en-AU"/>
        </w:rPr>
        <w:t xml:space="preserve"> or activity</w:t>
      </w:r>
      <w:r w:rsidR="00E91C3F">
        <w:rPr>
          <w:rFonts w:ascii="Arial" w:hAnsi="Arial" w:cs="Arial"/>
          <w:szCs w:val="24"/>
          <w:lang w:eastAsia="en-AU"/>
        </w:rPr>
        <w:t xml:space="preserve"> or at a particular place. </w:t>
      </w:r>
    </w:p>
    <w:p w14:paraId="5C0726FC" w14:textId="7C2ED6C1" w:rsidR="00A43653" w:rsidRDefault="00A43653" w:rsidP="00E91C3F">
      <w:pPr>
        <w:autoSpaceDE w:val="0"/>
        <w:autoSpaceDN w:val="0"/>
        <w:adjustRightInd w:val="0"/>
        <w:rPr>
          <w:rFonts w:ascii="Arial" w:hAnsi="Arial" w:cs="Arial"/>
          <w:szCs w:val="24"/>
          <w:lang w:eastAsia="en-AU"/>
        </w:rPr>
      </w:pPr>
    </w:p>
    <w:p w14:paraId="5C876C83" w14:textId="203E1181" w:rsidR="000600FE" w:rsidRDefault="00A43653" w:rsidP="00E91C3F">
      <w:pPr>
        <w:autoSpaceDE w:val="0"/>
        <w:autoSpaceDN w:val="0"/>
        <w:adjustRightInd w:val="0"/>
        <w:rPr>
          <w:rFonts w:ascii="Arial" w:hAnsi="Arial" w:cs="Arial"/>
          <w:szCs w:val="24"/>
          <w:lang w:eastAsia="en-AU"/>
        </w:rPr>
      </w:pPr>
      <w:r>
        <w:rPr>
          <w:rFonts w:ascii="Arial" w:hAnsi="Arial" w:cs="Arial"/>
          <w:szCs w:val="24"/>
          <w:lang w:eastAsia="en-AU"/>
        </w:rPr>
        <w:t xml:space="preserve">This option </w:t>
      </w:r>
      <w:r w:rsidR="000600FE">
        <w:rPr>
          <w:rFonts w:ascii="Arial" w:hAnsi="Arial" w:cs="Arial"/>
          <w:szCs w:val="24"/>
          <w:lang w:eastAsia="en-AU"/>
        </w:rPr>
        <w:t>provides the ability for the</w:t>
      </w:r>
      <w:r w:rsidR="009F7EC3">
        <w:rPr>
          <w:rFonts w:ascii="Arial" w:hAnsi="Arial" w:cs="Arial"/>
          <w:szCs w:val="24"/>
          <w:lang w:eastAsia="en-AU"/>
        </w:rPr>
        <w:t xml:space="preserve"> </w:t>
      </w:r>
      <w:r>
        <w:rPr>
          <w:rFonts w:ascii="Arial" w:hAnsi="Arial" w:cs="Arial"/>
          <w:szCs w:val="24"/>
          <w:lang w:eastAsia="en-AU"/>
        </w:rPr>
        <w:t xml:space="preserve">Executive, Minister for Health and Chief Health Officer to </w:t>
      </w:r>
      <w:r w:rsidR="009F7EC3">
        <w:rPr>
          <w:rFonts w:ascii="Arial" w:hAnsi="Arial" w:cs="Arial"/>
          <w:szCs w:val="24"/>
          <w:lang w:eastAsia="en-AU"/>
        </w:rPr>
        <w:t xml:space="preserve">provide timely and short-term regulatory responses to help manage the rate and pattern of COVID-19 transmission in the ACT community. </w:t>
      </w:r>
      <w:r w:rsidR="006608C3">
        <w:rPr>
          <w:rFonts w:ascii="Arial" w:hAnsi="Arial" w:cs="Arial"/>
          <w:szCs w:val="24"/>
          <w:lang w:eastAsia="en-AU"/>
        </w:rPr>
        <w:t xml:space="preserve">COVID-19 </w:t>
      </w:r>
      <w:r w:rsidR="000600FE">
        <w:rPr>
          <w:rFonts w:ascii="Arial" w:hAnsi="Arial" w:cs="Arial"/>
          <w:szCs w:val="24"/>
          <w:lang w:eastAsia="en-AU"/>
        </w:rPr>
        <w:t xml:space="preserve">continues to </w:t>
      </w:r>
      <w:r w:rsidR="006608C3">
        <w:rPr>
          <w:rFonts w:ascii="Arial" w:hAnsi="Arial" w:cs="Arial"/>
          <w:szCs w:val="24"/>
          <w:lang w:eastAsia="en-AU"/>
        </w:rPr>
        <w:t>present a</w:t>
      </w:r>
      <w:r w:rsidR="005A0D96">
        <w:rPr>
          <w:rFonts w:ascii="Arial" w:hAnsi="Arial" w:cs="Arial"/>
          <w:szCs w:val="24"/>
          <w:lang w:eastAsia="en-AU"/>
        </w:rPr>
        <w:t>n</w:t>
      </w:r>
      <w:r w:rsidR="006608C3">
        <w:rPr>
          <w:rFonts w:ascii="Arial" w:hAnsi="Arial" w:cs="Arial"/>
          <w:szCs w:val="24"/>
          <w:lang w:eastAsia="en-AU"/>
        </w:rPr>
        <w:t xml:space="preserve"> </w:t>
      </w:r>
      <w:r w:rsidR="005A0D96">
        <w:rPr>
          <w:rFonts w:ascii="Arial" w:hAnsi="Arial" w:cs="Arial"/>
          <w:szCs w:val="24"/>
          <w:lang w:eastAsia="en-AU"/>
        </w:rPr>
        <w:t xml:space="preserve">ongoing </w:t>
      </w:r>
      <w:r w:rsidR="006608C3">
        <w:rPr>
          <w:rFonts w:ascii="Arial" w:hAnsi="Arial" w:cs="Arial"/>
          <w:szCs w:val="24"/>
          <w:lang w:eastAsia="en-AU"/>
        </w:rPr>
        <w:t xml:space="preserve">risk to public health, including </w:t>
      </w:r>
      <w:r w:rsidR="000600FE">
        <w:rPr>
          <w:rFonts w:ascii="Arial" w:hAnsi="Arial" w:cs="Arial"/>
          <w:szCs w:val="24"/>
          <w:lang w:eastAsia="en-AU"/>
        </w:rPr>
        <w:t xml:space="preserve">in some cases severe </w:t>
      </w:r>
      <w:r w:rsidR="006608C3">
        <w:rPr>
          <w:rFonts w:ascii="Arial" w:hAnsi="Arial" w:cs="Arial"/>
          <w:szCs w:val="24"/>
          <w:lang w:eastAsia="en-AU"/>
        </w:rPr>
        <w:t xml:space="preserve">illness </w:t>
      </w:r>
      <w:r w:rsidR="00053F90">
        <w:rPr>
          <w:rFonts w:ascii="Arial" w:hAnsi="Arial" w:cs="Arial"/>
          <w:szCs w:val="24"/>
          <w:lang w:eastAsia="en-AU"/>
        </w:rPr>
        <w:t>or</w:t>
      </w:r>
      <w:r w:rsidR="006608C3">
        <w:rPr>
          <w:rFonts w:ascii="Arial" w:hAnsi="Arial" w:cs="Arial"/>
          <w:szCs w:val="24"/>
          <w:lang w:eastAsia="en-AU"/>
        </w:rPr>
        <w:t xml:space="preserve"> death</w:t>
      </w:r>
      <w:r w:rsidR="00007C16">
        <w:rPr>
          <w:rFonts w:ascii="Arial" w:hAnsi="Arial" w:cs="Arial"/>
          <w:szCs w:val="24"/>
          <w:lang w:eastAsia="en-AU"/>
        </w:rPr>
        <w:t>, particularly</w:t>
      </w:r>
      <w:r w:rsidR="004008E1">
        <w:rPr>
          <w:rFonts w:ascii="Arial" w:hAnsi="Arial" w:cs="Arial"/>
          <w:szCs w:val="24"/>
          <w:lang w:eastAsia="en-AU"/>
        </w:rPr>
        <w:t xml:space="preserve"> for </w:t>
      </w:r>
      <w:r w:rsidR="00EB2B6D">
        <w:rPr>
          <w:rFonts w:ascii="Arial" w:hAnsi="Arial" w:cs="Arial"/>
          <w:szCs w:val="24"/>
          <w:lang w:eastAsia="en-AU"/>
        </w:rPr>
        <w:t xml:space="preserve">persons at risk of severe disease and </w:t>
      </w:r>
      <w:r w:rsidR="004008E1">
        <w:rPr>
          <w:rFonts w:ascii="Arial" w:hAnsi="Arial" w:cs="Arial"/>
          <w:szCs w:val="24"/>
          <w:lang w:eastAsia="en-AU"/>
        </w:rPr>
        <w:t>unvaccinated individuals</w:t>
      </w:r>
      <w:r w:rsidR="00EB2B6D">
        <w:rPr>
          <w:rFonts w:ascii="Arial" w:hAnsi="Arial" w:cs="Arial"/>
          <w:szCs w:val="24"/>
          <w:lang w:eastAsia="en-AU"/>
        </w:rPr>
        <w:t>. The management of active outbreaks has also remained a feature of the COVID-19 pandemic throughout 2022 and continues to impact</w:t>
      </w:r>
      <w:r w:rsidR="001064E6">
        <w:rPr>
          <w:rFonts w:ascii="Arial" w:hAnsi="Arial" w:cs="Arial"/>
          <w:szCs w:val="24"/>
          <w:lang w:eastAsia="en-AU"/>
        </w:rPr>
        <w:t>, albeit to a lesser degree,</w:t>
      </w:r>
      <w:r w:rsidR="00EB2B6D">
        <w:rPr>
          <w:rFonts w:ascii="Arial" w:hAnsi="Arial" w:cs="Arial"/>
          <w:szCs w:val="24"/>
          <w:lang w:eastAsia="en-AU"/>
        </w:rPr>
        <w:t xml:space="preserve"> the operations of high-risk settings like residential aged care facilities and the health and wellbeing of residents. </w:t>
      </w:r>
    </w:p>
    <w:p w14:paraId="4C7BF3C6" w14:textId="6276104F" w:rsidR="00053F90" w:rsidRDefault="00053F90" w:rsidP="00E91C3F">
      <w:pPr>
        <w:autoSpaceDE w:val="0"/>
        <w:autoSpaceDN w:val="0"/>
        <w:adjustRightInd w:val="0"/>
        <w:rPr>
          <w:rFonts w:ascii="Arial" w:hAnsi="Arial" w:cs="Arial"/>
          <w:szCs w:val="24"/>
          <w:lang w:eastAsia="en-AU"/>
        </w:rPr>
      </w:pPr>
    </w:p>
    <w:p w14:paraId="7E502783" w14:textId="4A03F8CB" w:rsidR="000600FE" w:rsidRDefault="003C0BB9" w:rsidP="00E91C3F">
      <w:pPr>
        <w:autoSpaceDE w:val="0"/>
        <w:autoSpaceDN w:val="0"/>
        <w:adjustRightInd w:val="0"/>
        <w:rPr>
          <w:rFonts w:ascii="Arial" w:hAnsi="Arial" w:cs="Arial"/>
          <w:szCs w:val="24"/>
          <w:lang w:eastAsia="en-AU"/>
        </w:rPr>
      </w:pPr>
      <w:r>
        <w:rPr>
          <w:rFonts w:ascii="Arial" w:hAnsi="Arial" w:cs="Arial"/>
          <w:szCs w:val="24"/>
          <w:lang w:eastAsia="en-AU"/>
        </w:rPr>
        <w:t xml:space="preserve">Directions made under the Declaration are subject to the expert advice of the Chief Health Officer </w:t>
      </w:r>
      <w:r w:rsidR="001219AF">
        <w:rPr>
          <w:rFonts w:ascii="Arial" w:hAnsi="Arial" w:cs="Arial"/>
          <w:szCs w:val="24"/>
          <w:lang w:eastAsia="en-AU"/>
        </w:rPr>
        <w:t>(every 30 days)</w:t>
      </w:r>
      <w:r w:rsidR="006C190E">
        <w:rPr>
          <w:rFonts w:ascii="Arial" w:hAnsi="Arial" w:cs="Arial"/>
          <w:szCs w:val="24"/>
          <w:lang w:eastAsia="en-AU"/>
        </w:rPr>
        <w:t xml:space="preserve"> and review by the Human Rights Commissioner</w:t>
      </w:r>
      <w:r w:rsidR="00D05CCE">
        <w:rPr>
          <w:rFonts w:ascii="Arial" w:hAnsi="Arial" w:cs="Arial"/>
          <w:szCs w:val="24"/>
          <w:lang w:eastAsia="en-AU"/>
        </w:rPr>
        <w:t xml:space="preserve">. </w:t>
      </w:r>
      <w:r w:rsidR="000600FE">
        <w:rPr>
          <w:rFonts w:ascii="Arial" w:hAnsi="Arial" w:cs="Arial"/>
          <w:szCs w:val="24"/>
          <w:lang w:eastAsia="en-AU"/>
        </w:rPr>
        <w:t xml:space="preserve">A </w:t>
      </w:r>
      <w:r w:rsidR="00D05CCE">
        <w:rPr>
          <w:rFonts w:ascii="Arial" w:hAnsi="Arial" w:cs="Arial"/>
          <w:szCs w:val="24"/>
          <w:lang w:eastAsia="en-AU"/>
        </w:rPr>
        <w:t xml:space="preserve">Declaration </w:t>
      </w:r>
      <w:r w:rsidR="000600FE">
        <w:rPr>
          <w:rFonts w:ascii="Arial" w:hAnsi="Arial" w:cs="Arial"/>
          <w:szCs w:val="24"/>
          <w:lang w:eastAsia="en-AU"/>
        </w:rPr>
        <w:t xml:space="preserve">can be made for no longer than 90 days, and there is ability for the Executive to extend the period on one or more occasions, for periods not longer than 90 days on each occasion.  The Chief Health Officer must, at least every 30 days during which a Declaration is in force, advise the Executive about the status of the risk presented by COVID-19.  </w:t>
      </w:r>
    </w:p>
    <w:p w14:paraId="3DCB3A58" w14:textId="156C5499" w:rsidR="000600FE" w:rsidRDefault="000600FE" w:rsidP="00E91C3F">
      <w:pPr>
        <w:autoSpaceDE w:val="0"/>
        <w:autoSpaceDN w:val="0"/>
        <w:adjustRightInd w:val="0"/>
        <w:rPr>
          <w:rFonts w:ascii="Arial" w:hAnsi="Arial" w:cs="Arial"/>
          <w:szCs w:val="24"/>
          <w:lang w:eastAsia="en-AU"/>
        </w:rPr>
      </w:pPr>
    </w:p>
    <w:p w14:paraId="3AA9A7B7" w14:textId="1B6C930B" w:rsidR="000600FE" w:rsidRDefault="000600FE" w:rsidP="00E91C3F">
      <w:pPr>
        <w:autoSpaceDE w:val="0"/>
        <w:autoSpaceDN w:val="0"/>
        <w:adjustRightInd w:val="0"/>
        <w:rPr>
          <w:rFonts w:ascii="Arial" w:hAnsi="Arial" w:cs="Arial"/>
          <w:szCs w:val="24"/>
          <w:lang w:eastAsia="en-AU"/>
        </w:rPr>
      </w:pPr>
      <w:r>
        <w:rPr>
          <w:rFonts w:ascii="Arial" w:hAnsi="Arial" w:cs="Arial"/>
          <w:szCs w:val="24"/>
          <w:lang w:eastAsia="en-AU"/>
        </w:rPr>
        <w:t xml:space="preserve">Directions made under a Declaration can only be in force for periods of no longer than 90 days, and the Chief Health Officer must advise on whether these continue to be justified at least every 30 days.  </w:t>
      </w:r>
      <w:r w:rsidR="00D05CCE">
        <w:rPr>
          <w:rFonts w:ascii="Arial" w:hAnsi="Arial" w:cs="Arial"/>
          <w:szCs w:val="24"/>
          <w:lang w:eastAsia="en-AU"/>
        </w:rPr>
        <w:t xml:space="preserve"> </w:t>
      </w:r>
    </w:p>
    <w:p w14:paraId="594AA33B" w14:textId="29D1FBC0" w:rsidR="000600FE" w:rsidRDefault="000600FE" w:rsidP="00E91C3F">
      <w:pPr>
        <w:autoSpaceDE w:val="0"/>
        <w:autoSpaceDN w:val="0"/>
        <w:adjustRightInd w:val="0"/>
        <w:rPr>
          <w:rFonts w:ascii="Arial" w:hAnsi="Arial" w:cs="Arial"/>
          <w:szCs w:val="24"/>
          <w:lang w:eastAsia="en-AU"/>
        </w:rPr>
      </w:pPr>
    </w:p>
    <w:p w14:paraId="61A2D034" w14:textId="34435F51" w:rsidR="00A43653" w:rsidRDefault="00D05CCE" w:rsidP="00E91C3F">
      <w:pPr>
        <w:autoSpaceDE w:val="0"/>
        <w:autoSpaceDN w:val="0"/>
        <w:adjustRightInd w:val="0"/>
        <w:rPr>
          <w:rFonts w:ascii="Arial" w:hAnsi="Arial" w:cs="Arial"/>
          <w:szCs w:val="24"/>
          <w:lang w:eastAsia="en-AU"/>
        </w:rPr>
      </w:pPr>
      <w:r>
        <w:rPr>
          <w:rFonts w:ascii="Arial" w:hAnsi="Arial" w:cs="Arial"/>
          <w:szCs w:val="24"/>
          <w:lang w:eastAsia="en-AU"/>
        </w:rPr>
        <w:t>Th</w:t>
      </w:r>
      <w:r w:rsidR="000600FE">
        <w:rPr>
          <w:rFonts w:ascii="Arial" w:hAnsi="Arial" w:cs="Arial"/>
          <w:szCs w:val="24"/>
          <w:lang w:eastAsia="en-AU"/>
        </w:rPr>
        <w:t>ese consultation and reporting processes provide</w:t>
      </w:r>
      <w:r w:rsidR="003C0BB9">
        <w:rPr>
          <w:rFonts w:ascii="Arial" w:hAnsi="Arial" w:cs="Arial"/>
          <w:szCs w:val="24"/>
          <w:lang w:eastAsia="en-AU"/>
        </w:rPr>
        <w:t xml:space="preserve"> high levels of transparency and safeguards to ensure </w:t>
      </w:r>
      <w:r>
        <w:rPr>
          <w:rFonts w:ascii="Arial" w:hAnsi="Arial" w:cs="Arial"/>
          <w:szCs w:val="24"/>
          <w:lang w:eastAsia="en-AU"/>
        </w:rPr>
        <w:t xml:space="preserve">that </w:t>
      </w:r>
      <w:r w:rsidR="003C0BB9">
        <w:rPr>
          <w:rFonts w:ascii="Arial" w:hAnsi="Arial" w:cs="Arial"/>
          <w:szCs w:val="24"/>
          <w:lang w:eastAsia="en-AU"/>
        </w:rPr>
        <w:t xml:space="preserve">regulation is not introduced for longer than </w:t>
      </w:r>
      <w:r w:rsidR="00364545">
        <w:rPr>
          <w:rFonts w:ascii="Arial" w:hAnsi="Arial" w:cs="Arial"/>
          <w:szCs w:val="24"/>
          <w:lang w:eastAsia="en-AU"/>
        </w:rPr>
        <w:t xml:space="preserve">is </w:t>
      </w:r>
      <w:r w:rsidR="003C0BB9">
        <w:rPr>
          <w:rFonts w:ascii="Arial" w:hAnsi="Arial" w:cs="Arial"/>
          <w:szCs w:val="24"/>
          <w:lang w:eastAsia="en-AU"/>
        </w:rPr>
        <w:t>necessary</w:t>
      </w:r>
      <w:r w:rsidR="00364545">
        <w:rPr>
          <w:rFonts w:ascii="Arial" w:hAnsi="Arial" w:cs="Arial"/>
          <w:szCs w:val="24"/>
          <w:lang w:eastAsia="en-AU"/>
        </w:rPr>
        <w:t xml:space="preserve"> to alleviate the public health risk</w:t>
      </w:r>
      <w:r w:rsidR="003C0BB9">
        <w:rPr>
          <w:rFonts w:ascii="Arial" w:hAnsi="Arial" w:cs="Arial"/>
          <w:szCs w:val="24"/>
          <w:lang w:eastAsia="en-AU"/>
        </w:rPr>
        <w:t xml:space="preserve">. </w:t>
      </w:r>
    </w:p>
    <w:p w14:paraId="0D424E37" w14:textId="17AC8297" w:rsidR="00B77211" w:rsidRDefault="00B77211" w:rsidP="00E91C3F">
      <w:pPr>
        <w:autoSpaceDE w:val="0"/>
        <w:autoSpaceDN w:val="0"/>
        <w:adjustRightInd w:val="0"/>
        <w:rPr>
          <w:rFonts w:ascii="Arial" w:hAnsi="Arial" w:cs="Arial"/>
          <w:szCs w:val="24"/>
          <w:lang w:eastAsia="en-AU"/>
        </w:rPr>
      </w:pPr>
    </w:p>
    <w:p w14:paraId="67499F72" w14:textId="668022E9" w:rsidR="0072599C" w:rsidRPr="002032C8" w:rsidRDefault="0072599C" w:rsidP="00E91C3F">
      <w:pPr>
        <w:autoSpaceDE w:val="0"/>
        <w:autoSpaceDN w:val="0"/>
        <w:adjustRightInd w:val="0"/>
        <w:rPr>
          <w:rFonts w:ascii="Arial" w:hAnsi="Arial" w:cs="Arial"/>
          <w:szCs w:val="24"/>
          <w:lang w:eastAsia="en-AU"/>
        </w:rPr>
      </w:pPr>
      <w:r>
        <w:rPr>
          <w:rFonts w:ascii="Arial" w:hAnsi="Arial" w:cs="Arial"/>
          <w:szCs w:val="24"/>
          <w:lang w:eastAsia="en-AU"/>
        </w:rPr>
        <w:t xml:space="preserve">This </w:t>
      </w:r>
      <w:r w:rsidR="009B42FC">
        <w:rPr>
          <w:rFonts w:ascii="Arial" w:hAnsi="Arial" w:cs="Arial"/>
          <w:szCs w:val="24"/>
          <w:lang w:eastAsia="en-AU"/>
        </w:rPr>
        <w:t>option</w:t>
      </w:r>
      <w:r>
        <w:rPr>
          <w:rFonts w:ascii="Arial" w:hAnsi="Arial" w:cs="Arial"/>
          <w:szCs w:val="24"/>
          <w:lang w:eastAsia="en-AU"/>
        </w:rPr>
        <w:t xml:space="preserve"> is preferred in an environment </w:t>
      </w:r>
      <w:r w:rsidR="00A138C0">
        <w:rPr>
          <w:rFonts w:ascii="Arial" w:hAnsi="Arial" w:cs="Arial"/>
          <w:szCs w:val="24"/>
          <w:lang w:eastAsia="en-AU"/>
        </w:rPr>
        <w:t>where</w:t>
      </w:r>
      <w:r>
        <w:rPr>
          <w:rFonts w:ascii="Arial" w:hAnsi="Arial" w:cs="Arial"/>
          <w:szCs w:val="24"/>
          <w:lang w:eastAsia="en-AU"/>
        </w:rPr>
        <w:t xml:space="preserve"> the ACT Government </w:t>
      </w:r>
      <w:r w:rsidR="001064E6">
        <w:rPr>
          <w:rFonts w:ascii="Arial" w:hAnsi="Arial" w:cs="Arial"/>
          <w:szCs w:val="24"/>
          <w:lang w:eastAsia="en-AU"/>
        </w:rPr>
        <w:t xml:space="preserve">continues to transition its COVID-19 response.  </w:t>
      </w:r>
    </w:p>
    <w:p w14:paraId="71436E2A" w14:textId="172F9328" w:rsidR="00AE5FB2" w:rsidRDefault="00AE5FB2" w:rsidP="00344B52">
      <w:pPr>
        <w:autoSpaceDE w:val="0"/>
        <w:autoSpaceDN w:val="0"/>
        <w:adjustRightInd w:val="0"/>
        <w:rPr>
          <w:rFonts w:ascii="Arial" w:hAnsi="Arial" w:cs="Arial"/>
        </w:rPr>
      </w:pPr>
    </w:p>
    <w:p w14:paraId="3AEA1C3B" w14:textId="329E9899" w:rsidR="007D7C58" w:rsidRPr="007D7C58" w:rsidRDefault="003526BD" w:rsidP="00344B52">
      <w:pPr>
        <w:autoSpaceDE w:val="0"/>
        <w:autoSpaceDN w:val="0"/>
        <w:adjustRightInd w:val="0"/>
        <w:rPr>
          <w:rFonts w:ascii="Arial" w:hAnsi="Arial" w:cs="Arial"/>
          <w:color w:val="000000"/>
          <w:szCs w:val="24"/>
          <w:lang w:eastAsia="en-AU"/>
        </w:rPr>
      </w:pPr>
      <w:r>
        <w:rPr>
          <w:rFonts w:ascii="Arial" w:hAnsi="Arial" w:cs="Arial"/>
        </w:rPr>
        <w:t>C</w:t>
      </w:r>
      <w:r w:rsidR="00E873D9">
        <w:rPr>
          <w:rFonts w:ascii="Arial" w:hAnsi="Arial" w:cs="Arial"/>
        </w:rPr>
        <w:t xml:space="preserve">osts and benefits of each option are considered </w:t>
      </w:r>
      <w:r w:rsidR="00CC566A">
        <w:rPr>
          <w:rFonts w:ascii="Arial" w:hAnsi="Arial" w:cs="Arial"/>
        </w:rPr>
        <w:t xml:space="preserve">in the Impact Analysis, </w:t>
      </w:r>
      <w:r w:rsidR="00E873D9">
        <w:rPr>
          <w:rFonts w:ascii="Arial" w:hAnsi="Arial" w:cs="Arial"/>
        </w:rPr>
        <w:t xml:space="preserve">below. </w:t>
      </w:r>
    </w:p>
    <w:p w14:paraId="322ED3BD" w14:textId="77777777" w:rsidR="009C1E22" w:rsidRDefault="009C1E22" w:rsidP="000E3CBE">
      <w:pPr>
        <w:rPr>
          <w:rFonts w:ascii="Arial" w:hAnsi="Arial" w:cs="Arial"/>
          <w:b/>
        </w:rPr>
      </w:pPr>
    </w:p>
    <w:p w14:paraId="5C096921" w14:textId="5AB022AB" w:rsidR="00E27D15" w:rsidRDefault="00E27D15" w:rsidP="000E3CBE">
      <w:pPr>
        <w:rPr>
          <w:rFonts w:ascii="Arial" w:hAnsi="Arial" w:cs="Arial"/>
          <w:b/>
        </w:rPr>
      </w:pPr>
      <w:r>
        <w:rPr>
          <w:rFonts w:ascii="Arial" w:hAnsi="Arial" w:cs="Arial"/>
          <w:b/>
        </w:rPr>
        <w:t>Impact analysis</w:t>
      </w:r>
    </w:p>
    <w:p w14:paraId="04E55CFE" w14:textId="689BD509" w:rsidR="001064E6" w:rsidRDefault="00B14385" w:rsidP="00B45F47">
      <w:pPr>
        <w:rPr>
          <w:rFonts w:ascii="Arial" w:hAnsi="Arial" w:cs="Arial"/>
          <w:szCs w:val="24"/>
          <w:lang w:eastAsia="en-AU"/>
        </w:rPr>
      </w:pPr>
      <w:r>
        <w:rPr>
          <w:rFonts w:ascii="Arial" w:hAnsi="Arial" w:cs="Arial"/>
          <w:szCs w:val="24"/>
          <w:lang w:eastAsia="en-AU"/>
        </w:rPr>
        <w:t xml:space="preserve">All Canberrans have the potential to be impacted by the </w:t>
      </w:r>
      <w:r w:rsidR="001064E6">
        <w:rPr>
          <w:rFonts w:ascii="Arial" w:hAnsi="Arial" w:cs="Arial"/>
          <w:szCs w:val="24"/>
          <w:lang w:eastAsia="en-AU"/>
        </w:rPr>
        <w:t xml:space="preserve">Management </w:t>
      </w:r>
      <w:r>
        <w:rPr>
          <w:rFonts w:ascii="Arial" w:hAnsi="Arial" w:cs="Arial"/>
          <w:szCs w:val="24"/>
          <w:lang w:eastAsia="en-AU"/>
        </w:rPr>
        <w:t>Declaration</w:t>
      </w:r>
      <w:r w:rsidR="00A92CB0">
        <w:rPr>
          <w:rFonts w:ascii="Arial" w:hAnsi="Arial" w:cs="Arial"/>
          <w:szCs w:val="24"/>
          <w:lang w:eastAsia="en-AU"/>
        </w:rPr>
        <w:t xml:space="preserve"> </w:t>
      </w:r>
      <w:r w:rsidR="003F7AA0">
        <w:rPr>
          <w:rFonts w:ascii="Arial" w:hAnsi="Arial" w:cs="Arial"/>
          <w:szCs w:val="24"/>
          <w:lang w:eastAsia="en-AU"/>
        </w:rPr>
        <w:t>because of</w:t>
      </w:r>
      <w:r w:rsidR="00A92CB0">
        <w:rPr>
          <w:rFonts w:ascii="Arial" w:hAnsi="Arial" w:cs="Arial"/>
          <w:szCs w:val="24"/>
          <w:lang w:eastAsia="en-AU"/>
        </w:rPr>
        <w:t xml:space="preserve"> the making of Directions</w:t>
      </w:r>
      <w:r>
        <w:rPr>
          <w:rFonts w:ascii="Arial" w:hAnsi="Arial" w:cs="Arial"/>
          <w:szCs w:val="24"/>
          <w:lang w:eastAsia="en-AU"/>
        </w:rPr>
        <w:t xml:space="preserve">. </w:t>
      </w:r>
      <w:r w:rsidR="001064E6">
        <w:rPr>
          <w:rFonts w:ascii="Arial" w:hAnsi="Arial" w:cs="Arial"/>
          <w:szCs w:val="24"/>
          <w:lang w:eastAsia="en-AU"/>
        </w:rPr>
        <w:t xml:space="preserve">It is planned that only a Chief Health Officer Direction will remain in place following an extension of the Management Declaration.  The Chief Health Officer Direction will continue to require individuals to report their positive Rapid Antigen Test result to ACT Health to support appropriate monitoring and surveillance of COVID-19 community transmission.  The requirement also provides an ability for ACT Health to provide critical information to individuals who have been diagnosed with COVID-19, including advice on symptom management and treatment options. </w:t>
      </w:r>
    </w:p>
    <w:p w14:paraId="58976007" w14:textId="25B9F85A" w:rsidR="00AD2D8B" w:rsidRPr="00540CE3" w:rsidRDefault="00AD2D8B" w:rsidP="00F1543B">
      <w:pPr>
        <w:autoSpaceDE w:val="0"/>
        <w:autoSpaceDN w:val="0"/>
        <w:adjustRightInd w:val="0"/>
        <w:ind w:left="426"/>
        <w:rPr>
          <w:rFonts w:ascii="Arial" w:hAnsi="Arial" w:cs="Arial"/>
          <w:szCs w:val="24"/>
          <w:lang w:eastAsia="en-AU"/>
        </w:rPr>
      </w:pPr>
    </w:p>
    <w:p w14:paraId="6A79671D" w14:textId="77777777" w:rsidR="00053F90" w:rsidRPr="00540CE3" w:rsidRDefault="00053F90" w:rsidP="00F1543B">
      <w:pPr>
        <w:autoSpaceDE w:val="0"/>
        <w:autoSpaceDN w:val="0"/>
        <w:adjustRightInd w:val="0"/>
        <w:ind w:left="426"/>
        <w:rPr>
          <w:rFonts w:ascii="Arial" w:hAnsi="Arial" w:cs="Arial"/>
          <w:szCs w:val="24"/>
          <w:lang w:eastAsia="en-AU"/>
        </w:rPr>
      </w:pPr>
    </w:p>
    <w:p w14:paraId="59C40C8A" w14:textId="0687B10D" w:rsidR="00B14385" w:rsidRPr="001064E6" w:rsidRDefault="00B14385" w:rsidP="00B14385">
      <w:pPr>
        <w:rPr>
          <w:rFonts w:ascii="Arial" w:hAnsi="Arial" w:cs="Arial"/>
          <w:b/>
          <w:bCs/>
          <w:u w:val="single"/>
        </w:rPr>
      </w:pPr>
      <w:r w:rsidRPr="00CD1BAF">
        <w:rPr>
          <w:rFonts w:ascii="Arial" w:hAnsi="Arial" w:cs="Arial"/>
          <w:b/>
          <w:bCs/>
          <w:u w:val="single"/>
        </w:rPr>
        <w:t xml:space="preserve">Option </w:t>
      </w:r>
      <w:r w:rsidR="00B11EB7">
        <w:rPr>
          <w:rFonts w:ascii="Arial" w:hAnsi="Arial" w:cs="Arial"/>
          <w:b/>
          <w:bCs/>
          <w:u w:val="single"/>
        </w:rPr>
        <w:t>1</w:t>
      </w:r>
      <w:r w:rsidRPr="00CD1BAF">
        <w:rPr>
          <w:rFonts w:ascii="Arial" w:hAnsi="Arial" w:cs="Arial"/>
          <w:b/>
          <w:bCs/>
          <w:u w:val="single"/>
        </w:rPr>
        <w:t xml:space="preserve">: </w:t>
      </w:r>
      <w:r w:rsidR="001064E6" w:rsidRPr="00F85365">
        <w:rPr>
          <w:rFonts w:ascii="Arial" w:hAnsi="Arial" w:cs="Arial"/>
          <w:b/>
          <w:bCs/>
          <w:u w:val="single"/>
        </w:rPr>
        <w:t>Allow the COVID-19 Management Declaration to end on 28 December 2022</w:t>
      </w:r>
    </w:p>
    <w:p w14:paraId="787483BC" w14:textId="77777777" w:rsidR="0015515F" w:rsidRPr="00B14385" w:rsidRDefault="0015515F" w:rsidP="00B14385">
      <w:pPr>
        <w:rPr>
          <w:rFonts w:ascii="Arial" w:hAnsi="Arial" w:cs="Arial"/>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350"/>
      </w:tblGrid>
      <w:tr w:rsidR="00A65A21" w:rsidRPr="001C15AD" w14:paraId="7680D98C" w14:textId="77777777" w:rsidTr="001C15AD">
        <w:tc>
          <w:tcPr>
            <w:tcW w:w="2972" w:type="dxa"/>
            <w:shd w:val="clear" w:color="auto" w:fill="auto"/>
          </w:tcPr>
          <w:p w14:paraId="36405D1C" w14:textId="77777777" w:rsidR="00A65A21" w:rsidRPr="001C15AD" w:rsidRDefault="00A65A21" w:rsidP="00D40DA9">
            <w:pPr>
              <w:autoSpaceDE w:val="0"/>
              <w:autoSpaceDN w:val="0"/>
              <w:adjustRightInd w:val="0"/>
              <w:spacing w:before="120"/>
              <w:rPr>
                <w:rFonts w:ascii="Arial" w:hAnsi="Arial" w:cs="Arial"/>
                <w:b/>
                <w:color w:val="000000"/>
                <w:szCs w:val="24"/>
                <w:lang w:eastAsia="en-AU"/>
              </w:rPr>
            </w:pPr>
            <w:r w:rsidRPr="001C15AD">
              <w:rPr>
                <w:rFonts w:ascii="Arial" w:hAnsi="Arial" w:cs="Arial"/>
                <w:b/>
                <w:color w:val="000000"/>
                <w:szCs w:val="24"/>
                <w:lang w:eastAsia="en-AU"/>
              </w:rPr>
              <w:t>Benefits</w:t>
            </w:r>
          </w:p>
        </w:tc>
        <w:tc>
          <w:tcPr>
            <w:tcW w:w="6350" w:type="dxa"/>
            <w:shd w:val="clear" w:color="auto" w:fill="auto"/>
          </w:tcPr>
          <w:p w14:paraId="5E40C98C" w14:textId="77777777" w:rsidR="00A65A21" w:rsidRPr="001C15AD" w:rsidRDefault="00A65A21" w:rsidP="00D40DA9">
            <w:pPr>
              <w:autoSpaceDE w:val="0"/>
              <w:autoSpaceDN w:val="0"/>
              <w:adjustRightInd w:val="0"/>
              <w:spacing w:before="120"/>
              <w:rPr>
                <w:rFonts w:ascii="Arial" w:hAnsi="Arial" w:cs="Arial"/>
                <w:b/>
                <w:color w:val="000000"/>
                <w:szCs w:val="24"/>
                <w:lang w:eastAsia="en-AU"/>
              </w:rPr>
            </w:pPr>
            <w:r w:rsidRPr="001C15AD">
              <w:rPr>
                <w:rFonts w:ascii="Arial" w:hAnsi="Arial" w:cs="Arial"/>
                <w:b/>
                <w:color w:val="000000"/>
                <w:szCs w:val="24"/>
                <w:lang w:eastAsia="en-AU"/>
              </w:rPr>
              <w:t>Costs</w:t>
            </w:r>
          </w:p>
        </w:tc>
      </w:tr>
      <w:tr w:rsidR="00A65A21" w:rsidRPr="001C15AD" w14:paraId="4203255B" w14:textId="77777777" w:rsidTr="001C15AD">
        <w:tc>
          <w:tcPr>
            <w:tcW w:w="2972" w:type="dxa"/>
            <w:shd w:val="clear" w:color="auto" w:fill="auto"/>
          </w:tcPr>
          <w:p w14:paraId="5DBA06C5" w14:textId="11B6965A" w:rsidR="001C15AD" w:rsidRDefault="00915BF6" w:rsidP="00DB4CEA">
            <w:pPr>
              <w:autoSpaceDE w:val="0"/>
              <w:autoSpaceDN w:val="0"/>
              <w:adjustRightInd w:val="0"/>
              <w:rPr>
                <w:rFonts w:ascii="Arial" w:hAnsi="Arial" w:cs="Arial"/>
                <w:color w:val="000000"/>
                <w:szCs w:val="24"/>
                <w:lang w:eastAsia="en-AU"/>
              </w:rPr>
            </w:pPr>
            <w:r>
              <w:rPr>
                <w:rFonts w:ascii="Arial" w:hAnsi="Arial" w:cs="Arial"/>
                <w:color w:val="000000"/>
                <w:szCs w:val="24"/>
                <w:lang w:eastAsia="en-AU"/>
              </w:rPr>
              <w:t>Reduced regulation for ACT community (noting that current measures are minimal</w:t>
            </w:r>
            <w:r w:rsidR="00CD2C27">
              <w:rPr>
                <w:rFonts w:ascii="Arial" w:hAnsi="Arial" w:cs="Arial"/>
                <w:color w:val="000000"/>
                <w:szCs w:val="24"/>
                <w:lang w:eastAsia="en-AU"/>
              </w:rPr>
              <w:t>)</w:t>
            </w:r>
          </w:p>
          <w:p w14:paraId="46C046E0" w14:textId="596BC761" w:rsidR="00A42A9B" w:rsidRDefault="00A42A9B" w:rsidP="00DB4CEA">
            <w:pPr>
              <w:autoSpaceDE w:val="0"/>
              <w:autoSpaceDN w:val="0"/>
              <w:adjustRightInd w:val="0"/>
              <w:rPr>
                <w:rFonts w:ascii="Arial" w:hAnsi="Arial" w:cs="Arial"/>
                <w:color w:val="000000"/>
                <w:szCs w:val="24"/>
                <w:lang w:eastAsia="en-AU"/>
              </w:rPr>
            </w:pPr>
          </w:p>
          <w:p w14:paraId="29C308C2" w14:textId="23B60CC3" w:rsidR="0084551F" w:rsidRPr="001C15AD" w:rsidRDefault="00CD2C27" w:rsidP="00915BF6">
            <w:pPr>
              <w:autoSpaceDE w:val="0"/>
              <w:autoSpaceDN w:val="0"/>
              <w:adjustRightInd w:val="0"/>
              <w:rPr>
                <w:rFonts w:ascii="Arial" w:hAnsi="Arial" w:cs="Arial"/>
                <w:color w:val="000000"/>
                <w:szCs w:val="24"/>
                <w:lang w:eastAsia="en-AU"/>
              </w:rPr>
            </w:pPr>
            <w:r>
              <w:rPr>
                <w:rFonts w:ascii="Arial" w:hAnsi="Arial" w:cs="Arial"/>
                <w:color w:val="000000"/>
                <w:szCs w:val="24"/>
                <w:lang w:eastAsia="en-AU"/>
              </w:rPr>
              <w:t>Reliance on community members to comply with health recommendations</w:t>
            </w:r>
          </w:p>
        </w:tc>
        <w:tc>
          <w:tcPr>
            <w:tcW w:w="6350" w:type="dxa"/>
            <w:shd w:val="clear" w:color="auto" w:fill="auto"/>
          </w:tcPr>
          <w:p w14:paraId="60C5F16F" w14:textId="141A2913" w:rsidR="00915BF6" w:rsidRDefault="00915BF6" w:rsidP="00DB4CEA">
            <w:pPr>
              <w:autoSpaceDE w:val="0"/>
              <w:autoSpaceDN w:val="0"/>
              <w:adjustRightInd w:val="0"/>
              <w:rPr>
                <w:rFonts w:ascii="Arial" w:hAnsi="Arial" w:cs="Arial"/>
                <w:color w:val="000000"/>
                <w:szCs w:val="24"/>
                <w:lang w:eastAsia="en-AU"/>
              </w:rPr>
            </w:pPr>
            <w:r>
              <w:rPr>
                <w:rFonts w:ascii="Arial" w:hAnsi="Arial" w:cs="Arial"/>
                <w:color w:val="000000"/>
                <w:szCs w:val="24"/>
                <w:lang w:eastAsia="en-AU"/>
              </w:rPr>
              <w:t>Inability to respond quickly to any deterioration in the epidemiological situation for the ACT, or provision of support (through COVID-19 Management Declarations) for public health and hospital systems.</w:t>
            </w:r>
          </w:p>
          <w:p w14:paraId="4AA67619" w14:textId="4FFA02B7" w:rsidR="00915BF6" w:rsidRDefault="00915BF6" w:rsidP="00DB4CEA">
            <w:pPr>
              <w:autoSpaceDE w:val="0"/>
              <w:autoSpaceDN w:val="0"/>
              <w:adjustRightInd w:val="0"/>
              <w:rPr>
                <w:rFonts w:ascii="Arial" w:hAnsi="Arial" w:cs="Arial"/>
                <w:color w:val="000000"/>
                <w:szCs w:val="24"/>
                <w:lang w:eastAsia="en-AU"/>
              </w:rPr>
            </w:pPr>
          </w:p>
          <w:p w14:paraId="4546FB4D" w14:textId="4B37E0C4" w:rsidR="00915BF6" w:rsidRDefault="00915BF6" w:rsidP="00DB4CEA">
            <w:pPr>
              <w:autoSpaceDE w:val="0"/>
              <w:autoSpaceDN w:val="0"/>
              <w:adjustRightInd w:val="0"/>
              <w:rPr>
                <w:rFonts w:ascii="Arial" w:hAnsi="Arial" w:cs="Arial"/>
                <w:color w:val="000000"/>
                <w:szCs w:val="24"/>
                <w:lang w:eastAsia="en-AU"/>
              </w:rPr>
            </w:pPr>
            <w:r>
              <w:rPr>
                <w:rFonts w:ascii="Arial" w:hAnsi="Arial" w:cs="Arial"/>
                <w:color w:val="000000"/>
                <w:szCs w:val="24"/>
                <w:lang w:eastAsia="en-AU"/>
              </w:rPr>
              <w:t>Inability to provide targeted and early advice and support to individuals who are diagnosed with COVID-19, particular for those who may be eligible for treatment options, which are required to be prescribed early.</w:t>
            </w:r>
          </w:p>
          <w:p w14:paraId="39B695BF" w14:textId="7814D21A" w:rsidR="00915BF6" w:rsidRDefault="00915BF6" w:rsidP="00DB4CEA">
            <w:pPr>
              <w:autoSpaceDE w:val="0"/>
              <w:autoSpaceDN w:val="0"/>
              <w:adjustRightInd w:val="0"/>
              <w:rPr>
                <w:rFonts w:ascii="Arial" w:hAnsi="Arial" w:cs="Arial"/>
                <w:color w:val="000000"/>
                <w:szCs w:val="24"/>
                <w:lang w:eastAsia="en-AU"/>
              </w:rPr>
            </w:pPr>
          </w:p>
          <w:p w14:paraId="51CD14F9" w14:textId="4273A143" w:rsidR="00915BF6" w:rsidRDefault="00CD2C27" w:rsidP="00DB4CEA">
            <w:pPr>
              <w:autoSpaceDE w:val="0"/>
              <w:autoSpaceDN w:val="0"/>
              <w:adjustRightInd w:val="0"/>
              <w:rPr>
                <w:rFonts w:ascii="Arial" w:hAnsi="Arial" w:cs="Arial"/>
                <w:color w:val="000000"/>
                <w:szCs w:val="24"/>
                <w:lang w:eastAsia="en-AU"/>
              </w:rPr>
            </w:pPr>
            <w:r>
              <w:rPr>
                <w:rFonts w:ascii="Arial" w:hAnsi="Arial" w:cs="Arial"/>
                <w:color w:val="000000"/>
                <w:szCs w:val="24"/>
                <w:lang w:eastAsia="en-AU"/>
              </w:rPr>
              <w:t xml:space="preserve">Inability to carefully monitor and undertake surveillance of COVID-19 transmission in the Territory. </w:t>
            </w:r>
          </w:p>
          <w:p w14:paraId="68FE6692" w14:textId="77777777" w:rsidR="00CD2C27" w:rsidRDefault="00CD2C27" w:rsidP="00DB4CEA">
            <w:pPr>
              <w:autoSpaceDE w:val="0"/>
              <w:autoSpaceDN w:val="0"/>
              <w:adjustRightInd w:val="0"/>
              <w:rPr>
                <w:rFonts w:ascii="Arial" w:hAnsi="Arial" w:cs="Arial"/>
                <w:color w:val="000000"/>
                <w:szCs w:val="24"/>
                <w:lang w:eastAsia="en-AU"/>
              </w:rPr>
            </w:pPr>
          </w:p>
          <w:p w14:paraId="50E44308" w14:textId="5F2670E5" w:rsidR="00915BF6" w:rsidRDefault="00915BF6" w:rsidP="00DB4CEA">
            <w:pPr>
              <w:autoSpaceDE w:val="0"/>
              <w:autoSpaceDN w:val="0"/>
              <w:adjustRightInd w:val="0"/>
              <w:rPr>
                <w:rFonts w:ascii="Arial" w:hAnsi="Arial" w:cs="Arial"/>
                <w:color w:val="000000"/>
                <w:szCs w:val="24"/>
                <w:lang w:eastAsia="en-AU"/>
              </w:rPr>
            </w:pPr>
            <w:r>
              <w:rPr>
                <w:rFonts w:ascii="Arial" w:hAnsi="Arial" w:cs="Arial"/>
                <w:color w:val="000000"/>
                <w:szCs w:val="24"/>
                <w:lang w:eastAsia="en-AU"/>
              </w:rPr>
              <w:t>Impacts on the ability for ACT Health to undertake appropriate surveillance and monitoring of COVID-19 transmission in the ACT.</w:t>
            </w:r>
          </w:p>
          <w:p w14:paraId="6AA099E3" w14:textId="6EF993FF" w:rsidR="00915BF6" w:rsidRDefault="00915BF6" w:rsidP="00DB4CEA">
            <w:pPr>
              <w:autoSpaceDE w:val="0"/>
              <w:autoSpaceDN w:val="0"/>
              <w:adjustRightInd w:val="0"/>
              <w:rPr>
                <w:rFonts w:ascii="Arial" w:hAnsi="Arial" w:cs="Arial"/>
                <w:color w:val="000000"/>
                <w:szCs w:val="24"/>
                <w:lang w:eastAsia="en-AU"/>
              </w:rPr>
            </w:pPr>
          </w:p>
          <w:p w14:paraId="20F90359" w14:textId="335B3AC7" w:rsidR="009441D4" w:rsidRPr="009441D4" w:rsidRDefault="009441D4" w:rsidP="0015515F">
            <w:pPr>
              <w:autoSpaceDE w:val="0"/>
              <w:autoSpaceDN w:val="0"/>
              <w:adjustRightInd w:val="0"/>
              <w:spacing w:after="120"/>
              <w:rPr>
                <w:rFonts w:ascii="Arial" w:hAnsi="Arial" w:cs="Arial"/>
                <w:color w:val="000000"/>
                <w:szCs w:val="24"/>
                <w:lang w:eastAsia="en-AU"/>
              </w:rPr>
            </w:pPr>
            <w:r>
              <w:rPr>
                <w:rFonts w:ascii="Arial" w:hAnsi="Arial" w:cs="Arial"/>
                <w:color w:val="000000"/>
                <w:szCs w:val="24"/>
                <w:lang w:eastAsia="en-AU"/>
              </w:rPr>
              <w:t xml:space="preserve">Failure to consistently apply public health advice </w:t>
            </w:r>
            <w:r w:rsidR="005A0D96">
              <w:rPr>
                <w:rFonts w:ascii="Arial" w:hAnsi="Arial" w:cs="Arial"/>
                <w:color w:val="000000"/>
                <w:szCs w:val="24"/>
                <w:lang w:eastAsia="en-AU"/>
              </w:rPr>
              <w:t xml:space="preserve">may result in </w:t>
            </w:r>
          </w:p>
          <w:p w14:paraId="0775D575" w14:textId="543F83B4" w:rsidR="000600FE" w:rsidRDefault="000600FE" w:rsidP="0015515F">
            <w:pPr>
              <w:numPr>
                <w:ilvl w:val="0"/>
                <w:numId w:val="6"/>
              </w:numPr>
              <w:autoSpaceDE w:val="0"/>
              <w:autoSpaceDN w:val="0"/>
              <w:adjustRightInd w:val="0"/>
              <w:spacing w:after="120"/>
              <w:ind w:left="426"/>
              <w:rPr>
                <w:rFonts w:ascii="Arial" w:hAnsi="Arial" w:cs="Arial"/>
                <w:color w:val="000000"/>
                <w:szCs w:val="24"/>
                <w:lang w:eastAsia="en-AU"/>
              </w:rPr>
            </w:pPr>
            <w:r>
              <w:rPr>
                <w:rFonts w:ascii="Arial" w:hAnsi="Arial" w:cs="Arial"/>
                <w:color w:val="000000"/>
                <w:szCs w:val="24"/>
                <w:lang w:eastAsia="en-AU"/>
              </w:rPr>
              <w:t>Increased number of COVID-19 cases.</w:t>
            </w:r>
          </w:p>
          <w:p w14:paraId="55B3E380" w14:textId="5C5EF826" w:rsidR="00452CE0" w:rsidRDefault="009441D4" w:rsidP="0015515F">
            <w:pPr>
              <w:numPr>
                <w:ilvl w:val="0"/>
                <w:numId w:val="6"/>
              </w:numPr>
              <w:autoSpaceDE w:val="0"/>
              <w:autoSpaceDN w:val="0"/>
              <w:adjustRightInd w:val="0"/>
              <w:spacing w:after="120"/>
              <w:ind w:left="426"/>
              <w:rPr>
                <w:rFonts w:ascii="Arial" w:hAnsi="Arial" w:cs="Arial"/>
                <w:color w:val="000000"/>
                <w:szCs w:val="24"/>
                <w:lang w:eastAsia="en-AU"/>
              </w:rPr>
            </w:pPr>
            <w:r>
              <w:rPr>
                <w:rFonts w:ascii="Arial" w:hAnsi="Arial" w:cs="Arial"/>
                <w:color w:val="000000"/>
                <w:szCs w:val="24"/>
                <w:lang w:eastAsia="en-AU"/>
              </w:rPr>
              <w:t>Increased demand for h</w:t>
            </w:r>
            <w:r w:rsidR="00452CE0">
              <w:rPr>
                <w:rFonts w:ascii="Arial" w:hAnsi="Arial" w:cs="Arial"/>
                <w:color w:val="000000"/>
                <w:szCs w:val="24"/>
                <w:lang w:eastAsia="en-AU"/>
              </w:rPr>
              <w:t>ealthcare (primary and tertiary), reducing the system’s capacity to respond to non-COVID matters.</w:t>
            </w:r>
          </w:p>
          <w:p w14:paraId="4F22DA41" w14:textId="4D3AA6C7" w:rsidR="00452CE0" w:rsidRDefault="009441D4" w:rsidP="0015515F">
            <w:pPr>
              <w:numPr>
                <w:ilvl w:val="0"/>
                <w:numId w:val="6"/>
              </w:numPr>
              <w:autoSpaceDE w:val="0"/>
              <w:autoSpaceDN w:val="0"/>
              <w:adjustRightInd w:val="0"/>
              <w:spacing w:after="120"/>
              <w:ind w:left="426"/>
              <w:rPr>
                <w:rFonts w:ascii="Arial" w:hAnsi="Arial" w:cs="Arial"/>
                <w:color w:val="000000"/>
                <w:szCs w:val="24"/>
                <w:lang w:eastAsia="en-AU"/>
              </w:rPr>
            </w:pPr>
            <w:r>
              <w:rPr>
                <w:rFonts w:ascii="Arial" w:hAnsi="Arial" w:cs="Arial"/>
                <w:color w:val="000000"/>
                <w:szCs w:val="24"/>
                <w:lang w:eastAsia="en-AU"/>
              </w:rPr>
              <w:t xml:space="preserve">Increased risk of severe illness </w:t>
            </w:r>
            <w:r w:rsidR="008A5C62">
              <w:rPr>
                <w:rFonts w:ascii="Arial" w:hAnsi="Arial" w:cs="Arial"/>
                <w:color w:val="000000"/>
                <w:szCs w:val="24"/>
                <w:lang w:eastAsia="en-AU"/>
              </w:rPr>
              <w:t xml:space="preserve">or death </w:t>
            </w:r>
            <w:r>
              <w:rPr>
                <w:rFonts w:ascii="Arial" w:hAnsi="Arial" w:cs="Arial"/>
                <w:color w:val="000000"/>
                <w:szCs w:val="24"/>
                <w:lang w:eastAsia="en-AU"/>
              </w:rPr>
              <w:t>for p</w:t>
            </w:r>
            <w:r w:rsidR="00452CE0">
              <w:rPr>
                <w:rFonts w:ascii="Arial" w:hAnsi="Arial" w:cs="Arial"/>
                <w:color w:val="000000"/>
                <w:szCs w:val="24"/>
                <w:lang w:eastAsia="en-AU"/>
              </w:rPr>
              <w:t xml:space="preserve">eople that are vulnerable or at-risk from COVID-19. </w:t>
            </w:r>
          </w:p>
          <w:p w14:paraId="6201EAB3" w14:textId="173EC7E2" w:rsidR="005A0D96" w:rsidRDefault="00080FE2" w:rsidP="00523E8B">
            <w:pPr>
              <w:numPr>
                <w:ilvl w:val="0"/>
                <w:numId w:val="6"/>
              </w:numPr>
              <w:autoSpaceDE w:val="0"/>
              <w:autoSpaceDN w:val="0"/>
              <w:adjustRightInd w:val="0"/>
              <w:spacing w:after="120"/>
              <w:ind w:left="426"/>
              <w:rPr>
                <w:rFonts w:ascii="Arial" w:hAnsi="Arial" w:cs="Arial"/>
                <w:color w:val="000000"/>
                <w:szCs w:val="24"/>
                <w:lang w:eastAsia="en-AU"/>
              </w:rPr>
            </w:pPr>
            <w:r>
              <w:rPr>
                <w:rFonts w:ascii="Arial" w:hAnsi="Arial" w:cs="Arial"/>
                <w:color w:val="000000"/>
                <w:szCs w:val="24"/>
                <w:lang w:eastAsia="en-AU"/>
              </w:rPr>
              <w:t xml:space="preserve">An increase to staff furloughing arrangements and absences due to greater rates of </w:t>
            </w:r>
            <w:r w:rsidR="008A5C62">
              <w:rPr>
                <w:rFonts w:ascii="Arial" w:hAnsi="Arial" w:cs="Arial"/>
                <w:color w:val="000000"/>
                <w:szCs w:val="24"/>
                <w:lang w:eastAsia="en-AU"/>
              </w:rPr>
              <w:t xml:space="preserve">community </w:t>
            </w:r>
            <w:r>
              <w:rPr>
                <w:rFonts w:ascii="Arial" w:hAnsi="Arial" w:cs="Arial"/>
                <w:color w:val="000000"/>
                <w:szCs w:val="24"/>
                <w:lang w:eastAsia="en-AU"/>
              </w:rPr>
              <w:t xml:space="preserve">transmission. </w:t>
            </w:r>
          </w:p>
          <w:p w14:paraId="4182EE94" w14:textId="58B5EE7B" w:rsidR="00144807" w:rsidRDefault="005A0D96" w:rsidP="00DB4CEA">
            <w:pPr>
              <w:autoSpaceDE w:val="0"/>
              <w:autoSpaceDN w:val="0"/>
              <w:adjustRightInd w:val="0"/>
              <w:rPr>
                <w:rFonts w:ascii="Arial" w:hAnsi="Arial" w:cs="Arial"/>
                <w:color w:val="000000"/>
                <w:szCs w:val="24"/>
                <w:lang w:eastAsia="en-AU"/>
              </w:rPr>
            </w:pPr>
            <w:r>
              <w:rPr>
                <w:rFonts w:ascii="Arial" w:hAnsi="Arial" w:cs="Arial"/>
                <w:color w:val="000000"/>
                <w:szCs w:val="24"/>
                <w:lang w:eastAsia="en-AU"/>
              </w:rPr>
              <w:t xml:space="preserve">although </w:t>
            </w:r>
            <w:r w:rsidR="007F1F01">
              <w:rPr>
                <w:rFonts w:ascii="Arial" w:hAnsi="Arial" w:cs="Arial"/>
                <w:color w:val="000000"/>
                <w:szCs w:val="24"/>
                <w:lang w:eastAsia="en-AU"/>
              </w:rPr>
              <w:t xml:space="preserve">the timing , size and impact of these outcomes are difficult to predict with certainty. </w:t>
            </w:r>
          </w:p>
          <w:p w14:paraId="7BB0A050" w14:textId="64FFB0BD" w:rsidR="00CD2C27" w:rsidRPr="001C15AD" w:rsidRDefault="00CD2C27" w:rsidP="00CD2C27">
            <w:pPr>
              <w:autoSpaceDE w:val="0"/>
              <w:autoSpaceDN w:val="0"/>
              <w:adjustRightInd w:val="0"/>
              <w:rPr>
                <w:rFonts w:ascii="Arial" w:hAnsi="Arial" w:cs="Arial"/>
                <w:color w:val="000000"/>
                <w:szCs w:val="24"/>
                <w:lang w:eastAsia="en-AU"/>
              </w:rPr>
            </w:pPr>
          </w:p>
        </w:tc>
      </w:tr>
    </w:tbl>
    <w:p w14:paraId="0DBCFD7C" w14:textId="58AF3687" w:rsidR="00CE532A" w:rsidRDefault="00CE532A" w:rsidP="00CE532A">
      <w:pPr>
        <w:autoSpaceDE w:val="0"/>
        <w:autoSpaceDN w:val="0"/>
        <w:adjustRightInd w:val="0"/>
        <w:rPr>
          <w:rFonts w:ascii="Arial" w:hAnsi="Arial" w:cs="Arial"/>
          <w:b/>
          <w:color w:val="000000"/>
          <w:sz w:val="22"/>
          <w:szCs w:val="22"/>
          <w:lang w:eastAsia="en-AU"/>
        </w:rPr>
      </w:pPr>
    </w:p>
    <w:p w14:paraId="54CBB3B5" w14:textId="77777777" w:rsidR="00053F90" w:rsidRDefault="00053F90" w:rsidP="00CE532A">
      <w:pPr>
        <w:autoSpaceDE w:val="0"/>
        <w:autoSpaceDN w:val="0"/>
        <w:adjustRightInd w:val="0"/>
        <w:rPr>
          <w:rFonts w:ascii="Arial" w:hAnsi="Arial" w:cs="Arial"/>
          <w:b/>
          <w:color w:val="000000"/>
          <w:sz w:val="22"/>
          <w:szCs w:val="22"/>
          <w:lang w:eastAsia="en-AU"/>
        </w:rPr>
      </w:pPr>
    </w:p>
    <w:p w14:paraId="1645F7A9" w14:textId="057D90F1" w:rsidR="00B14385" w:rsidRPr="00CD2C27" w:rsidRDefault="00B14385" w:rsidP="00B14385">
      <w:pPr>
        <w:autoSpaceDE w:val="0"/>
        <w:autoSpaceDN w:val="0"/>
        <w:adjustRightInd w:val="0"/>
        <w:rPr>
          <w:rFonts w:ascii="Arial" w:hAnsi="Arial" w:cs="Arial"/>
          <w:b/>
          <w:szCs w:val="24"/>
          <w:u w:val="single"/>
        </w:rPr>
      </w:pPr>
      <w:r w:rsidRPr="00CD2C27">
        <w:rPr>
          <w:rFonts w:ascii="Arial" w:hAnsi="Arial" w:cs="Arial"/>
          <w:b/>
          <w:color w:val="000000"/>
          <w:szCs w:val="24"/>
          <w:u w:val="single"/>
          <w:lang w:eastAsia="en-AU"/>
        </w:rPr>
        <w:t xml:space="preserve">Option </w:t>
      </w:r>
      <w:r w:rsidR="00CD2C27" w:rsidRPr="00CD2C27">
        <w:rPr>
          <w:rFonts w:ascii="Arial" w:hAnsi="Arial" w:cs="Arial"/>
          <w:b/>
          <w:color w:val="000000"/>
          <w:szCs w:val="24"/>
          <w:u w:val="single"/>
          <w:lang w:eastAsia="en-AU"/>
        </w:rPr>
        <w:t>2</w:t>
      </w:r>
      <w:r w:rsidRPr="00CD2C27">
        <w:rPr>
          <w:rFonts w:ascii="Arial" w:hAnsi="Arial" w:cs="Arial"/>
          <w:b/>
          <w:color w:val="000000"/>
          <w:szCs w:val="24"/>
          <w:u w:val="single"/>
          <w:lang w:eastAsia="en-AU"/>
        </w:rPr>
        <w:t xml:space="preserve">: </w:t>
      </w:r>
      <w:r w:rsidR="00CD2C27" w:rsidRPr="00F85365">
        <w:rPr>
          <w:rFonts w:ascii="Arial" w:hAnsi="Arial" w:cs="Arial"/>
          <w:b/>
          <w:color w:val="000000"/>
          <w:szCs w:val="24"/>
          <w:u w:val="single"/>
          <w:lang w:eastAsia="en-AU"/>
        </w:rPr>
        <w:t>Extend</w:t>
      </w:r>
      <w:r w:rsidR="00CD2C27" w:rsidRPr="00F85365">
        <w:rPr>
          <w:rFonts w:ascii="Arial" w:hAnsi="Arial" w:cs="Arial"/>
          <w:b/>
          <w:u w:val="single"/>
        </w:rPr>
        <w:t xml:space="preserve"> the </w:t>
      </w:r>
      <w:r w:rsidR="00CD2C27" w:rsidRPr="00F85365">
        <w:rPr>
          <w:rFonts w:ascii="Arial" w:hAnsi="Arial" w:cs="Arial"/>
          <w:b/>
          <w:szCs w:val="24"/>
          <w:u w:val="single"/>
        </w:rPr>
        <w:t>Public Health (COVID-19 Management) Declaration by 90 days</w:t>
      </w:r>
      <w:r w:rsidR="00CD2C27" w:rsidRPr="00CD2C27" w:rsidDel="00CD2C27">
        <w:rPr>
          <w:rFonts w:ascii="Arial" w:hAnsi="Arial" w:cs="Arial"/>
          <w:b/>
          <w:color w:val="000000"/>
          <w:szCs w:val="24"/>
          <w:u w:val="single"/>
          <w:lang w:eastAsia="en-AU"/>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315"/>
      </w:tblGrid>
      <w:tr w:rsidR="00B41D3D" w:rsidRPr="00FF73F2" w14:paraId="7DB90E38" w14:textId="77777777" w:rsidTr="006C190E">
        <w:tc>
          <w:tcPr>
            <w:tcW w:w="3007" w:type="dxa"/>
            <w:shd w:val="clear" w:color="auto" w:fill="auto"/>
          </w:tcPr>
          <w:p w14:paraId="309E2DB8" w14:textId="77777777" w:rsidR="00B41D3D" w:rsidRPr="00FF73F2" w:rsidRDefault="00B41D3D" w:rsidP="00D40DA9">
            <w:pPr>
              <w:autoSpaceDE w:val="0"/>
              <w:autoSpaceDN w:val="0"/>
              <w:adjustRightInd w:val="0"/>
              <w:spacing w:before="120"/>
              <w:rPr>
                <w:rFonts w:ascii="Arial" w:hAnsi="Arial" w:cs="Arial"/>
                <w:b/>
                <w:color w:val="000000"/>
                <w:szCs w:val="24"/>
                <w:lang w:eastAsia="en-AU"/>
              </w:rPr>
            </w:pPr>
            <w:r w:rsidRPr="00FF73F2">
              <w:rPr>
                <w:rFonts w:ascii="Arial" w:hAnsi="Arial" w:cs="Arial"/>
                <w:b/>
                <w:color w:val="000000"/>
                <w:szCs w:val="24"/>
                <w:lang w:eastAsia="en-AU"/>
              </w:rPr>
              <w:t>Benefits</w:t>
            </w:r>
          </w:p>
        </w:tc>
        <w:tc>
          <w:tcPr>
            <w:tcW w:w="6315" w:type="dxa"/>
            <w:shd w:val="clear" w:color="auto" w:fill="auto"/>
          </w:tcPr>
          <w:p w14:paraId="3F4CBB45" w14:textId="77777777" w:rsidR="00B41D3D" w:rsidRPr="00FF73F2" w:rsidRDefault="00B41D3D" w:rsidP="00D40DA9">
            <w:pPr>
              <w:autoSpaceDE w:val="0"/>
              <w:autoSpaceDN w:val="0"/>
              <w:adjustRightInd w:val="0"/>
              <w:spacing w:before="120"/>
              <w:rPr>
                <w:rFonts w:ascii="Arial" w:hAnsi="Arial" w:cs="Arial"/>
                <w:b/>
                <w:color w:val="000000"/>
                <w:szCs w:val="24"/>
                <w:lang w:eastAsia="en-AU"/>
              </w:rPr>
            </w:pPr>
            <w:r w:rsidRPr="00FF73F2">
              <w:rPr>
                <w:rFonts w:ascii="Arial" w:hAnsi="Arial" w:cs="Arial"/>
                <w:b/>
                <w:color w:val="000000"/>
                <w:szCs w:val="24"/>
                <w:lang w:eastAsia="en-AU"/>
              </w:rPr>
              <w:t>Costs</w:t>
            </w:r>
            <w:r w:rsidR="00274A42" w:rsidRPr="00FF73F2">
              <w:rPr>
                <w:rFonts w:ascii="Arial" w:hAnsi="Arial" w:cs="Arial"/>
                <w:b/>
                <w:color w:val="000000"/>
                <w:szCs w:val="24"/>
                <w:lang w:eastAsia="en-AU"/>
              </w:rPr>
              <w:t>/disadvantages</w:t>
            </w:r>
          </w:p>
        </w:tc>
      </w:tr>
      <w:tr w:rsidR="00B41D3D" w:rsidRPr="00FF73F2" w14:paraId="45BE625C" w14:textId="77777777" w:rsidTr="006C190E">
        <w:tc>
          <w:tcPr>
            <w:tcW w:w="3007" w:type="dxa"/>
            <w:shd w:val="clear" w:color="auto" w:fill="auto"/>
          </w:tcPr>
          <w:p w14:paraId="75B9E154" w14:textId="699A0D70" w:rsidR="00B32EA7" w:rsidRDefault="00B32EA7" w:rsidP="00B32EA7">
            <w:pPr>
              <w:autoSpaceDE w:val="0"/>
              <w:autoSpaceDN w:val="0"/>
              <w:adjustRightInd w:val="0"/>
              <w:rPr>
                <w:rFonts w:ascii="Arial" w:hAnsi="Arial" w:cs="Arial"/>
                <w:bCs/>
                <w:color w:val="000000"/>
                <w:szCs w:val="24"/>
                <w:lang w:eastAsia="en-AU"/>
              </w:rPr>
            </w:pPr>
            <w:r>
              <w:rPr>
                <w:rFonts w:ascii="Arial" w:hAnsi="Arial" w:cs="Arial"/>
                <w:bCs/>
                <w:color w:val="000000"/>
                <w:szCs w:val="24"/>
                <w:lang w:eastAsia="en-AU"/>
              </w:rPr>
              <w:t>P</w:t>
            </w:r>
            <w:r w:rsidRPr="001E565F">
              <w:rPr>
                <w:rFonts w:ascii="Arial" w:hAnsi="Arial" w:cs="Arial"/>
                <w:bCs/>
                <w:color w:val="000000"/>
                <w:szCs w:val="24"/>
                <w:lang w:eastAsia="en-AU"/>
              </w:rPr>
              <w:t>rovides the least restrictive legislative framework to meet the objectives of preserving the human right to life</w:t>
            </w:r>
            <w:r>
              <w:rPr>
                <w:rFonts w:ascii="Arial" w:hAnsi="Arial" w:cs="Arial"/>
                <w:bCs/>
                <w:color w:val="000000"/>
                <w:szCs w:val="24"/>
                <w:lang w:eastAsia="en-AU"/>
              </w:rPr>
              <w:t>, as provides an environment where targeted Directions can be made and revoked by the Executive, Minister for Health and Chief Health Officer in response to an evolving and uncertain COVID-19 situation.</w:t>
            </w:r>
          </w:p>
          <w:p w14:paraId="560281D0" w14:textId="77777777" w:rsidR="00B32EA7" w:rsidRDefault="00B32EA7" w:rsidP="00B32EA7">
            <w:pPr>
              <w:autoSpaceDE w:val="0"/>
              <w:autoSpaceDN w:val="0"/>
              <w:adjustRightInd w:val="0"/>
              <w:rPr>
                <w:rFonts w:ascii="Arial" w:hAnsi="Arial" w:cs="Arial"/>
                <w:bCs/>
                <w:color w:val="000000"/>
                <w:szCs w:val="24"/>
                <w:lang w:eastAsia="en-AU"/>
              </w:rPr>
            </w:pPr>
          </w:p>
          <w:p w14:paraId="3792C1A6" w14:textId="4512D7EB" w:rsidR="00CD2C27" w:rsidRDefault="00CD2C27" w:rsidP="00D40DA9">
            <w:pPr>
              <w:autoSpaceDE w:val="0"/>
              <w:autoSpaceDN w:val="0"/>
              <w:adjustRightInd w:val="0"/>
              <w:rPr>
                <w:rFonts w:ascii="Arial" w:hAnsi="Arial" w:cs="Arial"/>
                <w:bCs/>
                <w:color w:val="000000"/>
                <w:szCs w:val="24"/>
                <w:lang w:eastAsia="en-AU"/>
              </w:rPr>
            </w:pPr>
            <w:r>
              <w:rPr>
                <w:rFonts w:ascii="Arial" w:hAnsi="Arial" w:cs="Arial"/>
                <w:bCs/>
                <w:color w:val="000000"/>
                <w:szCs w:val="24"/>
                <w:lang w:eastAsia="en-AU"/>
              </w:rPr>
              <w:t>Enables an efficient scaling up of a response to any deterioration of the epidemiological situation, if required.</w:t>
            </w:r>
          </w:p>
          <w:p w14:paraId="7EF2374C" w14:textId="171D772E" w:rsidR="00B32EA7" w:rsidRDefault="00B32EA7" w:rsidP="00D40DA9">
            <w:pPr>
              <w:autoSpaceDE w:val="0"/>
              <w:autoSpaceDN w:val="0"/>
              <w:adjustRightInd w:val="0"/>
              <w:rPr>
                <w:rFonts w:ascii="Arial" w:hAnsi="Arial" w:cs="Arial"/>
                <w:bCs/>
                <w:color w:val="000000"/>
                <w:szCs w:val="24"/>
                <w:lang w:eastAsia="en-AU"/>
              </w:rPr>
            </w:pPr>
          </w:p>
          <w:p w14:paraId="667C3030" w14:textId="5720C51D" w:rsidR="00A36AC3" w:rsidRPr="00FF73F2" w:rsidRDefault="00A36AC3" w:rsidP="00CD2C27">
            <w:pPr>
              <w:autoSpaceDE w:val="0"/>
              <w:autoSpaceDN w:val="0"/>
              <w:adjustRightInd w:val="0"/>
              <w:rPr>
                <w:rFonts w:ascii="Arial" w:hAnsi="Arial" w:cs="Arial"/>
                <w:bCs/>
                <w:color w:val="000000"/>
                <w:szCs w:val="24"/>
                <w:lang w:eastAsia="en-AU"/>
              </w:rPr>
            </w:pPr>
          </w:p>
        </w:tc>
        <w:tc>
          <w:tcPr>
            <w:tcW w:w="6315" w:type="dxa"/>
            <w:shd w:val="clear" w:color="auto" w:fill="auto"/>
          </w:tcPr>
          <w:p w14:paraId="56D99B30" w14:textId="03FC8A7A" w:rsidR="00BC7B09" w:rsidRDefault="00BC7B09" w:rsidP="00DB4CEA">
            <w:pPr>
              <w:autoSpaceDE w:val="0"/>
              <w:autoSpaceDN w:val="0"/>
              <w:adjustRightInd w:val="0"/>
              <w:rPr>
                <w:rFonts w:ascii="Arial" w:hAnsi="Arial" w:cs="Arial"/>
                <w:bCs/>
                <w:color w:val="000000"/>
                <w:szCs w:val="24"/>
                <w:lang w:eastAsia="en-AU"/>
              </w:rPr>
            </w:pPr>
            <w:r>
              <w:rPr>
                <w:rFonts w:ascii="Arial" w:hAnsi="Arial" w:cs="Arial"/>
                <w:bCs/>
                <w:color w:val="000000"/>
                <w:szCs w:val="24"/>
                <w:lang w:eastAsia="en-AU"/>
              </w:rPr>
              <w:t>Enables the Executive, Minister for Health and Chief Health Officer to issue Directions that may limit human rights so that the rate and risk of COVID-19 transmission is reduced</w:t>
            </w:r>
            <w:r w:rsidR="00CD2C27">
              <w:rPr>
                <w:rFonts w:ascii="Arial" w:hAnsi="Arial" w:cs="Arial"/>
                <w:bCs/>
                <w:color w:val="000000"/>
                <w:szCs w:val="24"/>
                <w:lang w:eastAsia="en-AU"/>
              </w:rPr>
              <w:t>.  However, it should be noted that the only restriction to be maintained with the extension is the requirement to report a positive RAT test to ACT Health.</w:t>
            </w:r>
            <w:r>
              <w:rPr>
                <w:rFonts w:ascii="Arial" w:hAnsi="Arial" w:cs="Arial"/>
                <w:bCs/>
                <w:color w:val="000000"/>
                <w:szCs w:val="24"/>
                <w:lang w:eastAsia="en-AU"/>
              </w:rPr>
              <w:t xml:space="preserve"> </w:t>
            </w:r>
          </w:p>
          <w:p w14:paraId="6B365297" w14:textId="77777777" w:rsidR="0015515F" w:rsidRDefault="0015515F" w:rsidP="00DB4CEA">
            <w:pPr>
              <w:autoSpaceDE w:val="0"/>
              <w:autoSpaceDN w:val="0"/>
              <w:adjustRightInd w:val="0"/>
              <w:rPr>
                <w:rFonts w:ascii="Arial" w:hAnsi="Arial" w:cs="Arial"/>
                <w:bCs/>
                <w:color w:val="000000"/>
                <w:szCs w:val="24"/>
                <w:lang w:eastAsia="en-AU"/>
              </w:rPr>
            </w:pPr>
          </w:p>
          <w:p w14:paraId="5DC55A07" w14:textId="1619FB0A" w:rsidR="007B67E4" w:rsidRDefault="00BC7B09" w:rsidP="0015515F">
            <w:pPr>
              <w:autoSpaceDE w:val="0"/>
              <w:autoSpaceDN w:val="0"/>
              <w:adjustRightInd w:val="0"/>
              <w:spacing w:after="120"/>
              <w:rPr>
                <w:rFonts w:ascii="Arial" w:hAnsi="Arial" w:cs="Arial"/>
                <w:bCs/>
                <w:color w:val="000000"/>
                <w:szCs w:val="24"/>
                <w:lang w:eastAsia="en-AU"/>
              </w:rPr>
            </w:pPr>
            <w:r>
              <w:rPr>
                <w:rFonts w:ascii="Arial" w:hAnsi="Arial" w:cs="Arial"/>
                <w:bCs/>
                <w:color w:val="000000"/>
                <w:szCs w:val="24"/>
                <w:lang w:eastAsia="en-AU"/>
              </w:rPr>
              <w:t xml:space="preserve">The </w:t>
            </w:r>
            <w:r w:rsidR="00007C16" w:rsidRPr="004363D9">
              <w:rPr>
                <w:rFonts w:ascii="Arial" w:hAnsi="Arial" w:cs="Arial"/>
                <w:bCs/>
                <w:color w:val="000000"/>
                <w:szCs w:val="24"/>
                <w:lang w:eastAsia="en-AU"/>
              </w:rPr>
              <w:t>Act</w:t>
            </w:r>
            <w:r>
              <w:rPr>
                <w:rFonts w:ascii="Arial" w:hAnsi="Arial" w:cs="Arial"/>
                <w:bCs/>
                <w:color w:val="000000"/>
                <w:szCs w:val="24"/>
                <w:lang w:eastAsia="en-AU"/>
              </w:rPr>
              <w:t xml:space="preserve"> seeks to mitigate the risk that human rights will be disproportionately limited by</w:t>
            </w:r>
            <w:r w:rsidR="007B67E4">
              <w:rPr>
                <w:rFonts w:ascii="Arial" w:hAnsi="Arial" w:cs="Arial"/>
                <w:bCs/>
                <w:color w:val="000000"/>
                <w:szCs w:val="24"/>
                <w:lang w:eastAsia="en-AU"/>
              </w:rPr>
              <w:t xml:space="preserve"> ensuring that the Declaration and Directions:</w:t>
            </w:r>
          </w:p>
          <w:p w14:paraId="03E4433A" w14:textId="3FDA03C5" w:rsidR="007B67E4" w:rsidRDefault="00BC7B09" w:rsidP="0015515F">
            <w:pPr>
              <w:numPr>
                <w:ilvl w:val="0"/>
                <w:numId w:val="6"/>
              </w:numPr>
              <w:autoSpaceDE w:val="0"/>
              <w:autoSpaceDN w:val="0"/>
              <w:adjustRightInd w:val="0"/>
              <w:spacing w:after="120"/>
              <w:ind w:left="426"/>
              <w:rPr>
                <w:rFonts w:ascii="Arial" w:hAnsi="Arial" w:cs="Arial"/>
                <w:bCs/>
                <w:color w:val="000000"/>
                <w:szCs w:val="24"/>
                <w:lang w:eastAsia="en-AU"/>
              </w:rPr>
            </w:pPr>
            <w:r>
              <w:rPr>
                <w:rFonts w:ascii="Arial" w:hAnsi="Arial" w:cs="Arial"/>
                <w:bCs/>
                <w:color w:val="000000"/>
                <w:szCs w:val="24"/>
                <w:lang w:eastAsia="en-AU"/>
              </w:rPr>
              <w:t>are time limited</w:t>
            </w:r>
            <w:r w:rsidR="007B67E4">
              <w:rPr>
                <w:rFonts w:ascii="Arial" w:hAnsi="Arial" w:cs="Arial"/>
                <w:bCs/>
                <w:color w:val="000000"/>
                <w:szCs w:val="24"/>
                <w:lang w:eastAsia="en-AU"/>
              </w:rPr>
              <w:t>;</w:t>
            </w:r>
          </w:p>
          <w:p w14:paraId="0F58C0E9" w14:textId="77777777" w:rsidR="007B67E4" w:rsidRDefault="00BC7B09" w:rsidP="0015515F">
            <w:pPr>
              <w:numPr>
                <w:ilvl w:val="0"/>
                <w:numId w:val="6"/>
              </w:numPr>
              <w:autoSpaceDE w:val="0"/>
              <w:autoSpaceDN w:val="0"/>
              <w:adjustRightInd w:val="0"/>
              <w:spacing w:after="120"/>
              <w:ind w:left="426"/>
              <w:rPr>
                <w:rFonts w:ascii="Arial" w:hAnsi="Arial" w:cs="Arial"/>
                <w:bCs/>
                <w:color w:val="000000"/>
                <w:szCs w:val="24"/>
                <w:lang w:eastAsia="en-AU"/>
              </w:rPr>
            </w:pPr>
            <w:r>
              <w:rPr>
                <w:rFonts w:ascii="Arial" w:hAnsi="Arial" w:cs="Arial"/>
                <w:bCs/>
                <w:color w:val="000000"/>
                <w:szCs w:val="24"/>
                <w:lang w:eastAsia="en-AU"/>
              </w:rPr>
              <w:t>must have regard for the expert advice of the Chief Health Officer and Human Rights Commissioner</w:t>
            </w:r>
            <w:r w:rsidR="007B67E4">
              <w:rPr>
                <w:rFonts w:ascii="Arial" w:hAnsi="Arial" w:cs="Arial"/>
                <w:bCs/>
                <w:color w:val="000000"/>
                <w:szCs w:val="24"/>
                <w:lang w:eastAsia="en-AU"/>
              </w:rPr>
              <w:t xml:space="preserve">; </w:t>
            </w:r>
          </w:p>
          <w:p w14:paraId="41E88A4C" w14:textId="3E05C96C" w:rsidR="009359CC" w:rsidRPr="007B67E4" w:rsidRDefault="007B67E4" w:rsidP="007B67E4">
            <w:pPr>
              <w:numPr>
                <w:ilvl w:val="0"/>
                <w:numId w:val="6"/>
              </w:numPr>
              <w:autoSpaceDE w:val="0"/>
              <w:autoSpaceDN w:val="0"/>
              <w:adjustRightInd w:val="0"/>
              <w:ind w:left="426"/>
              <w:rPr>
                <w:rFonts w:ascii="Arial" w:hAnsi="Arial" w:cs="Arial"/>
                <w:bCs/>
                <w:color w:val="000000"/>
                <w:szCs w:val="24"/>
                <w:lang w:eastAsia="en-AU"/>
              </w:rPr>
            </w:pPr>
            <w:r>
              <w:rPr>
                <w:rFonts w:ascii="Arial" w:hAnsi="Arial" w:cs="Arial"/>
                <w:bCs/>
                <w:color w:val="000000"/>
                <w:szCs w:val="24"/>
                <w:lang w:eastAsia="en-AU"/>
              </w:rPr>
              <w:t>are disallowable (in the case of the Declaration and Vaccine Directions) or notifiable (for all other Directions)</w:t>
            </w:r>
            <w:r w:rsidRPr="007B67E4">
              <w:rPr>
                <w:rFonts w:ascii="Arial" w:hAnsi="Arial" w:cs="Arial"/>
                <w:bCs/>
                <w:color w:val="000000"/>
                <w:szCs w:val="24"/>
                <w:lang w:eastAsia="en-AU"/>
              </w:rPr>
              <w:t xml:space="preserve">. </w:t>
            </w:r>
          </w:p>
          <w:p w14:paraId="6DDE228D" w14:textId="26AC23A5" w:rsidR="009359CC" w:rsidRDefault="009359CC" w:rsidP="00DB4CEA">
            <w:pPr>
              <w:autoSpaceDE w:val="0"/>
              <w:autoSpaceDN w:val="0"/>
              <w:adjustRightInd w:val="0"/>
              <w:rPr>
                <w:rFonts w:ascii="Arial" w:hAnsi="Arial" w:cs="Arial"/>
                <w:bCs/>
                <w:color w:val="000000"/>
                <w:szCs w:val="24"/>
                <w:lang w:eastAsia="en-AU"/>
              </w:rPr>
            </w:pPr>
          </w:p>
          <w:p w14:paraId="7BA6B6C3" w14:textId="59EF2CFD" w:rsidR="001D2631" w:rsidRPr="00FF73F2" w:rsidRDefault="001D2631" w:rsidP="009359CC">
            <w:pPr>
              <w:autoSpaceDE w:val="0"/>
              <w:autoSpaceDN w:val="0"/>
              <w:adjustRightInd w:val="0"/>
              <w:rPr>
                <w:rFonts w:ascii="Arial" w:hAnsi="Arial" w:cs="Arial"/>
                <w:bCs/>
                <w:color w:val="000000"/>
                <w:szCs w:val="24"/>
                <w:lang w:eastAsia="en-AU"/>
              </w:rPr>
            </w:pPr>
          </w:p>
        </w:tc>
      </w:tr>
    </w:tbl>
    <w:p w14:paraId="33D02AAE" w14:textId="77777777" w:rsidR="00B41D3D" w:rsidRDefault="00B41D3D" w:rsidP="00B41D3D">
      <w:pPr>
        <w:autoSpaceDE w:val="0"/>
        <w:autoSpaceDN w:val="0"/>
        <w:adjustRightInd w:val="0"/>
        <w:rPr>
          <w:rFonts w:ascii="Arial" w:hAnsi="Arial" w:cs="Arial"/>
          <w:b/>
          <w:color w:val="000000"/>
          <w:sz w:val="22"/>
          <w:szCs w:val="22"/>
          <w:lang w:eastAsia="en-AU"/>
        </w:rPr>
      </w:pPr>
    </w:p>
    <w:p w14:paraId="5F488A05" w14:textId="77777777" w:rsidR="005D3991" w:rsidRDefault="005D3991" w:rsidP="005D3991">
      <w:pPr>
        <w:rPr>
          <w:rFonts w:ascii="Arial Rounded MT Bold" w:hAnsi="Arial Rounded MT Bold"/>
          <w:sz w:val="28"/>
          <w:szCs w:val="28"/>
        </w:rPr>
      </w:pPr>
    </w:p>
    <w:p w14:paraId="708C26F9" w14:textId="77777777" w:rsidR="00383FE7" w:rsidRPr="00383FE7" w:rsidRDefault="00383FE7" w:rsidP="00383FE7">
      <w:pPr>
        <w:rPr>
          <w:rFonts w:ascii="Arial Rounded MT Bold" w:hAnsi="Arial Rounded MT Bold"/>
          <w:sz w:val="28"/>
          <w:szCs w:val="28"/>
        </w:rPr>
      </w:pPr>
      <w:r w:rsidRPr="00383FE7">
        <w:rPr>
          <w:rFonts w:ascii="Arial Rounded MT Bold" w:hAnsi="Arial Rounded MT Bold"/>
          <w:sz w:val="28"/>
          <w:szCs w:val="28"/>
        </w:rPr>
        <w:t>Consistency of proposed law with scrutiny committee principles</w:t>
      </w:r>
    </w:p>
    <w:p w14:paraId="4BC024A7" w14:textId="77777777" w:rsidR="00383FE7" w:rsidRPr="00383FE7" w:rsidRDefault="00383FE7" w:rsidP="00383FE7">
      <w:pPr>
        <w:rPr>
          <w:rFonts w:ascii="Arial Rounded MT Bold" w:hAnsi="Arial Rounded MT Bold"/>
          <w:sz w:val="28"/>
          <w:szCs w:val="28"/>
        </w:rPr>
      </w:pPr>
    </w:p>
    <w:p w14:paraId="254B00CC" w14:textId="77777777" w:rsidR="00383FE7" w:rsidRPr="00383FE7" w:rsidRDefault="00383FE7" w:rsidP="00383FE7">
      <w:pPr>
        <w:spacing w:after="240"/>
        <w:rPr>
          <w:rFonts w:ascii="Arial" w:hAnsi="Arial" w:cs="Arial"/>
          <w:szCs w:val="24"/>
        </w:rPr>
      </w:pPr>
      <w:r w:rsidRPr="00383FE7">
        <w:rPr>
          <w:rFonts w:ascii="Arial" w:hAnsi="Arial" w:cs="Arial"/>
          <w:szCs w:val="24"/>
        </w:rPr>
        <w:t xml:space="preserve">The Standing Committee on Justice and Community Safety (the Committee) is required, under the terms of reference, to consider whether (among other things): </w:t>
      </w:r>
    </w:p>
    <w:p w14:paraId="496A5BB0" w14:textId="77777777" w:rsidR="00383FE7" w:rsidRPr="00383FE7" w:rsidRDefault="00383FE7" w:rsidP="00383FE7">
      <w:pPr>
        <w:pStyle w:val="ListParagraph"/>
        <w:numPr>
          <w:ilvl w:val="0"/>
          <w:numId w:val="17"/>
        </w:numPr>
        <w:spacing w:after="60"/>
        <w:ind w:left="567" w:hanging="567"/>
        <w:contextualSpacing w:val="0"/>
        <w:rPr>
          <w:rFonts w:ascii="Arial" w:hAnsi="Arial" w:cs="Arial"/>
          <w:szCs w:val="24"/>
        </w:rPr>
      </w:pPr>
      <w:r w:rsidRPr="00383FE7">
        <w:rPr>
          <w:rFonts w:ascii="Arial" w:hAnsi="Arial" w:cs="Arial"/>
          <w:szCs w:val="24"/>
        </w:rPr>
        <w:t>any instrument of a legislative nature made under an Act which is subject to disallowance and/or disapproval by the Assembly (including a regulation, rule or by-law):</w:t>
      </w:r>
    </w:p>
    <w:p w14:paraId="104C5704" w14:textId="77777777" w:rsidR="00383FE7" w:rsidRPr="00383FE7" w:rsidRDefault="00383FE7" w:rsidP="00383FE7">
      <w:pPr>
        <w:pStyle w:val="ListParagraph"/>
        <w:numPr>
          <w:ilvl w:val="0"/>
          <w:numId w:val="18"/>
        </w:numPr>
        <w:spacing w:after="60"/>
        <w:ind w:left="1134" w:hanging="567"/>
        <w:contextualSpacing w:val="0"/>
        <w:rPr>
          <w:rFonts w:ascii="Arial" w:hAnsi="Arial" w:cs="Arial"/>
          <w:szCs w:val="24"/>
        </w:rPr>
      </w:pPr>
      <w:r w:rsidRPr="00383FE7">
        <w:rPr>
          <w:rFonts w:ascii="Arial" w:hAnsi="Arial" w:cs="Arial"/>
          <w:szCs w:val="24"/>
        </w:rPr>
        <w:t>is in accord with the general objects of the Act under which it is made;</w:t>
      </w:r>
    </w:p>
    <w:p w14:paraId="5BB2F364" w14:textId="77777777" w:rsidR="00383FE7" w:rsidRPr="00383FE7" w:rsidRDefault="00383FE7" w:rsidP="00383FE7">
      <w:pPr>
        <w:pStyle w:val="ListParagraph"/>
        <w:numPr>
          <w:ilvl w:val="0"/>
          <w:numId w:val="18"/>
        </w:numPr>
        <w:spacing w:after="60"/>
        <w:ind w:left="1134" w:hanging="567"/>
        <w:contextualSpacing w:val="0"/>
        <w:rPr>
          <w:rFonts w:ascii="Arial" w:hAnsi="Arial" w:cs="Arial"/>
          <w:szCs w:val="24"/>
        </w:rPr>
      </w:pPr>
      <w:r w:rsidRPr="00383FE7">
        <w:rPr>
          <w:rFonts w:ascii="Arial" w:hAnsi="Arial" w:cs="Arial"/>
          <w:szCs w:val="24"/>
        </w:rPr>
        <w:t>unduly trespasses on rights previously established by law;</w:t>
      </w:r>
    </w:p>
    <w:p w14:paraId="7B303358" w14:textId="77777777" w:rsidR="00383FE7" w:rsidRPr="00383FE7" w:rsidRDefault="00383FE7" w:rsidP="00383FE7">
      <w:pPr>
        <w:pStyle w:val="ListParagraph"/>
        <w:numPr>
          <w:ilvl w:val="0"/>
          <w:numId w:val="18"/>
        </w:numPr>
        <w:spacing w:after="60"/>
        <w:ind w:left="1134" w:hanging="567"/>
        <w:contextualSpacing w:val="0"/>
        <w:rPr>
          <w:rFonts w:ascii="Arial" w:hAnsi="Arial" w:cs="Arial"/>
          <w:szCs w:val="24"/>
        </w:rPr>
      </w:pPr>
      <w:r w:rsidRPr="00383FE7">
        <w:rPr>
          <w:rFonts w:ascii="Arial" w:hAnsi="Arial" w:cs="Arial"/>
          <w:szCs w:val="24"/>
        </w:rPr>
        <w:t>makes rights, liberties and/or obligations unduly dependent upon non reviewable decisions; or</w:t>
      </w:r>
    </w:p>
    <w:p w14:paraId="032EA604" w14:textId="77777777" w:rsidR="00383FE7" w:rsidRPr="00383FE7" w:rsidRDefault="00383FE7" w:rsidP="00383FE7">
      <w:pPr>
        <w:pStyle w:val="ListParagraph"/>
        <w:numPr>
          <w:ilvl w:val="0"/>
          <w:numId w:val="18"/>
        </w:numPr>
        <w:ind w:left="1134" w:hanging="567"/>
        <w:rPr>
          <w:rFonts w:ascii="Arial" w:hAnsi="Arial" w:cs="Arial"/>
          <w:szCs w:val="24"/>
        </w:rPr>
      </w:pPr>
      <w:r w:rsidRPr="00383FE7">
        <w:rPr>
          <w:rFonts w:ascii="Arial" w:hAnsi="Arial" w:cs="Arial"/>
          <w:szCs w:val="24"/>
        </w:rPr>
        <w:t>contains matter which in the opinion of the Committee should properly be dealt with in an Act of the Legislative Assembly.</w:t>
      </w:r>
    </w:p>
    <w:p w14:paraId="2FA3A26C" w14:textId="77777777" w:rsidR="00383FE7" w:rsidRPr="00383FE7" w:rsidRDefault="00383FE7" w:rsidP="00383FE7">
      <w:pPr>
        <w:rPr>
          <w:rFonts w:ascii="Arial" w:hAnsi="Arial" w:cs="Arial"/>
          <w:szCs w:val="24"/>
        </w:rPr>
      </w:pPr>
    </w:p>
    <w:p w14:paraId="339AE134" w14:textId="32AB4B43" w:rsidR="00383FE7" w:rsidRPr="00383FE7" w:rsidRDefault="00383FE7" w:rsidP="00383FE7">
      <w:pPr>
        <w:rPr>
          <w:rFonts w:ascii="Arial" w:hAnsi="Arial" w:cs="Arial"/>
          <w:szCs w:val="24"/>
        </w:rPr>
      </w:pPr>
      <w:r w:rsidRPr="00383FE7">
        <w:rPr>
          <w:rFonts w:ascii="Arial" w:hAnsi="Arial" w:cs="Arial"/>
          <w:szCs w:val="24"/>
        </w:rPr>
        <w:t>The Declaration is an instrument under the Legislation Act</w:t>
      </w:r>
      <w:r w:rsidRPr="00383FE7">
        <w:rPr>
          <w:rStyle w:val="FootnoteReference"/>
          <w:rFonts w:ascii="Arial" w:hAnsi="Arial" w:cs="Arial"/>
          <w:szCs w:val="24"/>
        </w:rPr>
        <w:footnoteReference w:id="1"/>
      </w:r>
      <w:r w:rsidRPr="00383FE7">
        <w:rPr>
          <w:rFonts w:ascii="Arial" w:hAnsi="Arial" w:cs="Arial"/>
          <w:szCs w:val="24"/>
        </w:rPr>
        <w:t xml:space="preserve"> which is subject to disallowance by the Assembly.</w:t>
      </w:r>
    </w:p>
    <w:p w14:paraId="57BE5BCF" w14:textId="77777777" w:rsidR="00383FE7" w:rsidRPr="00383FE7" w:rsidRDefault="00383FE7" w:rsidP="00383FE7">
      <w:pPr>
        <w:rPr>
          <w:rFonts w:ascii="Arial" w:hAnsi="Arial" w:cs="Arial"/>
          <w:szCs w:val="24"/>
        </w:rPr>
      </w:pPr>
    </w:p>
    <w:p w14:paraId="6A61497E" w14:textId="77777777" w:rsidR="004C16A2" w:rsidRDefault="00383FE7" w:rsidP="00383FE7">
      <w:pPr>
        <w:rPr>
          <w:rFonts w:ascii="Arial" w:hAnsi="Arial" w:cs="Arial"/>
          <w:szCs w:val="24"/>
        </w:rPr>
      </w:pPr>
      <w:r w:rsidRPr="00383FE7">
        <w:rPr>
          <w:rFonts w:ascii="Arial" w:hAnsi="Arial" w:cs="Arial"/>
          <w:szCs w:val="24"/>
        </w:rPr>
        <w:t xml:space="preserve">The Declaration is in accordance with the objectives under s 4 of the Act, and of particular relevance </w:t>
      </w:r>
      <w:r w:rsidR="004C16A2">
        <w:rPr>
          <w:rFonts w:ascii="Arial" w:hAnsi="Arial" w:cs="Arial"/>
          <w:szCs w:val="24"/>
        </w:rPr>
        <w:t xml:space="preserve">to </w:t>
      </w:r>
      <w:r w:rsidRPr="00383FE7">
        <w:rPr>
          <w:rFonts w:ascii="Arial" w:hAnsi="Arial" w:cs="Arial"/>
          <w:szCs w:val="24"/>
        </w:rPr>
        <w:t xml:space="preserve">s 4(c) of the Act in relation to the provision of a rapid response </w:t>
      </w:r>
      <w:r w:rsidRPr="00383FE7">
        <w:rPr>
          <w:rFonts w:ascii="Arial" w:hAnsi="Arial" w:cs="Arial"/>
          <w:szCs w:val="24"/>
        </w:rPr>
        <w:lastRenderedPageBreak/>
        <w:t>to public health risks. This is achieved through enabling Directions to be made under part 6C of the Act under which the objects include</w:t>
      </w:r>
      <w:r w:rsidR="004C16A2">
        <w:rPr>
          <w:rFonts w:ascii="Arial" w:hAnsi="Arial" w:cs="Arial"/>
          <w:szCs w:val="24"/>
        </w:rPr>
        <w:t>:</w:t>
      </w:r>
    </w:p>
    <w:p w14:paraId="7379168B" w14:textId="24FFBF24" w:rsidR="004C16A2" w:rsidRDefault="00383FE7" w:rsidP="004C16A2">
      <w:pPr>
        <w:pStyle w:val="ListParagraph"/>
        <w:numPr>
          <w:ilvl w:val="0"/>
          <w:numId w:val="20"/>
        </w:numPr>
        <w:rPr>
          <w:rFonts w:ascii="Arial" w:hAnsi="Arial" w:cs="Arial"/>
          <w:szCs w:val="24"/>
        </w:rPr>
      </w:pPr>
      <w:r w:rsidRPr="004C16A2">
        <w:rPr>
          <w:rFonts w:ascii="Arial" w:hAnsi="Arial" w:cs="Arial"/>
          <w:szCs w:val="24"/>
        </w:rPr>
        <w:t>protecting the public from risks to public health presented by COVID-19, which may not present an emergency</w:t>
      </w:r>
      <w:r w:rsidR="004C16A2">
        <w:rPr>
          <w:rFonts w:ascii="Arial" w:hAnsi="Arial" w:cs="Arial"/>
          <w:szCs w:val="24"/>
        </w:rPr>
        <w:t xml:space="preserve">, and </w:t>
      </w:r>
    </w:p>
    <w:p w14:paraId="3CD4FED3" w14:textId="7FF6E3DC" w:rsidR="00383FE7" w:rsidRPr="004C16A2" w:rsidRDefault="00383FE7" w:rsidP="004C16A2">
      <w:pPr>
        <w:pStyle w:val="ListParagraph"/>
        <w:numPr>
          <w:ilvl w:val="0"/>
          <w:numId w:val="20"/>
        </w:numPr>
        <w:rPr>
          <w:rFonts w:ascii="Arial" w:hAnsi="Arial" w:cs="Arial"/>
          <w:szCs w:val="24"/>
        </w:rPr>
      </w:pPr>
      <w:r w:rsidRPr="004C16A2">
        <w:rPr>
          <w:rFonts w:ascii="Arial" w:hAnsi="Arial" w:cs="Arial"/>
          <w:szCs w:val="24"/>
        </w:rPr>
        <w:t xml:space="preserve">to ensure that the Directions or Guidelines recognise and respect human rights and are consistent with human rights and subject only to reasonable limits that demonstrably justifiable in accordance with s 28 of the </w:t>
      </w:r>
      <w:r w:rsidRPr="004C16A2">
        <w:rPr>
          <w:rFonts w:ascii="Arial" w:hAnsi="Arial" w:cs="Arial"/>
          <w:i/>
          <w:iCs/>
          <w:szCs w:val="24"/>
        </w:rPr>
        <w:t>Human Rights Act 2004</w:t>
      </w:r>
      <w:r w:rsidRPr="004C16A2">
        <w:rPr>
          <w:rFonts w:ascii="Arial" w:hAnsi="Arial" w:cs="Arial"/>
          <w:szCs w:val="24"/>
        </w:rPr>
        <w:t xml:space="preserve">. </w:t>
      </w:r>
    </w:p>
    <w:p w14:paraId="5240AA56" w14:textId="77777777" w:rsidR="00383FE7" w:rsidRPr="00383FE7" w:rsidRDefault="00383FE7" w:rsidP="00383FE7">
      <w:pPr>
        <w:rPr>
          <w:rFonts w:ascii="Arial" w:hAnsi="Arial" w:cs="Arial"/>
          <w:szCs w:val="24"/>
        </w:rPr>
      </w:pPr>
    </w:p>
    <w:p w14:paraId="15D37C3D" w14:textId="23C2DD93" w:rsidR="00383FE7" w:rsidRPr="00383FE7" w:rsidRDefault="00383FE7" w:rsidP="00383FE7">
      <w:pPr>
        <w:rPr>
          <w:rFonts w:ascii="Arial" w:hAnsi="Arial" w:cs="Arial"/>
          <w:szCs w:val="24"/>
        </w:rPr>
      </w:pPr>
      <w:r w:rsidRPr="00383FE7">
        <w:rPr>
          <w:rFonts w:ascii="Arial" w:hAnsi="Arial" w:cs="Arial"/>
          <w:szCs w:val="24"/>
        </w:rPr>
        <w:t xml:space="preserve">The proposed instrument does not unduly trespass on rights previously established by law. It is acknowledged </w:t>
      </w:r>
      <w:r w:rsidR="004C16A2">
        <w:rPr>
          <w:rFonts w:ascii="Arial" w:hAnsi="Arial" w:cs="Arial"/>
          <w:szCs w:val="24"/>
        </w:rPr>
        <w:t xml:space="preserve">that </w:t>
      </w:r>
      <w:r w:rsidRPr="00383FE7">
        <w:rPr>
          <w:rFonts w:ascii="Arial" w:hAnsi="Arial" w:cs="Arial"/>
          <w:szCs w:val="24"/>
        </w:rPr>
        <w:t>the Declaration enables Directions which may be subject only to reasonable limitations on human rights where it is demonstrably justifiable. The Chief Health Officer provides expert advice and consult</w:t>
      </w:r>
      <w:r w:rsidR="00597DF1">
        <w:rPr>
          <w:rFonts w:ascii="Arial" w:hAnsi="Arial" w:cs="Arial"/>
          <w:szCs w:val="24"/>
        </w:rPr>
        <w:t>ation is required</w:t>
      </w:r>
      <w:r w:rsidRPr="00383FE7">
        <w:rPr>
          <w:rFonts w:ascii="Arial" w:hAnsi="Arial" w:cs="Arial"/>
          <w:szCs w:val="24"/>
        </w:rPr>
        <w:t xml:space="preserve"> with the ACT Human Rights Commissioner on the Directions made under part 6C of the Act. A detailed explanation of the Declaration’s consistency with human rights is provided in the accompanying </w:t>
      </w:r>
      <w:r w:rsidRPr="00383FE7">
        <w:rPr>
          <w:rFonts w:ascii="Arial" w:hAnsi="Arial" w:cs="Arial"/>
          <w:i/>
          <w:iCs/>
          <w:szCs w:val="24"/>
        </w:rPr>
        <w:t xml:space="preserve">Public Health (COVID-19 Management) Declaration </w:t>
      </w:r>
      <w:r w:rsidR="00F85365">
        <w:rPr>
          <w:rFonts w:ascii="Arial" w:hAnsi="Arial" w:cs="Arial"/>
          <w:i/>
          <w:iCs/>
          <w:szCs w:val="24"/>
        </w:rPr>
        <w:t xml:space="preserve">Extension </w:t>
      </w:r>
      <w:r w:rsidRPr="00383FE7">
        <w:rPr>
          <w:rFonts w:ascii="Arial" w:hAnsi="Arial" w:cs="Arial"/>
          <w:i/>
          <w:iCs/>
          <w:szCs w:val="24"/>
        </w:rPr>
        <w:t>2022 Explanatory Statement</w:t>
      </w:r>
      <w:r w:rsidRPr="00383FE7">
        <w:rPr>
          <w:rFonts w:ascii="Arial" w:hAnsi="Arial" w:cs="Arial"/>
          <w:szCs w:val="24"/>
        </w:rPr>
        <w:t xml:space="preserve">. </w:t>
      </w:r>
    </w:p>
    <w:p w14:paraId="6D51DF36" w14:textId="77777777" w:rsidR="00383FE7" w:rsidRPr="00383FE7" w:rsidRDefault="00383FE7" w:rsidP="00383FE7">
      <w:pPr>
        <w:rPr>
          <w:rFonts w:ascii="Arial" w:hAnsi="Arial" w:cs="Arial"/>
          <w:szCs w:val="24"/>
        </w:rPr>
      </w:pPr>
    </w:p>
    <w:p w14:paraId="6013BB6D" w14:textId="21EB05E2" w:rsidR="004C16A2" w:rsidRPr="00383FE7" w:rsidRDefault="00383FE7" w:rsidP="004C16A2">
      <w:pPr>
        <w:rPr>
          <w:rFonts w:ascii="Arial" w:hAnsi="Arial" w:cs="Arial"/>
          <w:szCs w:val="24"/>
        </w:rPr>
      </w:pPr>
      <w:r w:rsidRPr="00383FE7">
        <w:rPr>
          <w:rFonts w:ascii="Arial" w:hAnsi="Arial" w:cs="Arial"/>
          <w:szCs w:val="24"/>
        </w:rPr>
        <w:t xml:space="preserve">The Declaration does not make rights, liberties and/or obligations unduly dependent upon non-reviewable decisions. The Directions that may be made where the Declaration is in force are subject to Division 6C.6 (Exemptions) whereby an individual may seek exemption from a Direction on stated grounds. Exemption decisions for Ministerial and Chief Health Officer directions are subject to review in accordance with part 6C of the Act. </w:t>
      </w:r>
      <w:r w:rsidR="004C16A2">
        <w:rPr>
          <w:rFonts w:ascii="Arial" w:hAnsi="Arial" w:cs="Arial"/>
          <w:szCs w:val="24"/>
        </w:rPr>
        <w:t>A</w:t>
      </w:r>
      <w:r w:rsidR="004C16A2" w:rsidRPr="00383FE7">
        <w:rPr>
          <w:rFonts w:ascii="Arial" w:hAnsi="Arial" w:cs="Arial"/>
          <w:szCs w:val="24"/>
        </w:rPr>
        <w:t xml:space="preserve"> </w:t>
      </w:r>
      <w:r w:rsidR="004C16A2">
        <w:rPr>
          <w:rFonts w:ascii="Arial" w:hAnsi="Arial" w:cs="Arial"/>
          <w:szCs w:val="24"/>
        </w:rPr>
        <w:t>Vaccination Direction would be</w:t>
      </w:r>
      <w:r w:rsidR="004C16A2" w:rsidRPr="00383FE7">
        <w:rPr>
          <w:rFonts w:ascii="Arial" w:hAnsi="Arial" w:cs="Arial"/>
          <w:szCs w:val="24"/>
        </w:rPr>
        <w:t xml:space="preserve"> an instrument under the Legislation Act</w:t>
      </w:r>
      <w:r w:rsidR="004C16A2" w:rsidRPr="00383FE7">
        <w:rPr>
          <w:rStyle w:val="FootnoteReference"/>
          <w:rFonts w:ascii="Arial" w:hAnsi="Arial" w:cs="Arial"/>
          <w:szCs w:val="24"/>
        </w:rPr>
        <w:footnoteReference w:id="2"/>
      </w:r>
      <w:r w:rsidR="004C16A2" w:rsidRPr="00383FE7">
        <w:rPr>
          <w:rFonts w:ascii="Arial" w:hAnsi="Arial" w:cs="Arial"/>
          <w:szCs w:val="24"/>
        </w:rPr>
        <w:t xml:space="preserve"> which is subject to disallowance by the Assembly.</w:t>
      </w:r>
    </w:p>
    <w:p w14:paraId="3B923761" w14:textId="05381B22" w:rsidR="00383FE7" w:rsidRPr="00383FE7" w:rsidRDefault="00383FE7" w:rsidP="00383FE7">
      <w:pPr>
        <w:rPr>
          <w:rFonts w:ascii="Arial" w:hAnsi="Arial" w:cs="Arial"/>
          <w:szCs w:val="24"/>
        </w:rPr>
      </w:pPr>
      <w:r w:rsidRPr="00383FE7">
        <w:rPr>
          <w:rFonts w:ascii="Arial" w:hAnsi="Arial" w:cs="Arial"/>
          <w:szCs w:val="24"/>
        </w:rPr>
        <w:t xml:space="preserve">   </w:t>
      </w:r>
    </w:p>
    <w:p w14:paraId="736369C3" w14:textId="3AEE03FA" w:rsidR="00383FE7" w:rsidRPr="00B20B0F" w:rsidRDefault="00383FE7" w:rsidP="00383FE7">
      <w:pPr>
        <w:rPr>
          <w:rFonts w:ascii="Arial" w:hAnsi="Arial" w:cs="Arial"/>
          <w:szCs w:val="24"/>
        </w:rPr>
      </w:pPr>
      <w:r w:rsidRPr="00383FE7">
        <w:rPr>
          <w:rFonts w:ascii="Arial" w:hAnsi="Arial" w:cs="Arial"/>
          <w:szCs w:val="24"/>
        </w:rPr>
        <w:t xml:space="preserve">The making of a Declaration cannot be dealt </w:t>
      </w:r>
      <w:r w:rsidR="00597DF1" w:rsidRPr="00383FE7">
        <w:rPr>
          <w:rFonts w:ascii="Arial" w:hAnsi="Arial" w:cs="Arial"/>
          <w:szCs w:val="24"/>
        </w:rPr>
        <w:t>with in</w:t>
      </w:r>
      <w:r w:rsidRPr="00383FE7">
        <w:rPr>
          <w:rFonts w:ascii="Arial" w:hAnsi="Arial" w:cs="Arial"/>
          <w:szCs w:val="24"/>
        </w:rPr>
        <w:t xml:space="preserve"> an Act of Legislative Assembly and is appropriately subject to legislative provisions governing the making of the Declaration, including that the Executive may make the Declaration taking into consideration stated matters in s 118O of the Act. </w:t>
      </w:r>
      <w:r w:rsidR="00684EA3">
        <w:rPr>
          <w:rFonts w:ascii="Arial" w:hAnsi="Arial" w:cs="Arial"/>
          <w:szCs w:val="24"/>
        </w:rPr>
        <w:t>T</w:t>
      </w:r>
      <w:r w:rsidRPr="00383FE7">
        <w:rPr>
          <w:rFonts w:ascii="Arial" w:hAnsi="Arial" w:cs="Arial"/>
          <w:szCs w:val="24"/>
        </w:rPr>
        <w:t>he Explanatory Statement</w:t>
      </w:r>
      <w:r w:rsidR="00597DF1">
        <w:rPr>
          <w:rFonts w:ascii="Arial" w:hAnsi="Arial" w:cs="Arial"/>
          <w:szCs w:val="24"/>
        </w:rPr>
        <w:t xml:space="preserve"> for the </w:t>
      </w:r>
      <w:r w:rsidRPr="00383FE7">
        <w:rPr>
          <w:rFonts w:ascii="Arial" w:hAnsi="Arial" w:cs="Arial"/>
          <w:szCs w:val="24"/>
        </w:rPr>
        <w:t xml:space="preserve"> Public Health Amendment Bill 2021 (No.2</w:t>
      </w:r>
      <w:r w:rsidRPr="00684EA3">
        <w:rPr>
          <w:rFonts w:ascii="Arial" w:hAnsi="Arial" w:cs="Arial"/>
          <w:szCs w:val="24"/>
        </w:rPr>
        <w:t>)</w:t>
      </w:r>
      <w:r w:rsidR="00684EA3">
        <w:rPr>
          <w:rFonts w:ascii="Arial" w:hAnsi="Arial" w:cs="Arial"/>
          <w:szCs w:val="24"/>
        </w:rPr>
        <w:t>,</w:t>
      </w:r>
      <w:r w:rsidRPr="00684EA3">
        <w:rPr>
          <w:rFonts w:ascii="Arial" w:hAnsi="Arial" w:cs="Arial"/>
          <w:szCs w:val="24"/>
        </w:rPr>
        <w:t xml:space="preserve"> together with the</w:t>
      </w:r>
      <w:r w:rsidRPr="00383FE7">
        <w:rPr>
          <w:rFonts w:ascii="Arial" w:hAnsi="Arial" w:cs="Arial"/>
          <w:i/>
          <w:iCs/>
          <w:szCs w:val="24"/>
        </w:rPr>
        <w:t xml:space="preserve"> </w:t>
      </w:r>
      <w:r w:rsidRPr="00383FE7">
        <w:rPr>
          <w:rFonts w:ascii="Arial" w:hAnsi="Arial" w:cs="Arial"/>
          <w:szCs w:val="24"/>
        </w:rPr>
        <w:t>Human Rights Compatibility Statement</w:t>
      </w:r>
      <w:r w:rsidR="00597DF1">
        <w:rPr>
          <w:rFonts w:ascii="Arial" w:hAnsi="Arial" w:cs="Arial"/>
          <w:szCs w:val="24"/>
        </w:rPr>
        <w:t>,</w:t>
      </w:r>
      <w:r w:rsidRPr="00383FE7">
        <w:rPr>
          <w:rFonts w:ascii="Arial" w:hAnsi="Arial" w:cs="Arial"/>
          <w:szCs w:val="24"/>
        </w:rPr>
        <w:t xml:space="preserve"> provide further information on the rationale for part 6C of the Act</w:t>
      </w:r>
      <w:r w:rsidRPr="00383FE7">
        <w:rPr>
          <w:rFonts w:ascii="Arial" w:hAnsi="Arial" w:cs="Arial"/>
          <w:i/>
          <w:iCs/>
          <w:szCs w:val="24"/>
        </w:rPr>
        <w:t xml:space="preserve">. </w:t>
      </w:r>
      <w:r>
        <w:rPr>
          <w:rFonts w:ascii="Arial" w:hAnsi="Arial" w:cs="Arial"/>
          <w:szCs w:val="24"/>
        </w:rPr>
        <w:t xml:space="preserve"> </w:t>
      </w:r>
    </w:p>
    <w:p w14:paraId="7149AF2E" w14:textId="77777777" w:rsidR="00AE2F6B" w:rsidRPr="00AE2F6B" w:rsidRDefault="00AE2F6B" w:rsidP="005D3991">
      <w:pPr>
        <w:rPr>
          <w:rFonts w:ascii="Arial" w:hAnsi="Arial" w:cs="Arial"/>
          <w:szCs w:val="24"/>
        </w:rPr>
      </w:pPr>
    </w:p>
    <w:p w14:paraId="7CE3C518" w14:textId="79EDE502" w:rsidR="005D3991" w:rsidRDefault="00FA4E6F" w:rsidP="005D3991">
      <w:pPr>
        <w:rPr>
          <w:rFonts w:ascii="Arial Rounded MT Bold" w:hAnsi="Arial Rounded MT Bold"/>
          <w:sz w:val="28"/>
          <w:szCs w:val="28"/>
        </w:rPr>
      </w:pPr>
      <w:r w:rsidRPr="00895CE5">
        <w:rPr>
          <w:rFonts w:ascii="Arial Rounded MT Bold" w:hAnsi="Arial Rounded MT Bold"/>
          <w:sz w:val="28"/>
          <w:szCs w:val="28"/>
        </w:rPr>
        <w:t>Recommendations</w:t>
      </w:r>
    </w:p>
    <w:p w14:paraId="48ED4B02" w14:textId="77777777" w:rsidR="00523E8B" w:rsidRDefault="00523E8B" w:rsidP="005B71E8">
      <w:pPr>
        <w:rPr>
          <w:rFonts w:ascii="Arial" w:hAnsi="Arial" w:cs="Arial"/>
          <w:szCs w:val="24"/>
        </w:rPr>
      </w:pPr>
    </w:p>
    <w:p w14:paraId="490D1D68" w14:textId="72DC0228" w:rsidR="005B71E8" w:rsidRPr="001E565F" w:rsidRDefault="0004336F" w:rsidP="005B71E8">
      <w:pPr>
        <w:rPr>
          <w:rFonts w:ascii="Arial" w:hAnsi="Arial" w:cs="Arial"/>
          <w:szCs w:val="24"/>
        </w:rPr>
      </w:pPr>
      <w:r>
        <w:rPr>
          <w:rFonts w:ascii="Arial" w:hAnsi="Arial" w:cs="Arial"/>
          <w:szCs w:val="24"/>
        </w:rPr>
        <w:t>O</w:t>
      </w:r>
      <w:r w:rsidR="00085BC6" w:rsidRPr="001E565F">
        <w:rPr>
          <w:rFonts w:ascii="Arial" w:hAnsi="Arial" w:cs="Arial"/>
          <w:szCs w:val="24"/>
        </w:rPr>
        <w:t xml:space="preserve">ption </w:t>
      </w:r>
      <w:r w:rsidR="00CD2C27">
        <w:rPr>
          <w:rFonts w:ascii="Arial" w:hAnsi="Arial" w:cs="Arial"/>
          <w:szCs w:val="24"/>
        </w:rPr>
        <w:t>2</w:t>
      </w:r>
      <w:r w:rsidR="00CD2C27" w:rsidRPr="001E565F">
        <w:rPr>
          <w:rFonts w:ascii="Arial" w:hAnsi="Arial" w:cs="Arial"/>
          <w:szCs w:val="24"/>
        </w:rPr>
        <w:t xml:space="preserve"> </w:t>
      </w:r>
      <w:r>
        <w:rPr>
          <w:rFonts w:ascii="Arial" w:hAnsi="Arial" w:cs="Arial"/>
          <w:szCs w:val="24"/>
        </w:rPr>
        <w:t>is recommended</w:t>
      </w:r>
      <w:r w:rsidR="00F07275">
        <w:rPr>
          <w:rFonts w:ascii="Arial" w:hAnsi="Arial" w:cs="Arial"/>
          <w:szCs w:val="24"/>
        </w:rPr>
        <w:t xml:space="preserve">. </w:t>
      </w:r>
    </w:p>
    <w:p w14:paraId="79109221" w14:textId="0BC3070F" w:rsidR="00CE4A8C" w:rsidRPr="001E565F" w:rsidRDefault="00CE4A8C" w:rsidP="005B71E8">
      <w:pPr>
        <w:rPr>
          <w:rFonts w:ascii="Arial" w:hAnsi="Arial" w:cs="Arial"/>
          <w:szCs w:val="24"/>
        </w:rPr>
      </w:pPr>
    </w:p>
    <w:p w14:paraId="5F60E4B9" w14:textId="675D53A5" w:rsidR="00A838E0" w:rsidRDefault="00A838E0" w:rsidP="005B71E8">
      <w:pPr>
        <w:rPr>
          <w:rFonts w:ascii="Arial" w:hAnsi="Arial" w:cs="Arial"/>
          <w:szCs w:val="24"/>
        </w:rPr>
      </w:pPr>
      <w:r>
        <w:rPr>
          <w:rFonts w:ascii="Arial" w:hAnsi="Arial" w:cs="Arial"/>
          <w:szCs w:val="24"/>
        </w:rPr>
        <w:t xml:space="preserve">Option </w:t>
      </w:r>
      <w:r w:rsidR="00CD2C27">
        <w:rPr>
          <w:rFonts w:ascii="Arial" w:hAnsi="Arial" w:cs="Arial"/>
          <w:szCs w:val="24"/>
        </w:rPr>
        <w:t xml:space="preserve">2 </w:t>
      </w:r>
      <w:r>
        <w:rPr>
          <w:rFonts w:ascii="Arial" w:hAnsi="Arial" w:cs="Arial"/>
          <w:szCs w:val="24"/>
        </w:rPr>
        <w:t>enables the ACT Government to continue to manage the pandemic</w:t>
      </w:r>
      <w:r w:rsidR="00CD2C27">
        <w:rPr>
          <w:rFonts w:ascii="Arial" w:hAnsi="Arial" w:cs="Arial"/>
          <w:szCs w:val="24"/>
        </w:rPr>
        <w:t xml:space="preserve">, noting that the COVID-19 response continues to transition to </w:t>
      </w:r>
      <w:r w:rsidR="00CD2C27">
        <w:rPr>
          <w:rFonts w:ascii="Arial" w:hAnsi="Arial" w:cs="Arial"/>
        </w:rPr>
        <w:t>the endemic management of COVID-19, similar to other notifiable diseases</w:t>
      </w:r>
      <w:r w:rsidR="00CD2C27">
        <w:rPr>
          <w:rFonts w:ascii="Arial" w:hAnsi="Arial" w:cs="Arial"/>
          <w:szCs w:val="24"/>
        </w:rPr>
        <w:t xml:space="preserve">.  It provides for an ability to quickly and efficiently respond to deterioration </w:t>
      </w:r>
      <w:r w:rsidR="00122017">
        <w:rPr>
          <w:rFonts w:ascii="Arial" w:hAnsi="Arial" w:cs="Arial"/>
          <w:szCs w:val="24"/>
        </w:rPr>
        <w:t xml:space="preserve">in </w:t>
      </w:r>
      <w:r w:rsidR="00CD2C27">
        <w:rPr>
          <w:rFonts w:ascii="Arial" w:hAnsi="Arial" w:cs="Arial"/>
          <w:szCs w:val="24"/>
        </w:rPr>
        <w:t xml:space="preserve">the epidemiological situation, if required. </w:t>
      </w:r>
    </w:p>
    <w:p w14:paraId="74E192C1" w14:textId="0FAA7F23" w:rsidR="00CD2C27" w:rsidRDefault="00CD2C27" w:rsidP="005B71E8">
      <w:pPr>
        <w:rPr>
          <w:rFonts w:ascii="Arial" w:hAnsi="Arial" w:cs="Arial"/>
          <w:szCs w:val="24"/>
        </w:rPr>
      </w:pPr>
    </w:p>
    <w:p w14:paraId="53F282B8" w14:textId="5B01BEA6" w:rsidR="00CE4A8C" w:rsidRDefault="002C6660" w:rsidP="005B71E8">
      <w:pPr>
        <w:rPr>
          <w:rFonts w:ascii="Arial" w:hAnsi="Arial" w:cs="Arial"/>
          <w:bCs/>
          <w:color w:val="000000"/>
          <w:szCs w:val="24"/>
          <w:lang w:eastAsia="en-AU"/>
        </w:rPr>
      </w:pPr>
      <w:r>
        <w:rPr>
          <w:rFonts w:ascii="Arial" w:hAnsi="Arial" w:cs="Arial"/>
          <w:bCs/>
          <w:color w:val="000000"/>
          <w:szCs w:val="24"/>
          <w:lang w:eastAsia="en-AU"/>
        </w:rPr>
        <w:t>A Declaration</w:t>
      </w:r>
      <w:r w:rsidR="00AC6701">
        <w:rPr>
          <w:rFonts w:ascii="Arial" w:hAnsi="Arial" w:cs="Arial"/>
          <w:bCs/>
          <w:color w:val="000000"/>
          <w:szCs w:val="24"/>
          <w:lang w:eastAsia="en-AU"/>
        </w:rPr>
        <w:t xml:space="preserve"> </w:t>
      </w:r>
      <w:r w:rsidR="00715861" w:rsidRPr="001E565F">
        <w:rPr>
          <w:rFonts w:ascii="Arial" w:hAnsi="Arial" w:cs="Arial"/>
          <w:bCs/>
          <w:color w:val="000000"/>
          <w:szCs w:val="24"/>
          <w:lang w:eastAsia="en-AU"/>
        </w:rPr>
        <w:t>provides the least restrictive legislative framework to meet the objectives of preserving the human right to life</w:t>
      </w:r>
      <w:r>
        <w:rPr>
          <w:rFonts w:ascii="Arial" w:hAnsi="Arial" w:cs="Arial"/>
          <w:bCs/>
          <w:color w:val="000000"/>
          <w:szCs w:val="24"/>
          <w:lang w:eastAsia="en-AU"/>
        </w:rPr>
        <w:t xml:space="preserve">, as it creates an environment where targeted Directions can be </w:t>
      </w:r>
      <w:r w:rsidR="00A92CB0">
        <w:rPr>
          <w:rFonts w:ascii="Arial" w:hAnsi="Arial" w:cs="Arial"/>
          <w:bCs/>
          <w:color w:val="000000"/>
          <w:szCs w:val="24"/>
          <w:lang w:eastAsia="en-AU"/>
        </w:rPr>
        <w:t xml:space="preserve">made </w:t>
      </w:r>
      <w:r>
        <w:rPr>
          <w:rFonts w:ascii="Arial" w:hAnsi="Arial" w:cs="Arial"/>
          <w:bCs/>
          <w:color w:val="000000"/>
          <w:szCs w:val="24"/>
          <w:lang w:eastAsia="en-AU"/>
        </w:rPr>
        <w:t>and revoked by the Executive, Minister for Health and Chief Health Officer in a timely manner in response to the evolving COVID-19 situation</w:t>
      </w:r>
      <w:r w:rsidR="00715861" w:rsidRPr="001E565F">
        <w:rPr>
          <w:rFonts w:ascii="Arial" w:hAnsi="Arial" w:cs="Arial"/>
          <w:bCs/>
          <w:color w:val="000000"/>
          <w:szCs w:val="24"/>
          <w:lang w:eastAsia="en-AU"/>
        </w:rPr>
        <w:t xml:space="preserve">. </w:t>
      </w:r>
    </w:p>
    <w:p w14:paraId="392428C9" w14:textId="08E5E091" w:rsidR="009A1C5D" w:rsidRPr="001E565F" w:rsidRDefault="002C6660" w:rsidP="002C6660">
      <w:pPr>
        <w:autoSpaceDE w:val="0"/>
        <w:autoSpaceDN w:val="0"/>
        <w:adjustRightInd w:val="0"/>
        <w:spacing w:before="240"/>
        <w:rPr>
          <w:rFonts w:ascii="Arial" w:hAnsi="Arial" w:cs="Arial"/>
          <w:b/>
          <w:szCs w:val="24"/>
        </w:rPr>
      </w:pPr>
      <w:r>
        <w:rPr>
          <w:rFonts w:ascii="Arial" w:hAnsi="Arial" w:cs="Arial"/>
          <w:szCs w:val="24"/>
        </w:rPr>
        <w:lastRenderedPageBreak/>
        <w:t>Directions enable the implementation of TTIQ,</w:t>
      </w:r>
      <w:r w:rsidR="009A1C5D">
        <w:rPr>
          <w:rFonts w:ascii="Arial" w:hAnsi="Arial" w:cs="Arial"/>
          <w:szCs w:val="24"/>
        </w:rPr>
        <w:t xml:space="preserve"> </w:t>
      </w:r>
      <w:r w:rsidR="001D20DB">
        <w:rPr>
          <w:rFonts w:ascii="Arial" w:hAnsi="Arial" w:cs="Arial"/>
          <w:szCs w:val="24"/>
        </w:rPr>
        <w:t>PHSM</w:t>
      </w:r>
      <w:r w:rsidR="009A1C5D">
        <w:rPr>
          <w:rFonts w:ascii="Arial" w:hAnsi="Arial" w:cs="Arial"/>
          <w:szCs w:val="24"/>
        </w:rPr>
        <w:t xml:space="preserve"> </w:t>
      </w:r>
      <w:r>
        <w:rPr>
          <w:rFonts w:ascii="Arial" w:hAnsi="Arial" w:cs="Arial"/>
          <w:szCs w:val="24"/>
        </w:rPr>
        <w:t xml:space="preserve">and vaccination requirements that are consistent with the National Plan and surrounding jurisdictional efforts to manage COVID-19. This creates greater certainty for individuals and businesses (particularly when operating across jurisdictional boundaries) and enables the ACT to respond to COVID-19 in a manner that is Nationally coordinated, yet appropriate to our specific context. </w:t>
      </w:r>
    </w:p>
    <w:p w14:paraId="7B94560A" w14:textId="1669F1F8" w:rsidR="00FA4E6F" w:rsidRDefault="00FA4E6F" w:rsidP="005A6B98">
      <w:pPr>
        <w:autoSpaceDE w:val="0"/>
        <w:autoSpaceDN w:val="0"/>
        <w:adjustRightInd w:val="0"/>
        <w:rPr>
          <w:rFonts w:ascii="Arial" w:hAnsi="Arial" w:cs="Arial"/>
          <w:szCs w:val="24"/>
          <w:lang w:eastAsia="en-AU"/>
        </w:rPr>
      </w:pPr>
    </w:p>
    <w:p w14:paraId="797469E4" w14:textId="77777777" w:rsidR="00523E8B" w:rsidRPr="00455EE9" w:rsidRDefault="00523E8B" w:rsidP="005A6B98">
      <w:pPr>
        <w:autoSpaceDE w:val="0"/>
        <w:autoSpaceDN w:val="0"/>
        <w:adjustRightInd w:val="0"/>
        <w:rPr>
          <w:rFonts w:ascii="Arial" w:hAnsi="Arial" w:cs="Arial"/>
          <w:szCs w:val="24"/>
          <w:lang w:eastAsia="en-AU"/>
        </w:rPr>
      </w:pPr>
    </w:p>
    <w:p w14:paraId="06A45C3C" w14:textId="77777777" w:rsidR="00CC45A2" w:rsidRDefault="00CC45A2" w:rsidP="00CC45A2">
      <w:pPr>
        <w:rPr>
          <w:rFonts w:ascii="Arial Rounded MT Bold" w:hAnsi="Arial Rounded MT Bold" w:cs="Helvetica"/>
          <w:sz w:val="28"/>
          <w:szCs w:val="28"/>
          <w:lang w:eastAsia="en-AU"/>
        </w:rPr>
      </w:pPr>
      <w:r w:rsidRPr="000121B5">
        <w:rPr>
          <w:rFonts w:ascii="Arial Rounded MT Bold" w:hAnsi="Arial Rounded MT Bold" w:cs="Helvetica"/>
          <w:sz w:val="28"/>
          <w:szCs w:val="28"/>
          <w:lang w:eastAsia="en-AU"/>
        </w:rPr>
        <w:t>Consultation statement</w:t>
      </w:r>
    </w:p>
    <w:p w14:paraId="077F7E89" w14:textId="209E6B5F" w:rsidR="0015515F" w:rsidRDefault="00955C5E" w:rsidP="005D3991">
      <w:pPr>
        <w:rPr>
          <w:rFonts w:ascii="Arial" w:hAnsi="Arial" w:cs="Arial"/>
          <w:szCs w:val="24"/>
        </w:rPr>
      </w:pPr>
      <w:r>
        <w:rPr>
          <w:rFonts w:ascii="Arial" w:hAnsi="Arial" w:cs="Arial"/>
          <w:szCs w:val="24"/>
          <w:lang w:eastAsia="en-AU"/>
        </w:rPr>
        <w:t xml:space="preserve">This recommendation was made </w:t>
      </w:r>
      <w:r w:rsidR="0002566A">
        <w:rPr>
          <w:rFonts w:ascii="Arial" w:hAnsi="Arial" w:cs="Arial"/>
          <w:szCs w:val="24"/>
          <w:lang w:eastAsia="en-AU"/>
        </w:rPr>
        <w:t xml:space="preserve">having considered </w:t>
      </w:r>
      <w:r w:rsidR="0015515F">
        <w:rPr>
          <w:rFonts w:ascii="Arial" w:hAnsi="Arial" w:cs="Arial"/>
          <w:szCs w:val="24"/>
          <w:lang w:eastAsia="en-AU"/>
        </w:rPr>
        <w:t xml:space="preserve">the advice of </w:t>
      </w:r>
      <w:r w:rsidR="000121B5" w:rsidRPr="001E565F">
        <w:rPr>
          <w:rFonts w:ascii="Arial" w:hAnsi="Arial" w:cs="Arial"/>
          <w:szCs w:val="24"/>
        </w:rPr>
        <w:t xml:space="preserve">the </w:t>
      </w:r>
      <w:r>
        <w:rPr>
          <w:rFonts w:ascii="Arial" w:hAnsi="Arial" w:cs="Arial"/>
          <w:szCs w:val="24"/>
        </w:rPr>
        <w:t>Chief Health Officer</w:t>
      </w:r>
      <w:r w:rsidR="00144807">
        <w:rPr>
          <w:rFonts w:ascii="Arial" w:hAnsi="Arial" w:cs="Arial"/>
          <w:szCs w:val="24"/>
        </w:rPr>
        <w:t xml:space="preserve">.  </w:t>
      </w:r>
    </w:p>
    <w:p w14:paraId="6B217303" w14:textId="77777777" w:rsidR="0015515F" w:rsidRDefault="0015515F" w:rsidP="005D3991">
      <w:pPr>
        <w:rPr>
          <w:rFonts w:ascii="Arial" w:hAnsi="Arial" w:cs="Arial"/>
          <w:szCs w:val="24"/>
        </w:rPr>
      </w:pPr>
    </w:p>
    <w:p w14:paraId="5988AEA1" w14:textId="63678E4B" w:rsidR="00E13FDA" w:rsidRPr="001E565F" w:rsidRDefault="00144807" w:rsidP="005D3991">
      <w:pPr>
        <w:rPr>
          <w:rFonts w:ascii="Arial" w:hAnsi="Arial" w:cs="Arial"/>
          <w:szCs w:val="24"/>
          <w:lang w:eastAsia="en-AU"/>
        </w:rPr>
      </w:pPr>
      <w:r>
        <w:rPr>
          <w:rFonts w:ascii="Arial" w:hAnsi="Arial" w:cs="Arial"/>
          <w:szCs w:val="24"/>
        </w:rPr>
        <w:t>T</w:t>
      </w:r>
      <w:r w:rsidR="00955C5E">
        <w:rPr>
          <w:rFonts w:ascii="Arial" w:hAnsi="Arial" w:cs="Arial"/>
          <w:szCs w:val="24"/>
        </w:rPr>
        <w:t xml:space="preserve">he ACT Human Rights Commission </w:t>
      </w:r>
      <w:r w:rsidR="00955C5E" w:rsidRPr="002347E9">
        <w:rPr>
          <w:rFonts w:ascii="Arial" w:hAnsi="Arial" w:cs="Arial"/>
          <w:szCs w:val="24"/>
        </w:rPr>
        <w:t xml:space="preserve">and </w:t>
      </w:r>
      <w:r w:rsidR="000121B5" w:rsidRPr="002347E9">
        <w:rPr>
          <w:rFonts w:ascii="Arial" w:hAnsi="Arial" w:cs="Arial"/>
          <w:szCs w:val="24"/>
        </w:rPr>
        <w:t>Justice and Community Safety Directorate</w:t>
      </w:r>
      <w:r w:rsidRPr="002347E9">
        <w:rPr>
          <w:rFonts w:ascii="Arial" w:hAnsi="Arial" w:cs="Arial"/>
          <w:szCs w:val="24"/>
        </w:rPr>
        <w:t xml:space="preserve"> have</w:t>
      </w:r>
      <w:r>
        <w:rPr>
          <w:rFonts w:ascii="Arial" w:hAnsi="Arial" w:cs="Arial"/>
          <w:szCs w:val="24"/>
        </w:rPr>
        <w:t xml:space="preserve"> been consulted in relation to making of Public Health Management Directions</w:t>
      </w:r>
      <w:r w:rsidR="002347E9">
        <w:rPr>
          <w:rFonts w:ascii="Arial" w:hAnsi="Arial" w:cs="Arial"/>
          <w:szCs w:val="24"/>
        </w:rPr>
        <w:t xml:space="preserve"> and their </w:t>
      </w:r>
      <w:r w:rsidR="00A47A81">
        <w:rPr>
          <w:rFonts w:ascii="Arial" w:hAnsi="Arial" w:cs="Arial"/>
          <w:szCs w:val="24"/>
        </w:rPr>
        <w:t>supporting</w:t>
      </w:r>
      <w:r w:rsidR="002347E9">
        <w:rPr>
          <w:rFonts w:ascii="Arial" w:hAnsi="Arial" w:cs="Arial"/>
          <w:szCs w:val="24"/>
        </w:rPr>
        <w:t xml:space="preserve"> documents</w:t>
      </w:r>
      <w:r w:rsidR="000121B5" w:rsidRPr="001E565F">
        <w:rPr>
          <w:rFonts w:ascii="Arial" w:hAnsi="Arial" w:cs="Arial"/>
          <w:szCs w:val="24"/>
        </w:rPr>
        <w:t>.</w:t>
      </w:r>
    </w:p>
    <w:sectPr w:rsidR="00E13FDA" w:rsidRPr="001E565F" w:rsidSect="00540CE3">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48FE" w14:textId="77777777" w:rsidR="00134DC8" w:rsidRDefault="00134DC8">
      <w:r>
        <w:separator/>
      </w:r>
    </w:p>
  </w:endnote>
  <w:endnote w:type="continuationSeparator" w:id="0">
    <w:p w14:paraId="7C4E36D9" w14:textId="77777777" w:rsidR="00134DC8" w:rsidRDefault="0013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1D91" w14:textId="77777777" w:rsidR="00F445CB" w:rsidRDefault="00F445CB" w:rsidP="00C97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CB02D06" w14:textId="77777777" w:rsidR="00F445CB" w:rsidRDefault="00F445CB" w:rsidP="00BD5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CCE1" w14:textId="77777777" w:rsidR="00F445CB" w:rsidRDefault="00F445CB" w:rsidP="00C97C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C2B">
      <w:rPr>
        <w:rStyle w:val="PageNumber"/>
        <w:noProof/>
      </w:rPr>
      <w:t>4</w:t>
    </w:r>
    <w:r>
      <w:rPr>
        <w:rStyle w:val="PageNumber"/>
      </w:rPr>
      <w:fldChar w:fldCharType="end"/>
    </w:r>
  </w:p>
  <w:p w14:paraId="6B2DC926" w14:textId="21479CCB" w:rsidR="00F445CB" w:rsidRPr="00A67AD6" w:rsidRDefault="00A67AD6" w:rsidP="00A67AD6">
    <w:pPr>
      <w:pStyle w:val="Footer"/>
      <w:ind w:right="360"/>
      <w:jc w:val="center"/>
      <w:rPr>
        <w:rFonts w:ascii="Arial" w:hAnsi="Arial" w:cs="Arial"/>
        <w:sz w:val="14"/>
        <w:szCs w:val="14"/>
      </w:rPr>
    </w:pPr>
    <w:r w:rsidRPr="00A67AD6">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57BD" w14:textId="77777777" w:rsidR="00A67AD6" w:rsidRDefault="00A6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4EB0" w14:textId="77777777" w:rsidR="00134DC8" w:rsidRDefault="00134DC8">
      <w:r>
        <w:separator/>
      </w:r>
    </w:p>
  </w:footnote>
  <w:footnote w:type="continuationSeparator" w:id="0">
    <w:p w14:paraId="6BB5A89B" w14:textId="77777777" w:rsidR="00134DC8" w:rsidRDefault="00134DC8">
      <w:r>
        <w:continuationSeparator/>
      </w:r>
    </w:p>
  </w:footnote>
  <w:footnote w:id="1">
    <w:p w14:paraId="47DD62C3" w14:textId="77777777" w:rsidR="00383FE7" w:rsidRPr="007039FD" w:rsidRDefault="00383FE7" w:rsidP="00383FE7">
      <w:pPr>
        <w:pStyle w:val="FootnoteText"/>
      </w:pPr>
      <w:r>
        <w:rPr>
          <w:rStyle w:val="FootnoteReference"/>
        </w:rPr>
        <w:footnoteRef/>
      </w:r>
      <w:r>
        <w:t xml:space="preserve"> See </w:t>
      </w:r>
      <w:r>
        <w:rPr>
          <w:i/>
          <w:iCs/>
        </w:rPr>
        <w:t>Legislation Act 2001</w:t>
      </w:r>
      <w:r>
        <w:t xml:space="preserve"> (ACT), s 14.</w:t>
      </w:r>
    </w:p>
  </w:footnote>
  <w:footnote w:id="2">
    <w:p w14:paraId="4FE538DC" w14:textId="77777777" w:rsidR="004C16A2" w:rsidRPr="007039FD" w:rsidRDefault="004C16A2" w:rsidP="004C16A2">
      <w:pPr>
        <w:pStyle w:val="FootnoteText"/>
      </w:pPr>
      <w:r>
        <w:rPr>
          <w:rStyle w:val="FootnoteReference"/>
        </w:rPr>
        <w:footnoteRef/>
      </w:r>
      <w:r>
        <w:t xml:space="preserve"> See </w:t>
      </w:r>
      <w:r>
        <w:rPr>
          <w:i/>
          <w:iCs/>
        </w:rPr>
        <w:t>Legislation Act 2001</w:t>
      </w:r>
      <w:r>
        <w:t xml:space="preserve"> (ACT), s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A5DC" w14:textId="55C56024" w:rsidR="00FA4395" w:rsidRDefault="00FA4395">
    <w:pPr>
      <w:pStyle w:val="Header"/>
    </w:pPr>
    <w:r>
      <w:rPr>
        <w:noProof/>
      </w:rPr>
      <mc:AlternateContent>
        <mc:Choice Requires="wps">
          <w:drawing>
            <wp:anchor distT="0" distB="0" distL="0" distR="0" simplePos="0" relativeHeight="251659264" behindDoc="0" locked="0" layoutInCell="1" allowOverlap="1" wp14:anchorId="1006212B" wp14:editId="0B9B2C10">
              <wp:simplePos x="635" y="635"/>
              <wp:positionH relativeFrom="column">
                <wp:align>center</wp:align>
              </wp:positionH>
              <wp:positionV relativeFrom="paragraph">
                <wp:posOffset>635</wp:posOffset>
              </wp:positionV>
              <wp:extent cx="443865" cy="443865"/>
              <wp:effectExtent l="0" t="0" r="6985" b="44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5D446" w14:textId="4D7D569F" w:rsidR="00FA4395" w:rsidRPr="00FA4395" w:rsidRDefault="00FA4395">
                          <w:pPr>
                            <w:rPr>
                              <w:rFonts w:ascii="Calibri" w:eastAsia="Calibri" w:hAnsi="Calibri" w:cs="Calibri"/>
                              <w:noProof/>
                              <w:color w:val="FF0000"/>
                              <w:szCs w:val="24"/>
                            </w:rPr>
                          </w:pPr>
                          <w:r w:rsidRPr="00FA4395">
                            <w:rPr>
                              <w:rFonts w:ascii="Calibri" w:eastAsia="Calibri" w:hAnsi="Calibri" w:cs="Calibri"/>
                              <w:noProof/>
                              <w:color w:val="FF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6212B"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15D446" w14:textId="4D7D569F" w:rsidR="00FA4395" w:rsidRPr="00FA4395" w:rsidRDefault="00FA4395">
                    <w:pPr>
                      <w:rPr>
                        <w:rFonts w:ascii="Calibri" w:eastAsia="Calibri" w:hAnsi="Calibri" w:cs="Calibri"/>
                        <w:noProof/>
                        <w:color w:val="FF0000"/>
                        <w:szCs w:val="24"/>
                      </w:rPr>
                    </w:pPr>
                    <w:r w:rsidRPr="00FA4395">
                      <w:rPr>
                        <w:rFonts w:ascii="Calibri" w:eastAsia="Calibri" w:hAnsi="Calibri" w:cs="Calibri"/>
                        <w:noProof/>
                        <w:color w:val="FF0000"/>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4BC9" w14:textId="77777777" w:rsidR="00A67AD6" w:rsidRDefault="00A67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CB6B" w14:textId="199344C1" w:rsidR="00FA4395" w:rsidRDefault="00FA4395">
    <w:pPr>
      <w:pStyle w:val="Header"/>
    </w:pPr>
    <w:r>
      <w:rPr>
        <w:noProof/>
      </w:rPr>
      <mc:AlternateContent>
        <mc:Choice Requires="wps">
          <w:drawing>
            <wp:anchor distT="0" distB="0" distL="0" distR="0" simplePos="0" relativeHeight="251658240" behindDoc="0" locked="0" layoutInCell="1" allowOverlap="1" wp14:anchorId="41C172C2" wp14:editId="540C381F">
              <wp:simplePos x="635" y="635"/>
              <wp:positionH relativeFrom="column">
                <wp:align>center</wp:align>
              </wp:positionH>
              <wp:positionV relativeFrom="paragraph">
                <wp:posOffset>635</wp:posOffset>
              </wp:positionV>
              <wp:extent cx="443865" cy="443865"/>
              <wp:effectExtent l="0" t="0" r="6985" b="44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929E6" w14:textId="4389477A" w:rsidR="00FA4395" w:rsidRPr="00FA4395" w:rsidRDefault="00FA4395">
                          <w:pPr>
                            <w:rPr>
                              <w:rFonts w:ascii="Calibri" w:eastAsia="Calibri" w:hAnsi="Calibri" w:cs="Calibri"/>
                              <w:noProof/>
                              <w:color w:val="FF0000"/>
                              <w:szCs w:val="24"/>
                            </w:rPr>
                          </w:pPr>
                          <w:r w:rsidRPr="00FA4395">
                            <w:rPr>
                              <w:rFonts w:ascii="Calibri" w:eastAsia="Calibri" w:hAnsi="Calibri" w:cs="Calibri"/>
                              <w:noProof/>
                              <w:color w:val="FF0000"/>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C172C2"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DB929E6" w14:textId="4389477A" w:rsidR="00FA4395" w:rsidRPr="00FA4395" w:rsidRDefault="00FA4395">
                    <w:pPr>
                      <w:rPr>
                        <w:rFonts w:ascii="Calibri" w:eastAsia="Calibri" w:hAnsi="Calibri" w:cs="Calibri"/>
                        <w:noProof/>
                        <w:color w:val="FF0000"/>
                        <w:szCs w:val="24"/>
                      </w:rPr>
                    </w:pPr>
                    <w:r w:rsidRPr="00FA4395">
                      <w:rPr>
                        <w:rFonts w:ascii="Calibri" w:eastAsia="Calibri" w:hAnsi="Calibri" w:cs="Calibri"/>
                        <w:noProof/>
                        <w:color w:val="FF0000"/>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CC0"/>
    <w:multiLevelType w:val="hybridMultilevel"/>
    <w:tmpl w:val="E978492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171C4"/>
    <w:multiLevelType w:val="hybridMultilevel"/>
    <w:tmpl w:val="78CEF0E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C6BBB"/>
    <w:multiLevelType w:val="hybridMultilevel"/>
    <w:tmpl w:val="6C86DAFA"/>
    <w:lvl w:ilvl="0" w:tplc="8AC2D9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0C533F"/>
    <w:multiLevelType w:val="hybridMultilevel"/>
    <w:tmpl w:val="99AE4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77757"/>
    <w:multiLevelType w:val="hybridMultilevel"/>
    <w:tmpl w:val="1F8C998A"/>
    <w:lvl w:ilvl="0" w:tplc="04090001">
      <w:start w:val="1"/>
      <w:numFmt w:val="bullet"/>
      <w:lvlText w:val=""/>
      <w:lvlJc w:val="left"/>
      <w:pPr>
        <w:tabs>
          <w:tab w:val="num" w:pos="1500"/>
        </w:tabs>
        <w:ind w:left="150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21B434F2"/>
    <w:multiLevelType w:val="hybridMultilevel"/>
    <w:tmpl w:val="D696E796"/>
    <w:lvl w:ilvl="0" w:tplc="D9ECEE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833C40"/>
    <w:multiLevelType w:val="hybridMultilevel"/>
    <w:tmpl w:val="D612F468"/>
    <w:lvl w:ilvl="0" w:tplc="CC30002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B93C51"/>
    <w:multiLevelType w:val="hybridMultilevel"/>
    <w:tmpl w:val="3294CF24"/>
    <w:lvl w:ilvl="0" w:tplc="E546497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7F5F97"/>
    <w:multiLevelType w:val="hybridMultilevel"/>
    <w:tmpl w:val="BFD4A442"/>
    <w:lvl w:ilvl="0" w:tplc="7480BADA">
      <w:start w:val="1"/>
      <w:numFmt w:val="lowerLetter"/>
      <w:lvlText w:val="(%1)"/>
      <w:lvlJc w:val="left"/>
      <w:pPr>
        <w:ind w:left="198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9" w15:restartNumberingAfterBreak="0">
    <w:nsid w:val="2AD3211D"/>
    <w:multiLevelType w:val="hybridMultilevel"/>
    <w:tmpl w:val="FA18F2E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0" w15:restartNumberingAfterBreak="0">
    <w:nsid w:val="2DA83C84"/>
    <w:multiLevelType w:val="hybridMultilevel"/>
    <w:tmpl w:val="22081270"/>
    <w:lvl w:ilvl="0" w:tplc="5212F942">
      <w:start w:val="1"/>
      <w:numFmt w:val="lowerRoman"/>
      <w:lvlText w:val="%1."/>
      <w:lvlJc w:val="left"/>
      <w:pPr>
        <w:ind w:left="2700" w:hanging="72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1" w15:restartNumberingAfterBreak="0">
    <w:nsid w:val="37D6431A"/>
    <w:multiLevelType w:val="hybridMultilevel"/>
    <w:tmpl w:val="173A5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8A3796"/>
    <w:multiLevelType w:val="hybridMultilevel"/>
    <w:tmpl w:val="85A6A560"/>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F5654BF"/>
    <w:multiLevelType w:val="hybridMultilevel"/>
    <w:tmpl w:val="C0AE8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32623"/>
    <w:multiLevelType w:val="hybridMultilevel"/>
    <w:tmpl w:val="70281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42CB5"/>
    <w:multiLevelType w:val="hybridMultilevel"/>
    <w:tmpl w:val="B880956C"/>
    <w:lvl w:ilvl="0" w:tplc="3AAE78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7A4CA5"/>
    <w:multiLevelType w:val="hybridMultilevel"/>
    <w:tmpl w:val="164E1092"/>
    <w:lvl w:ilvl="0" w:tplc="3AAE78C8">
      <w:start w:val="1"/>
      <w:numFmt w:val="lowerLetter"/>
      <w:lvlText w:val="(%1)"/>
      <w:lvlJc w:val="left"/>
      <w:pPr>
        <w:ind w:left="720" w:hanging="360"/>
      </w:pPr>
      <w:rPr>
        <w:rFonts w:hint="default"/>
      </w:rPr>
    </w:lvl>
    <w:lvl w:ilvl="1" w:tplc="AE78CEE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2269C5"/>
    <w:multiLevelType w:val="hybridMultilevel"/>
    <w:tmpl w:val="0508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B7611"/>
    <w:multiLevelType w:val="hybridMultilevel"/>
    <w:tmpl w:val="941C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3838593">
    <w:abstractNumId w:val="4"/>
  </w:num>
  <w:num w:numId="2" w16cid:durableId="2066100849">
    <w:abstractNumId w:val="12"/>
  </w:num>
  <w:num w:numId="3" w16cid:durableId="2140106846">
    <w:abstractNumId w:val="0"/>
  </w:num>
  <w:num w:numId="4" w16cid:durableId="1765033095">
    <w:abstractNumId w:val="1"/>
  </w:num>
  <w:num w:numId="5" w16cid:durableId="353848889">
    <w:abstractNumId w:val="14"/>
  </w:num>
  <w:num w:numId="6" w16cid:durableId="1483043623">
    <w:abstractNumId w:val="6"/>
  </w:num>
  <w:num w:numId="7" w16cid:durableId="741105550">
    <w:abstractNumId w:val="13"/>
  </w:num>
  <w:num w:numId="8" w16cid:durableId="2100519334">
    <w:abstractNumId w:val="9"/>
  </w:num>
  <w:num w:numId="9" w16cid:durableId="895051213">
    <w:abstractNumId w:val="3"/>
  </w:num>
  <w:num w:numId="10" w16cid:durableId="1380976839">
    <w:abstractNumId w:val="17"/>
  </w:num>
  <w:num w:numId="11" w16cid:durableId="1242956778">
    <w:abstractNumId w:val="11"/>
  </w:num>
  <w:num w:numId="12" w16cid:durableId="2048212049">
    <w:abstractNumId w:val="15"/>
  </w:num>
  <w:num w:numId="13" w16cid:durableId="181865907">
    <w:abstractNumId w:val="16"/>
  </w:num>
  <w:num w:numId="14" w16cid:durableId="136070599">
    <w:abstractNumId w:val="7"/>
  </w:num>
  <w:num w:numId="15" w16cid:durableId="830755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004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8662029">
    <w:abstractNumId w:val="2"/>
  </w:num>
  <w:num w:numId="18" w16cid:durableId="1161309005">
    <w:abstractNumId w:val="5"/>
  </w:num>
  <w:num w:numId="19" w16cid:durableId="24916473">
    <w:abstractNumId w:val="10"/>
  </w:num>
  <w:num w:numId="20" w16cid:durableId="287709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BE"/>
    <w:rsid w:val="00001C74"/>
    <w:rsid w:val="00007373"/>
    <w:rsid w:val="00007B5C"/>
    <w:rsid w:val="00007C16"/>
    <w:rsid w:val="000121B5"/>
    <w:rsid w:val="000122D4"/>
    <w:rsid w:val="000128AB"/>
    <w:rsid w:val="00016D9F"/>
    <w:rsid w:val="00020BAD"/>
    <w:rsid w:val="0002215A"/>
    <w:rsid w:val="0002530C"/>
    <w:rsid w:val="0002566A"/>
    <w:rsid w:val="000264D5"/>
    <w:rsid w:val="0003645A"/>
    <w:rsid w:val="0004336F"/>
    <w:rsid w:val="00052548"/>
    <w:rsid w:val="00052C6C"/>
    <w:rsid w:val="00053177"/>
    <w:rsid w:val="00053F90"/>
    <w:rsid w:val="000600FE"/>
    <w:rsid w:val="000626F7"/>
    <w:rsid w:val="00066D92"/>
    <w:rsid w:val="00073A3E"/>
    <w:rsid w:val="00074EF8"/>
    <w:rsid w:val="00076074"/>
    <w:rsid w:val="000777F1"/>
    <w:rsid w:val="00080FE2"/>
    <w:rsid w:val="00085BC6"/>
    <w:rsid w:val="000864DA"/>
    <w:rsid w:val="00087CF9"/>
    <w:rsid w:val="00087D1A"/>
    <w:rsid w:val="00092689"/>
    <w:rsid w:val="00095A87"/>
    <w:rsid w:val="000A3005"/>
    <w:rsid w:val="000B18BB"/>
    <w:rsid w:val="000B5FB7"/>
    <w:rsid w:val="000C1904"/>
    <w:rsid w:val="000C373A"/>
    <w:rsid w:val="000C4458"/>
    <w:rsid w:val="000C4A2B"/>
    <w:rsid w:val="000C4F98"/>
    <w:rsid w:val="000D24AE"/>
    <w:rsid w:val="000E3CBE"/>
    <w:rsid w:val="000E5044"/>
    <w:rsid w:val="000F0586"/>
    <w:rsid w:val="000F0A40"/>
    <w:rsid w:val="000F1F6C"/>
    <w:rsid w:val="00100B0F"/>
    <w:rsid w:val="00104309"/>
    <w:rsid w:val="00104531"/>
    <w:rsid w:val="00105814"/>
    <w:rsid w:val="001064E6"/>
    <w:rsid w:val="001219AF"/>
    <w:rsid w:val="00122017"/>
    <w:rsid w:val="00132661"/>
    <w:rsid w:val="00132E97"/>
    <w:rsid w:val="001340C0"/>
    <w:rsid w:val="001341CB"/>
    <w:rsid w:val="00134DC8"/>
    <w:rsid w:val="001358B4"/>
    <w:rsid w:val="00137A10"/>
    <w:rsid w:val="00142340"/>
    <w:rsid w:val="00144807"/>
    <w:rsid w:val="001470A4"/>
    <w:rsid w:val="0015515F"/>
    <w:rsid w:val="00172B8C"/>
    <w:rsid w:val="001731C8"/>
    <w:rsid w:val="00174664"/>
    <w:rsid w:val="00180AF8"/>
    <w:rsid w:val="0018620E"/>
    <w:rsid w:val="0019763A"/>
    <w:rsid w:val="00197AD8"/>
    <w:rsid w:val="001A1AB6"/>
    <w:rsid w:val="001A29A1"/>
    <w:rsid w:val="001C0143"/>
    <w:rsid w:val="001C15AD"/>
    <w:rsid w:val="001C3E4B"/>
    <w:rsid w:val="001C63C8"/>
    <w:rsid w:val="001C79D2"/>
    <w:rsid w:val="001D20DB"/>
    <w:rsid w:val="001D2631"/>
    <w:rsid w:val="001D357D"/>
    <w:rsid w:val="001E051B"/>
    <w:rsid w:val="001E0D82"/>
    <w:rsid w:val="001E565F"/>
    <w:rsid w:val="001E5C3E"/>
    <w:rsid w:val="001E6280"/>
    <w:rsid w:val="001E7AD3"/>
    <w:rsid w:val="001F1316"/>
    <w:rsid w:val="001F1EE8"/>
    <w:rsid w:val="001F2767"/>
    <w:rsid w:val="001F4002"/>
    <w:rsid w:val="001F4244"/>
    <w:rsid w:val="00200C9C"/>
    <w:rsid w:val="00202240"/>
    <w:rsid w:val="00202CAA"/>
    <w:rsid w:val="002032C8"/>
    <w:rsid w:val="00205FE3"/>
    <w:rsid w:val="002103C8"/>
    <w:rsid w:val="002109A0"/>
    <w:rsid w:val="00217E66"/>
    <w:rsid w:val="0022305B"/>
    <w:rsid w:val="002347E9"/>
    <w:rsid w:val="00241046"/>
    <w:rsid w:val="00246708"/>
    <w:rsid w:val="002478EA"/>
    <w:rsid w:val="002550F5"/>
    <w:rsid w:val="002551E2"/>
    <w:rsid w:val="00260325"/>
    <w:rsid w:val="0026507F"/>
    <w:rsid w:val="0026732C"/>
    <w:rsid w:val="002701B2"/>
    <w:rsid w:val="00271489"/>
    <w:rsid w:val="00274A42"/>
    <w:rsid w:val="00276341"/>
    <w:rsid w:val="0028064D"/>
    <w:rsid w:val="002943CB"/>
    <w:rsid w:val="00294D65"/>
    <w:rsid w:val="0029510E"/>
    <w:rsid w:val="00296767"/>
    <w:rsid w:val="0029723F"/>
    <w:rsid w:val="002A46BD"/>
    <w:rsid w:val="002B44A6"/>
    <w:rsid w:val="002C6660"/>
    <w:rsid w:val="002D26F8"/>
    <w:rsid w:val="002D742F"/>
    <w:rsid w:val="002E41A6"/>
    <w:rsid w:val="002F034F"/>
    <w:rsid w:val="002F39A2"/>
    <w:rsid w:val="002F77E0"/>
    <w:rsid w:val="00303508"/>
    <w:rsid w:val="003077CD"/>
    <w:rsid w:val="00310B81"/>
    <w:rsid w:val="00314C86"/>
    <w:rsid w:val="00315195"/>
    <w:rsid w:val="00321247"/>
    <w:rsid w:val="00337284"/>
    <w:rsid w:val="00337EE4"/>
    <w:rsid w:val="00344B52"/>
    <w:rsid w:val="00344C30"/>
    <w:rsid w:val="00351046"/>
    <w:rsid w:val="00351C91"/>
    <w:rsid w:val="00352573"/>
    <w:rsid w:val="003526BD"/>
    <w:rsid w:val="003535CD"/>
    <w:rsid w:val="00353668"/>
    <w:rsid w:val="00353A94"/>
    <w:rsid w:val="00354BB2"/>
    <w:rsid w:val="00364545"/>
    <w:rsid w:val="0036509D"/>
    <w:rsid w:val="00367223"/>
    <w:rsid w:val="00367367"/>
    <w:rsid w:val="00376481"/>
    <w:rsid w:val="00377B68"/>
    <w:rsid w:val="00382D44"/>
    <w:rsid w:val="00383954"/>
    <w:rsid w:val="00383FE7"/>
    <w:rsid w:val="00384340"/>
    <w:rsid w:val="00386531"/>
    <w:rsid w:val="00393F8E"/>
    <w:rsid w:val="003C0BB9"/>
    <w:rsid w:val="003C43F4"/>
    <w:rsid w:val="003D200E"/>
    <w:rsid w:val="003D2082"/>
    <w:rsid w:val="003D4537"/>
    <w:rsid w:val="003E2EFC"/>
    <w:rsid w:val="003E3667"/>
    <w:rsid w:val="003E580F"/>
    <w:rsid w:val="003F12A5"/>
    <w:rsid w:val="003F21F7"/>
    <w:rsid w:val="003F7AA0"/>
    <w:rsid w:val="004008E1"/>
    <w:rsid w:val="00401D49"/>
    <w:rsid w:val="0041010C"/>
    <w:rsid w:val="00411A23"/>
    <w:rsid w:val="00413DD5"/>
    <w:rsid w:val="00413FB0"/>
    <w:rsid w:val="00416A93"/>
    <w:rsid w:val="00420DCB"/>
    <w:rsid w:val="004238AE"/>
    <w:rsid w:val="00423E60"/>
    <w:rsid w:val="00431B26"/>
    <w:rsid w:val="00432600"/>
    <w:rsid w:val="00433006"/>
    <w:rsid w:val="004360A2"/>
    <w:rsid w:val="004363D9"/>
    <w:rsid w:val="00444CB3"/>
    <w:rsid w:val="0044666B"/>
    <w:rsid w:val="00452BE2"/>
    <w:rsid w:val="00452CE0"/>
    <w:rsid w:val="004539E9"/>
    <w:rsid w:val="00455EE9"/>
    <w:rsid w:val="00456C7A"/>
    <w:rsid w:val="004653BB"/>
    <w:rsid w:val="00472CEE"/>
    <w:rsid w:val="00476EC7"/>
    <w:rsid w:val="00493BF0"/>
    <w:rsid w:val="00493CC2"/>
    <w:rsid w:val="0049592C"/>
    <w:rsid w:val="00496AB5"/>
    <w:rsid w:val="004A0132"/>
    <w:rsid w:val="004A475F"/>
    <w:rsid w:val="004A68D3"/>
    <w:rsid w:val="004B4281"/>
    <w:rsid w:val="004B6E2E"/>
    <w:rsid w:val="004C025D"/>
    <w:rsid w:val="004C16A2"/>
    <w:rsid w:val="004C22CF"/>
    <w:rsid w:val="004C6B0E"/>
    <w:rsid w:val="004E1A5A"/>
    <w:rsid w:val="00500A4B"/>
    <w:rsid w:val="005021F2"/>
    <w:rsid w:val="00516C1C"/>
    <w:rsid w:val="00516CFC"/>
    <w:rsid w:val="00523E8B"/>
    <w:rsid w:val="00531634"/>
    <w:rsid w:val="005365B7"/>
    <w:rsid w:val="00540CE3"/>
    <w:rsid w:val="00544481"/>
    <w:rsid w:val="00545622"/>
    <w:rsid w:val="00552A8C"/>
    <w:rsid w:val="00562CD6"/>
    <w:rsid w:val="00565C8D"/>
    <w:rsid w:val="00570347"/>
    <w:rsid w:val="00570A95"/>
    <w:rsid w:val="005742DA"/>
    <w:rsid w:val="00577215"/>
    <w:rsid w:val="00580310"/>
    <w:rsid w:val="005811AD"/>
    <w:rsid w:val="005849F2"/>
    <w:rsid w:val="00591FC4"/>
    <w:rsid w:val="005955CD"/>
    <w:rsid w:val="00595EF0"/>
    <w:rsid w:val="005975E3"/>
    <w:rsid w:val="00597DF1"/>
    <w:rsid w:val="005A0D96"/>
    <w:rsid w:val="005A11B7"/>
    <w:rsid w:val="005A6B98"/>
    <w:rsid w:val="005B031F"/>
    <w:rsid w:val="005B2C78"/>
    <w:rsid w:val="005B71E8"/>
    <w:rsid w:val="005C05D6"/>
    <w:rsid w:val="005C3D84"/>
    <w:rsid w:val="005C4B12"/>
    <w:rsid w:val="005C5BF2"/>
    <w:rsid w:val="005D0CCA"/>
    <w:rsid w:val="005D0DEC"/>
    <w:rsid w:val="005D3991"/>
    <w:rsid w:val="005E07F2"/>
    <w:rsid w:val="005E3159"/>
    <w:rsid w:val="005F2D58"/>
    <w:rsid w:val="00600368"/>
    <w:rsid w:val="00604586"/>
    <w:rsid w:val="00611DBD"/>
    <w:rsid w:val="006142F9"/>
    <w:rsid w:val="006149AD"/>
    <w:rsid w:val="00615CC3"/>
    <w:rsid w:val="00643BBA"/>
    <w:rsid w:val="00646358"/>
    <w:rsid w:val="00646BB4"/>
    <w:rsid w:val="006608C3"/>
    <w:rsid w:val="00684EA3"/>
    <w:rsid w:val="0068565D"/>
    <w:rsid w:val="00690C25"/>
    <w:rsid w:val="006A2B4B"/>
    <w:rsid w:val="006A42EB"/>
    <w:rsid w:val="006C190E"/>
    <w:rsid w:val="006C1D9A"/>
    <w:rsid w:val="006D2B38"/>
    <w:rsid w:val="006E09F1"/>
    <w:rsid w:val="006E49EB"/>
    <w:rsid w:val="006E4EB9"/>
    <w:rsid w:val="006F2AD4"/>
    <w:rsid w:val="006F6D6F"/>
    <w:rsid w:val="007024A9"/>
    <w:rsid w:val="00710F51"/>
    <w:rsid w:val="00711FC8"/>
    <w:rsid w:val="00715362"/>
    <w:rsid w:val="00715861"/>
    <w:rsid w:val="007167B3"/>
    <w:rsid w:val="007227FA"/>
    <w:rsid w:val="0072599C"/>
    <w:rsid w:val="00727C24"/>
    <w:rsid w:val="00730D98"/>
    <w:rsid w:val="0073481D"/>
    <w:rsid w:val="007558E3"/>
    <w:rsid w:val="00760FAF"/>
    <w:rsid w:val="007743E4"/>
    <w:rsid w:val="00777537"/>
    <w:rsid w:val="00780143"/>
    <w:rsid w:val="007835AC"/>
    <w:rsid w:val="007951C9"/>
    <w:rsid w:val="00796A91"/>
    <w:rsid w:val="00797930"/>
    <w:rsid w:val="007A4181"/>
    <w:rsid w:val="007A5085"/>
    <w:rsid w:val="007A636D"/>
    <w:rsid w:val="007B67E4"/>
    <w:rsid w:val="007C01C1"/>
    <w:rsid w:val="007C1983"/>
    <w:rsid w:val="007C2B97"/>
    <w:rsid w:val="007D0785"/>
    <w:rsid w:val="007D1885"/>
    <w:rsid w:val="007D2460"/>
    <w:rsid w:val="007D421B"/>
    <w:rsid w:val="007D4ED6"/>
    <w:rsid w:val="007D5123"/>
    <w:rsid w:val="007D7C58"/>
    <w:rsid w:val="007E0E3A"/>
    <w:rsid w:val="007E4F13"/>
    <w:rsid w:val="007F1F01"/>
    <w:rsid w:val="007F37D2"/>
    <w:rsid w:val="007F46DE"/>
    <w:rsid w:val="00807D6E"/>
    <w:rsid w:val="008326F8"/>
    <w:rsid w:val="00832995"/>
    <w:rsid w:val="00832F48"/>
    <w:rsid w:val="00833316"/>
    <w:rsid w:val="008355A1"/>
    <w:rsid w:val="00835DF6"/>
    <w:rsid w:val="00836205"/>
    <w:rsid w:val="00836D5C"/>
    <w:rsid w:val="008429B1"/>
    <w:rsid w:val="00843D26"/>
    <w:rsid w:val="0084551F"/>
    <w:rsid w:val="00846D0D"/>
    <w:rsid w:val="008562A1"/>
    <w:rsid w:val="0086217E"/>
    <w:rsid w:val="0086395D"/>
    <w:rsid w:val="008748BD"/>
    <w:rsid w:val="00880056"/>
    <w:rsid w:val="008818C0"/>
    <w:rsid w:val="008841C9"/>
    <w:rsid w:val="00885E49"/>
    <w:rsid w:val="00890C65"/>
    <w:rsid w:val="00895CE5"/>
    <w:rsid w:val="00897316"/>
    <w:rsid w:val="008A0CD4"/>
    <w:rsid w:val="008A1EB3"/>
    <w:rsid w:val="008A4B13"/>
    <w:rsid w:val="008A5C62"/>
    <w:rsid w:val="008C41D6"/>
    <w:rsid w:val="008D1334"/>
    <w:rsid w:val="008D5D14"/>
    <w:rsid w:val="008E25A7"/>
    <w:rsid w:val="008E3A08"/>
    <w:rsid w:val="008F097D"/>
    <w:rsid w:val="008F3208"/>
    <w:rsid w:val="008F360D"/>
    <w:rsid w:val="008F6FD6"/>
    <w:rsid w:val="0091013F"/>
    <w:rsid w:val="009117EA"/>
    <w:rsid w:val="00915BF6"/>
    <w:rsid w:val="009160D1"/>
    <w:rsid w:val="009233A4"/>
    <w:rsid w:val="00924986"/>
    <w:rsid w:val="009359CC"/>
    <w:rsid w:val="0093703D"/>
    <w:rsid w:val="0094031D"/>
    <w:rsid w:val="00942E5E"/>
    <w:rsid w:val="009441D4"/>
    <w:rsid w:val="0094494D"/>
    <w:rsid w:val="00944BBC"/>
    <w:rsid w:val="00946A56"/>
    <w:rsid w:val="00951B82"/>
    <w:rsid w:val="00953029"/>
    <w:rsid w:val="00955C5E"/>
    <w:rsid w:val="00956711"/>
    <w:rsid w:val="00960554"/>
    <w:rsid w:val="0097039C"/>
    <w:rsid w:val="00977105"/>
    <w:rsid w:val="00985B05"/>
    <w:rsid w:val="0099057B"/>
    <w:rsid w:val="00991F97"/>
    <w:rsid w:val="009A09BD"/>
    <w:rsid w:val="009A1C5D"/>
    <w:rsid w:val="009A7EDB"/>
    <w:rsid w:val="009B41F5"/>
    <w:rsid w:val="009B42FC"/>
    <w:rsid w:val="009C1E22"/>
    <w:rsid w:val="009C6585"/>
    <w:rsid w:val="009E4E35"/>
    <w:rsid w:val="009E517C"/>
    <w:rsid w:val="009E7411"/>
    <w:rsid w:val="009E7DA7"/>
    <w:rsid w:val="009F09FE"/>
    <w:rsid w:val="009F51CA"/>
    <w:rsid w:val="009F7EC3"/>
    <w:rsid w:val="00A04652"/>
    <w:rsid w:val="00A138C0"/>
    <w:rsid w:val="00A1434C"/>
    <w:rsid w:val="00A36AC3"/>
    <w:rsid w:val="00A372B7"/>
    <w:rsid w:val="00A41333"/>
    <w:rsid w:val="00A41D7D"/>
    <w:rsid w:val="00A42A9B"/>
    <w:rsid w:val="00A43653"/>
    <w:rsid w:val="00A47031"/>
    <w:rsid w:val="00A47335"/>
    <w:rsid w:val="00A47977"/>
    <w:rsid w:val="00A47A81"/>
    <w:rsid w:val="00A52679"/>
    <w:rsid w:val="00A52941"/>
    <w:rsid w:val="00A653C9"/>
    <w:rsid w:val="00A65A21"/>
    <w:rsid w:val="00A67AD6"/>
    <w:rsid w:val="00A746EE"/>
    <w:rsid w:val="00A74E57"/>
    <w:rsid w:val="00A75E2F"/>
    <w:rsid w:val="00A769F8"/>
    <w:rsid w:val="00A82BD8"/>
    <w:rsid w:val="00A838E0"/>
    <w:rsid w:val="00A92CB0"/>
    <w:rsid w:val="00AA1EE0"/>
    <w:rsid w:val="00AA2A59"/>
    <w:rsid w:val="00AB357F"/>
    <w:rsid w:val="00AB6052"/>
    <w:rsid w:val="00AC0EE4"/>
    <w:rsid w:val="00AC6701"/>
    <w:rsid w:val="00AD1468"/>
    <w:rsid w:val="00AD20C3"/>
    <w:rsid w:val="00AD2D8B"/>
    <w:rsid w:val="00AE2F6B"/>
    <w:rsid w:val="00AE5FB2"/>
    <w:rsid w:val="00AE6D3B"/>
    <w:rsid w:val="00AF1FC2"/>
    <w:rsid w:val="00AF7A09"/>
    <w:rsid w:val="00B06C50"/>
    <w:rsid w:val="00B10B08"/>
    <w:rsid w:val="00B11EB7"/>
    <w:rsid w:val="00B14385"/>
    <w:rsid w:val="00B20B0F"/>
    <w:rsid w:val="00B23E30"/>
    <w:rsid w:val="00B32EA7"/>
    <w:rsid w:val="00B40658"/>
    <w:rsid w:val="00B41D3D"/>
    <w:rsid w:val="00B42DD9"/>
    <w:rsid w:val="00B45F47"/>
    <w:rsid w:val="00B47375"/>
    <w:rsid w:val="00B573DA"/>
    <w:rsid w:val="00B70652"/>
    <w:rsid w:val="00B7433D"/>
    <w:rsid w:val="00B77211"/>
    <w:rsid w:val="00B77843"/>
    <w:rsid w:val="00B804EB"/>
    <w:rsid w:val="00B8337D"/>
    <w:rsid w:val="00B83C9C"/>
    <w:rsid w:val="00B86E66"/>
    <w:rsid w:val="00B911B1"/>
    <w:rsid w:val="00B9697B"/>
    <w:rsid w:val="00B96F5D"/>
    <w:rsid w:val="00BA2787"/>
    <w:rsid w:val="00BA2CE8"/>
    <w:rsid w:val="00BA5201"/>
    <w:rsid w:val="00BA6F60"/>
    <w:rsid w:val="00BB4C68"/>
    <w:rsid w:val="00BB5AA7"/>
    <w:rsid w:val="00BB7717"/>
    <w:rsid w:val="00BC2F2E"/>
    <w:rsid w:val="00BC6974"/>
    <w:rsid w:val="00BC7B09"/>
    <w:rsid w:val="00BD3E0F"/>
    <w:rsid w:val="00BD5320"/>
    <w:rsid w:val="00BD7F4F"/>
    <w:rsid w:val="00BE63BA"/>
    <w:rsid w:val="00BE6C2B"/>
    <w:rsid w:val="00BF37C6"/>
    <w:rsid w:val="00C01835"/>
    <w:rsid w:val="00C02368"/>
    <w:rsid w:val="00C05FEC"/>
    <w:rsid w:val="00C079D7"/>
    <w:rsid w:val="00C14540"/>
    <w:rsid w:val="00C15738"/>
    <w:rsid w:val="00C2336D"/>
    <w:rsid w:val="00C24AC9"/>
    <w:rsid w:val="00C26301"/>
    <w:rsid w:val="00C27018"/>
    <w:rsid w:val="00C27E82"/>
    <w:rsid w:val="00C31E45"/>
    <w:rsid w:val="00C32B19"/>
    <w:rsid w:val="00C43E48"/>
    <w:rsid w:val="00C4469F"/>
    <w:rsid w:val="00C5172F"/>
    <w:rsid w:val="00C60D75"/>
    <w:rsid w:val="00C63C49"/>
    <w:rsid w:val="00C652BC"/>
    <w:rsid w:val="00C671AC"/>
    <w:rsid w:val="00C70795"/>
    <w:rsid w:val="00C74725"/>
    <w:rsid w:val="00C76EDF"/>
    <w:rsid w:val="00C86CBA"/>
    <w:rsid w:val="00C87861"/>
    <w:rsid w:val="00C94D2F"/>
    <w:rsid w:val="00C979A0"/>
    <w:rsid w:val="00C97CA2"/>
    <w:rsid w:val="00CB3075"/>
    <w:rsid w:val="00CB782C"/>
    <w:rsid w:val="00CC01C0"/>
    <w:rsid w:val="00CC29AF"/>
    <w:rsid w:val="00CC45A2"/>
    <w:rsid w:val="00CC566A"/>
    <w:rsid w:val="00CD131E"/>
    <w:rsid w:val="00CD1BAF"/>
    <w:rsid w:val="00CD2C27"/>
    <w:rsid w:val="00CD352D"/>
    <w:rsid w:val="00CD7BD1"/>
    <w:rsid w:val="00CE4A8C"/>
    <w:rsid w:val="00CE532A"/>
    <w:rsid w:val="00CE6465"/>
    <w:rsid w:val="00D0101B"/>
    <w:rsid w:val="00D05CCE"/>
    <w:rsid w:val="00D105A1"/>
    <w:rsid w:val="00D14045"/>
    <w:rsid w:val="00D15A9C"/>
    <w:rsid w:val="00D21508"/>
    <w:rsid w:val="00D22371"/>
    <w:rsid w:val="00D30AD5"/>
    <w:rsid w:val="00D32F71"/>
    <w:rsid w:val="00D4017E"/>
    <w:rsid w:val="00D40DA9"/>
    <w:rsid w:val="00D43F1F"/>
    <w:rsid w:val="00D4527F"/>
    <w:rsid w:val="00D54889"/>
    <w:rsid w:val="00D56916"/>
    <w:rsid w:val="00D60D04"/>
    <w:rsid w:val="00D60F17"/>
    <w:rsid w:val="00D63279"/>
    <w:rsid w:val="00D761B0"/>
    <w:rsid w:val="00D779AB"/>
    <w:rsid w:val="00D918DD"/>
    <w:rsid w:val="00D92C43"/>
    <w:rsid w:val="00DA0F0D"/>
    <w:rsid w:val="00DA19FF"/>
    <w:rsid w:val="00DA2EAE"/>
    <w:rsid w:val="00DA5D25"/>
    <w:rsid w:val="00DA6C5D"/>
    <w:rsid w:val="00DB4CEA"/>
    <w:rsid w:val="00DB51B2"/>
    <w:rsid w:val="00DB730B"/>
    <w:rsid w:val="00DF0D9F"/>
    <w:rsid w:val="00DF1CED"/>
    <w:rsid w:val="00E10C2A"/>
    <w:rsid w:val="00E1193A"/>
    <w:rsid w:val="00E1255F"/>
    <w:rsid w:val="00E1395D"/>
    <w:rsid w:val="00E13FDA"/>
    <w:rsid w:val="00E140F1"/>
    <w:rsid w:val="00E207CA"/>
    <w:rsid w:val="00E2351F"/>
    <w:rsid w:val="00E23AC3"/>
    <w:rsid w:val="00E24D9D"/>
    <w:rsid w:val="00E25BF8"/>
    <w:rsid w:val="00E27D15"/>
    <w:rsid w:val="00E330AF"/>
    <w:rsid w:val="00E365CB"/>
    <w:rsid w:val="00E37895"/>
    <w:rsid w:val="00E37CCF"/>
    <w:rsid w:val="00E42CB2"/>
    <w:rsid w:val="00E4740E"/>
    <w:rsid w:val="00E525AC"/>
    <w:rsid w:val="00E534A4"/>
    <w:rsid w:val="00E60FF9"/>
    <w:rsid w:val="00E6545B"/>
    <w:rsid w:val="00E67A06"/>
    <w:rsid w:val="00E72E9D"/>
    <w:rsid w:val="00E72EA3"/>
    <w:rsid w:val="00E873D9"/>
    <w:rsid w:val="00E91C3F"/>
    <w:rsid w:val="00E95D9F"/>
    <w:rsid w:val="00EA0F3B"/>
    <w:rsid w:val="00EB2B6D"/>
    <w:rsid w:val="00EB6924"/>
    <w:rsid w:val="00EC3B63"/>
    <w:rsid w:val="00EC4526"/>
    <w:rsid w:val="00EE202A"/>
    <w:rsid w:val="00F07275"/>
    <w:rsid w:val="00F10D02"/>
    <w:rsid w:val="00F1505B"/>
    <w:rsid w:val="00F1543B"/>
    <w:rsid w:val="00F21A49"/>
    <w:rsid w:val="00F224BB"/>
    <w:rsid w:val="00F22DA8"/>
    <w:rsid w:val="00F31EA5"/>
    <w:rsid w:val="00F32A93"/>
    <w:rsid w:val="00F37197"/>
    <w:rsid w:val="00F445CB"/>
    <w:rsid w:val="00F44912"/>
    <w:rsid w:val="00F55417"/>
    <w:rsid w:val="00F65CE2"/>
    <w:rsid w:val="00F731AF"/>
    <w:rsid w:val="00F74ECA"/>
    <w:rsid w:val="00F77C8C"/>
    <w:rsid w:val="00F81FA4"/>
    <w:rsid w:val="00F8248F"/>
    <w:rsid w:val="00F85365"/>
    <w:rsid w:val="00F90504"/>
    <w:rsid w:val="00F919FD"/>
    <w:rsid w:val="00F96B51"/>
    <w:rsid w:val="00FA4395"/>
    <w:rsid w:val="00FA4E6F"/>
    <w:rsid w:val="00FA5F9F"/>
    <w:rsid w:val="00FA68A1"/>
    <w:rsid w:val="00FB6201"/>
    <w:rsid w:val="00FC5FF4"/>
    <w:rsid w:val="00FC6894"/>
    <w:rsid w:val="00FC7377"/>
    <w:rsid w:val="00FD3BF4"/>
    <w:rsid w:val="00FE0E55"/>
    <w:rsid w:val="00FE19E5"/>
    <w:rsid w:val="00FE453E"/>
    <w:rsid w:val="00FE5BB5"/>
    <w:rsid w:val="00FE6538"/>
    <w:rsid w:val="00FF0631"/>
    <w:rsid w:val="00FF7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61A46A"/>
  <w15:chartTrackingRefBased/>
  <w15:docId w15:val="{34E24320-49D6-481E-93C8-F109BF9F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6A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CBE"/>
    <w:pPr>
      <w:tabs>
        <w:tab w:val="center" w:pos="4153"/>
        <w:tab w:val="right" w:pos="8306"/>
      </w:tabs>
    </w:pPr>
  </w:style>
  <w:style w:type="paragraph" w:styleId="Footer">
    <w:name w:val="footer"/>
    <w:basedOn w:val="Normal"/>
    <w:rsid w:val="000E3CBE"/>
    <w:pPr>
      <w:tabs>
        <w:tab w:val="center" w:pos="4153"/>
        <w:tab w:val="right" w:pos="8306"/>
      </w:tabs>
    </w:pPr>
  </w:style>
  <w:style w:type="table" w:styleId="TableGrid">
    <w:name w:val="Table Grid"/>
    <w:basedOn w:val="TableNormal"/>
    <w:rsid w:val="00A41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93BF0"/>
    <w:rPr>
      <w:sz w:val="20"/>
    </w:rPr>
  </w:style>
  <w:style w:type="character" w:styleId="FootnoteReference">
    <w:name w:val="footnote reference"/>
    <w:semiHidden/>
    <w:rsid w:val="00493BF0"/>
    <w:rPr>
      <w:vertAlign w:val="superscript"/>
    </w:rPr>
  </w:style>
  <w:style w:type="character" w:styleId="PageNumber">
    <w:name w:val="page number"/>
    <w:basedOn w:val="DefaultParagraphFont"/>
    <w:rsid w:val="00BD5320"/>
  </w:style>
  <w:style w:type="paragraph" w:styleId="BalloonText">
    <w:name w:val="Balloon Text"/>
    <w:basedOn w:val="Normal"/>
    <w:semiHidden/>
    <w:rsid w:val="00F445C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E91C3F"/>
    <w:pPr>
      <w:ind w:left="720"/>
      <w:contextualSpacing/>
    </w:pPr>
  </w:style>
  <w:style w:type="character" w:styleId="CommentReference">
    <w:name w:val="annotation reference"/>
    <w:basedOn w:val="DefaultParagraphFont"/>
    <w:rsid w:val="00531634"/>
    <w:rPr>
      <w:sz w:val="16"/>
      <w:szCs w:val="16"/>
    </w:rPr>
  </w:style>
  <w:style w:type="paragraph" w:styleId="CommentText">
    <w:name w:val="annotation text"/>
    <w:basedOn w:val="Normal"/>
    <w:link w:val="CommentTextChar"/>
    <w:rsid w:val="00531634"/>
    <w:rPr>
      <w:sz w:val="20"/>
    </w:rPr>
  </w:style>
  <w:style w:type="character" w:customStyle="1" w:styleId="CommentTextChar">
    <w:name w:val="Comment Text Char"/>
    <w:basedOn w:val="DefaultParagraphFont"/>
    <w:link w:val="CommentText"/>
    <w:rsid w:val="00531634"/>
    <w:rPr>
      <w:lang w:eastAsia="en-US"/>
    </w:rPr>
  </w:style>
  <w:style w:type="paragraph" w:styleId="CommentSubject">
    <w:name w:val="annotation subject"/>
    <w:basedOn w:val="CommentText"/>
    <w:next w:val="CommentText"/>
    <w:link w:val="CommentSubjectChar"/>
    <w:rsid w:val="00531634"/>
    <w:rPr>
      <w:b/>
      <w:bCs/>
    </w:rPr>
  </w:style>
  <w:style w:type="character" w:customStyle="1" w:styleId="CommentSubjectChar">
    <w:name w:val="Comment Subject Char"/>
    <w:basedOn w:val="CommentTextChar"/>
    <w:link w:val="CommentSubject"/>
    <w:rsid w:val="00531634"/>
    <w:rPr>
      <w:b/>
      <w:bCs/>
      <w:lang w:eastAsia="en-US"/>
    </w:rPr>
  </w:style>
  <w:style w:type="character" w:styleId="Hyperlink">
    <w:name w:val="Hyperlink"/>
    <w:basedOn w:val="DefaultParagraphFont"/>
    <w:uiPriority w:val="99"/>
    <w:unhideWhenUsed/>
    <w:rsid w:val="00552A8C"/>
    <w:rPr>
      <w:color w:val="0000FF"/>
      <w:u w:val="single"/>
    </w:rPr>
  </w:style>
  <w:style w:type="character" w:customStyle="1" w:styleId="ListParagraphChar">
    <w:name w:val="List Paragraph Char"/>
    <w:aliases w:val="List Paragraph1 Char,Recommendation Char,List Paragraph11 Char"/>
    <w:basedOn w:val="DefaultParagraphFont"/>
    <w:link w:val="ListParagraph"/>
    <w:uiPriority w:val="34"/>
    <w:locked/>
    <w:rsid w:val="00AE2F6B"/>
    <w:rPr>
      <w:sz w:val="24"/>
      <w:lang w:eastAsia="en-US"/>
    </w:rPr>
  </w:style>
  <w:style w:type="character" w:customStyle="1" w:styleId="FootnoteTextChar">
    <w:name w:val="Footnote Text Char"/>
    <w:basedOn w:val="DefaultParagraphFont"/>
    <w:link w:val="FootnoteText"/>
    <w:semiHidden/>
    <w:rsid w:val="004C16A2"/>
    <w:rPr>
      <w:lang w:eastAsia="en-US"/>
    </w:rPr>
  </w:style>
  <w:style w:type="paragraph" w:styleId="Revision">
    <w:name w:val="Revision"/>
    <w:hidden/>
    <w:uiPriority w:val="99"/>
    <w:semiHidden/>
    <w:rsid w:val="00597DF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9634">
      <w:bodyDiv w:val="1"/>
      <w:marLeft w:val="0"/>
      <w:marRight w:val="0"/>
      <w:marTop w:val="0"/>
      <w:marBottom w:val="0"/>
      <w:divBdr>
        <w:top w:val="none" w:sz="0" w:space="0" w:color="auto"/>
        <w:left w:val="none" w:sz="0" w:space="0" w:color="auto"/>
        <w:bottom w:val="none" w:sz="0" w:space="0" w:color="auto"/>
        <w:right w:val="none" w:sz="0" w:space="0" w:color="auto"/>
      </w:divBdr>
    </w:div>
    <w:div w:id="1613783029">
      <w:bodyDiv w:val="1"/>
      <w:marLeft w:val="0"/>
      <w:marRight w:val="0"/>
      <w:marTop w:val="0"/>
      <w:marBottom w:val="0"/>
      <w:divBdr>
        <w:top w:val="none" w:sz="0" w:space="0" w:color="auto"/>
        <w:left w:val="none" w:sz="0" w:space="0" w:color="auto"/>
        <w:bottom w:val="none" w:sz="0" w:space="0" w:color="auto"/>
        <w:right w:val="none" w:sz="0" w:space="0" w:color="auto"/>
      </w:divBdr>
    </w:div>
    <w:div w:id="18682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7E6F0-335B-4C11-9B1B-7BA7ECDE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3252</Words>
  <Characters>17981</Characters>
  <Application>Microsoft Office Word</Application>
  <DocSecurity>0</DocSecurity>
  <Lines>417</Lines>
  <Paragraphs>104</Paragraphs>
  <ScaleCrop>false</ScaleCrop>
  <HeadingPairs>
    <vt:vector size="2" baseType="variant">
      <vt:variant>
        <vt:lpstr>Title</vt:lpstr>
      </vt:variant>
      <vt:variant>
        <vt:i4>1</vt:i4>
      </vt:variant>
    </vt:vector>
  </HeadingPairs>
  <TitlesOfParts>
    <vt:vector size="1" baseType="lpstr">
      <vt:lpstr>Regulatory Impact Statement</vt:lpstr>
    </vt:vector>
  </TitlesOfParts>
  <Company>ACT Government</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dc:title>
  <dc:subject/>
  <dc:creator>Nicola Clark</dc:creator>
  <cp:keywords>2</cp:keywords>
  <dc:description/>
  <cp:lastModifiedBy>PCODCS</cp:lastModifiedBy>
  <cp:revision>4</cp:revision>
  <cp:lastPrinted>2009-05-19T03:04:00Z</cp:lastPrinted>
  <dcterms:created xsi:type="dcterms:W3CDTF">2022-12-20T04:08:00Z</dcterms:created>
  <dcterms:modified xsi:type="dcterms:W3CDTF">2022-12-20T04:08:00Z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A40000577</vt:lpwstr>
  </property>
  <property fmtid="{D5CDD505-2E9C-101B-9397-08002B2CF9AE}" pid="4" name="Objective-Title">
    <vt:lpwstr>Attachment D - Regulatory Impact Statement - Public Health (COVID-19 Management) Declaration Updated#2</vt:lpwstr>
  </property>
  <property fmtid="{D5CDD505-2E9C-101B-9397-08002B2CF9AE}" pid="5" name="Objective-Comment">
    <vt:lpwstr/>
  </property>
  <property fmtid="{D5CDD505-2E9C-101B-9397-08002B2CF9AE}" pid="6" name="Objective-CreationStamp">
    <vt:filetime>2022-12-12T03:18:46Z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2022-12-12T23:03:52Z</vt:filetime>
  </property>
  <property fmtid="{D5CDD505-2E9C-101B-9397-08002B2CF9AE}" pid="11" name="Objective-Owner">
    <vt:lpwstr>Emma Brokman</vt:lpwstr>
  </property>
  <property fmtid="{D5CDD505-2E9C-101B-9397-08002B2CF9AE}" pid="12" name="Objective-Path">
    <vt:lpwstr>Whole of ACT Government:ACTHD - ACT Health:GROUP: Population Health GROUP (PH):11. COVID-19 Response:03. Policy and Support Systems:04. Policy and Government:GOVERNMENT AND STAKEHOLDER RELATIONS:COVID-19 Management Declaration:2. COVID-19 Management Declarations and Advice:3. COVID-19 Management Declaration Extension:</vt:lpwstr>
  </property>
  <property fmtid="{D5CDD505-2E9C-101B-9397-08002B2CF9AE}" pid="13" name="Objective-Parent">
    <vt:lpwstr>3. COVID-19 Management Declaration Extension</vt:lpwstr>
  </property>
  <property fmtid="{D5CDD505-2E9C-101B-9397-08002B2CF9AE}" pid="14" name="Objective-State">
    <vt:lpwstr>Being Drafted</vt:lpwstr>
  </property>
  <property fmtid="{D5CDD505-2E9C-101B-9397-08002B2CF9AE}" pid="15" name="Objective-Version">
    <vt:lpwstr>3.1</vt:lpwstr>
  </property>
  <property fmtid="{D5CDD505-2E9C-101B-9397-08002B2CF9AE}" pid="16" name="Objective-VersionNumber">
    <vt:r8>7</vt:r8>
  </property>
  <property fmtid="{D5CDD505-2E9C-101B-9397-08002B2CF9AE}" pid="17" name="Objective-VersionComment">
    <vt:lpwstr>accepting proposed changes</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ACTHD - ACT Health Directorate</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ClassificationContentMarkingHeaderShapeIds">
    <vt:lpwstr>1,2,3</vt:lpwstr>
  </property>
  <property fmtid="{D5CDD505-2E9C-101B-9397-08002B2CF9AE}" pid="33" name="ClassificationContentMarkingHeaderFontProps">
    <vt:lpwstr>#ff0000,12,Calibri</vt:lpwstr>
  </property>
  <property fmtid="{D5CDD505-2E9C-101B-9397-08002B2CF9AE}" pid="34" name="ClassificationContentMarkingHeaderText">
    <vt:lpwstr>OFFICIAL</vt:lpwstr>
  </property>
  <property fmtid="{D5CDD505-2E9C-101B-9397-08002B2CF9AE}" pid="35" name="MSIP_Label_690d47f2-2d0a-4515-b8de-e13c18f23c62_Enabled">
    <vt:lpwstr>true</vt:lpwstr>
  </property>
  <property fmtid="{D5CDD505-2E9C-101B-9397-08002B2CF9AE}" pid="36" name="MSIP_Label_690d47f2-2d0a-4515-b8de-e13c18f23c62_SetDate">
    <vt:lpwstr>2022-09-20T08:01:11Z</vt:lpwstr>
  </property>
  <property fmtid="{D5CDD505-2E9C-101B-9397-08002B2CF9AE}" pid="37" name="MSIP_Label_690d47f2-2d0a-4515-b8de-e13c18f23c62_Method">
    <vt:lpwstr>Privileged</vt:lpwstr>
  </property>
  <property fmtid="{D5CDD505-2E9C-101B-9397-08002B2CF9AE}" pid="38" name="MSIP_Label_690d47f2-2d0a-4515-b8de-e13c18f23c62_Name">
    <vt:lpwstr>OFFICIAL</vt:lpwstr>
  </property>
  <property fmtid="{D5CDD505-2E9C-101B-9397-08002B2CF9AE}" pid="39" name="MSIP_Label_690d47f2-2d0a-4515-b8de-e13c18f23c62_SiteId">
    <vt:lpwstr>b46c1908-0334-4236-b978-585ee88e4199</vt:lpwstr>
  </property>
  <property fmtid="{D5CDD505-2E9C-101B-9397-08002B2CF9AE}" pid="40" name="MSIP_Label_690d47f2-2d0a-4515-b8de-e13c18f23c62_ActionId">
    <vt:lpwstr>1190b1a3-8802-4a5f-83e9-4aa61224b6b2</vt:lpwstr>
  </property>
  <property fmtid="{D5CDD505-2E9C-101B-9397-08002B2CF9AE}" pid="41" name="MSIP_Label_690d47f2-2d0a-4515-b8de-e13c18f23c62_ContentBits">
    <vt:lpwstr>1</vt:lpwstr>
  </property>
  <property fmtid="{D5CDD505-2E9C-101B-9397-08002B2CF9AE}" pid="42" name="DMSID">
    <vt:lpwstr>10051227</vt:lpwstr>
  </property>
  <property fmtid="{D5CDD505-2E9C-101B-9397-08002B2CF9AE}" pid="43" name="CHECKEDOUTFROMJMS">
    <vt:lpwstr/>
  </property>
  <property fmtid="{D5CDD505-2E9C-101B-9397-08002B2CF9AE}" pid="44" name="JMSREQUIREDCHECKIN">
    <vt:lpwstr/>
  </property>
</Properties>
</file>