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2720" w14:textId="02699EB7" w:rsidR="00937A95" w:rsidRDefault="00937A95">
      <w:pPr>
        <w:spacing w:before="0" w:after="160" w:line="259" w:lineRule="auto"/>
      </w:pPr>
      <w:r>
        <w:rPr>
          <w:noProof/>
          <w:color w:val="000000" w:themeColor="text1"/>
        </w:rPr>
        <w:drawing>
          <wp:inline distT="0" distB="0" distL="0" distR="0" wp14:anchorId="2050AC63" wp14:editId="51F21254">
            <wp:extent cx="1753235" cy="890270"/>
            <wp:effectExtent l="0" t="0" r="0" b="0"/>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0">
                      <a:extLst>
                        <a:ext uri="{28A0092B-C50C-407E-A947-70E740481C1C}">
                          <a14:useLocalDpi xmlns:a14="http://schemas.microsoft.com/office/drawing/2010/main" val="0"/>
                        </a:ext>
                      </a:extLst>
                    </a:blip>
                    <a:stretch>
                      <a:fillRect/>
                    </a:stretch>
                  </pic:blipFill>
                  <pic:spPr>
                    <a:xfrm>
                      <a:off x="0" y="0"/>
                      <a:ext cx="1753235" cy="890270"/>
                    </a:xfrm>
                    <a:prstGeom prst="rect">
                      <a:avLst/>
                    </a:prstGeom>
                  </pic:spPr>
                </pic:pic>
              </a:graphicData>
            </a:graphic>
          </wp:inline>
        </w:drawing>
      </w:r>
    </w:p>
    <w:p w14:paraId="67A08F03" w14:textId="1837976A" w:rsidR="00937A95" w:rsidRDefault="00937A95">
      <w:pPr>
        <w:spacing w:before="0" w:after="160" w:line="259" w:lineRule="auto"/>
      </w:pPr>
    </w:p>
    <w:p w14:paraId="27B53642" w14:textId="27535275" w:rsidR="00937A95" w:rsidRPr="00C63676" w:rsidRDefault="00244DFA" w:rsidP="00041F2C">
      <w:pPr>
        <w:pStyle w:val="Title"/>
        <w:spacing w:after="0"/>
        <w:ind w:left="1440"/>
        <w:rPr>
          <w:sz w:val="56"/>
          <w:szCs w:val="56"/>
        </w:rPr>
      </w:pPr>
      <w:bookmarkStart w:id="0" w:name="_Toc195019337"/>
      <w:bookmarkStart w:id="1" w:name="_Toc195019536"/>
      <w:bookmarkStart w:id="2" w:name="_Toc195019825"/>
      <w:bookmarkStart w:id="3" w:name="_Toc195019990"/>
      <w:bookmarkStart w:id="4" w:name="_Toc195175891"/>
      <w:bookmarkStart w:id="5" w:name="_Toc228796192"/>
      <w:r w:rsidRPr="00C63676">
        <w:rPr>
          <w:sz w:val="56"/>
          <w:szCs w:val="56"/>
        </w:rPr>
        <w:t xml:space="preserve">CHANGES TO OPERATING TIMES OF </w:t>
      </w:r>
      <w:r w:rsidR="00504E29" w:rsidRPr="00C63676">
        <w:rPr>
          <w:sz w:val="56"/>
          <w:szCs w:val="56"/>
        </w:rPr>
        <w:t xml:space="preserve">ELECTRONIC </w:t>
      </w:r>
      <w:r w:rsidRPr="00C63676">
        <w:rPr>
          <w:sz w:val="56"/>
          <w:szCs w:val="56"/>
        </w:rPr>
        <w:t>GAMING MACHINES</w:t>
      </w:r>
      <w:bookmarkEnd w:id="0"/>
      <w:bookmarkEnd w:id="1"/>
      <w:bookmarkEnd w:id="2"/>
      <w:bookmarkEnd w:id="3"/>
      <w:bookmarkEnd w:id="4"/>
      <w:bookmarkEnd w:id="5"/>
      <w:r w:rsidR="00C63676" w:rsidRPr="00C63676">
        <w:rPr>
          <w:sz w:val="56"/>
          <w:szCs w:val="56"/>
        </w:rPr>
        <w:t xml:space="preserve"> </w:t>
      </w:r>
    </w:p>
    <w:p w14:paraId="6DEF451C" w14:textId="2D061F23" w:rsidR="00937A95" w:rsidRDefault="00715866" w:rsidP="00041F2C">
      <w:pPr>
        <w:pStyle w:val="Subtitle"/>
        <w:ind w:left="1440"/>
        <w:jc w:val="left"/>
      </w:pPr>
      <w:r>
        <w:t>Regulatory Impact Assessment</w:t>
      </w:r>
    </w:p>
    <w:p w14:paraId="2200FEBB" w14:textId="59D474B2" w:rsidR="00F91C4B" w:rsidRPr="00F91C4B" w:rsidRDefault="00F91C4B" w:rsidP="00F91C4B">
      <w:pPr>
        <w:jc w:val="center"/>
        <w:rPr>
          <w:color w:val="FFFFFF" w:themeColor="background1"/>
        </w:rPr>
      </w:pPr>
      <w:r w:rsidRPr="00F91C4B">
        <w:rPr>
          <w:color w:val="FFFFFF" w:themeColor="background1"/>
        </w:rPr>
        <w:t>Gambling and Racing Control (Code of Practice) Amendment Regulation 2026 (No 1)</w:t>
      </w:r>
      <w:r>
        <w:rPr>
          <w:color w:val="FFFFFF" w:themeColor="background1"/>
        </w:rPr>
        <w:br/>
        <w:t>SL2026-15</w:t>
      </w:r>
    </w:p>
    <w:p w14:paraId="0F3B39C9" w14:textId="6CEAE8D1" w:rsidR="00937A95" w:rsidRPr="00222C35" w:rsidRDefault="00244DFA" w:rsidP="00041F2C">
      <w:pPr>
        <w:pStyle w:val="IntroParagraph"/>
        <w:spacing w:before="0" w:after="0"/>
        <w:ind w:left="1440"/>
        <w:rPr>
          <w:color w:val="FFFFFF" w:themeColor="background1"/>
        </w:rPr>
      </w:pPr>
      <w:r>
        <w:rPr>
          <w:color w:val="FFFFFF" w:themeColor="background1"/>
        </w:rPr>
        <w:t>JUSTICE AND COMMUNITY SAFETY DIRECTORATE</w:t>
      </w:r>
    </w:p>
    <w:p w14:paraId="0271624C" w14:textId="5B578500" w:rsidR="00937A95" w:rsidRPr="00937A95" w:rsidRDefault="007C6075" w:rsidP="00041F2C">
      <w:pPr>
        <w:pStyle w:val="IntroParagraph"/>
        <w:spacing w:before="0" w:after="8520"/>
        <w:ind w:left="1440"/>
        <w:rPr>
          <w:color w:val="FFFFFF" w:themeColor="background1"/>
        </w:rPr>
      </w:pPr>
      <w:r>
        <w:rPr>
          <w:color w:val="FFFFFF" w:themeColor="background1"/>
        </w:rPr>
        <w:t xml:space="preserve">July </w:t>
      </w:r>
      <w:r w:rsidR="00244DFA">
        <w:rPr>
          <w:color w:val="FFFFFF" w:themeColor="background1"/>
        </w:rPr>
        <w:t>202</w:t>
      </w:r>
      <w:r w:rsidR="006D10C4">
        <w:rPr>
          <w:color w:val="FFFFFF" w:themeColor="background1"/>
        </w:rPr>
        <w:t>6</w:t>
      </w:r>
    </w:p>
    <w:p w14:paraId="2926E197" w14:textId="77777777" w:rsidR="009266DD" w:rsidRDefault="009266DD" w:rsidP="00825C83">
      <w:pPr>
        <w:pStyle w:val="Heading1"/>
        <w:sectPr w:rsidR="009266DD" w:rsidSect="00F91C4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4" w:right="1134" w:bottom="1701" w:left="1134" w:header="567" w:footer="510" w:gutter="0"/>
          <w:cols w:space="720"/>
          <w:titlePg/>
          <w:docGrid w:linePitch="299"/>
        </w:sectPr>
      </w:pPr>
    </w:p>
    <w:sdt>
      <w:sdtPr>
        <w:rPr>
          <w:rFonts w:ascii="Calibri" w:eastAsia="Times New Roman" w:hAnsi="Calibri" w:cs="Times New Roman"/>
          <w:color w:val="auto"/>
          <w:sz w:val="22"/>
          <w:szCs w:val="20"/>
          <w:lang w:val="en-AU"/>
        </w:rPr>
        <w:id w:val="-1886097740"/>
        <w:docPartObj>
          <w:docPartGallery w:val="Table of Contents"/>
          <w:docPartUnique/>
        </w:docPartObj>
      </w:sdtPr>
      <w:sdtEndPr>
        <w:rPr>
          <w:b/>
          <w:bCs/>
          <w:noProof/>
          <w:szCs w:val="22"/>
        </w:rPr>
      </w:sdtEndPr>
      <w:sdtContent>
        <w:p w14:paraId="30703385" w14:textId="77777777" w:rsidR="00B67C5D" w:rsidRDefault="002D5D9C" w:rsidP="006032ED">
          <w:pPr>
            <w:pStyle w:val="TOCHeading"/>
            <w:rPr>
              <w:noProof/>
            </w:rPr>
          </w:pPr>
          <w:r w:rsidRPr="002D5D9C">
            <w:rPr>
              <w:rStyle w:val="Heading1Char"/>
              <w:rFonts w:eastAsiaTheme="majorEastAsia"/>
            </w:rPr>
            <w:t>Table of Contents</w:t>
          </w:r>
          <w:r w:rsidRPr="002D5D9C">
            <w:rPr>
              <w:sz w:val="28"/>
              <w:szCs w:val="24"/>
            </w:rPr>
            <w:fldChar w:fldCharType="begin"/>
          </w:r>
          <w:r w:rsidRPr="002D5D9C">
            <w:rPr>
              <w:sz w:val="28"/>
              <w:szCs w:val="24"/>
            </w:rPr>
            <w:instrText xml:space="preserve"> TOC \o "1-3" \h \z \u </w:instrText>
          </w:r>
          <w:r w:rsidRPr="002D5D9C">
            <w:rPr>
              <w:sz w:val="28"/>
              <w:szCs w:val="24"/>
            </w:rPr>
            <w:fldChar w:fldCharType="separate"/>
          </w:r>
        </w:p>
        <w:p w14:paraId="5B7535AE" w14:textId="73626E5C"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2" w:history="1">
            <w:r w:rsidRPr="002848E3">
              <w:rPr>
                <w:rStyle w:val="Hyperlink"/>
                <w:noProof/>
              </w:rPr>
              <w:t>CHANGES TO OPERATING TIMES OF ELECTRONIC GAMING MACHINES</w:t>
            </w:r>
            <w:r>
              <w:rPr>
                <w:noProof/>
                <w:webHidden/>
              </w:rPr>
              <w:tab/>
            </w:r>
            <w:r>
              <w:rPr>
                <w:noProof/>
                <w:webHidden/>
              </w:rPr>
              <w:fldChar w:fldCharType="begin"/>
            </w:r>
            <w:r>
              <w:rPr>
                <w:noProof/>
                <w:webHidden/>
              </w:rPr>
              <w:instrText xml:space="preserve"> PAGEREF _Toc228796192 \h </w:instrText>
            </w:r>
            <w:r>
              <w:rPr>
                <w:noProof/>
                <w:webHidden/>
              </w:rPr>
            </w:r>
            <w:r>
              <w:rPr>
                <w:noProof/>
                <w:webHidden/>
              </w:rPr>
              <w:fldChar w:fldCharType="separate"/>
            </w:r>
            <w:r w:rsidR="00AB4FF0">
              <w:rPr>
                <w:noProof/>
                <w:webHidden/>
              </w:rPr>
              <w:t>1</w:t>
            </w:r>
            <w:r>
              <w:rPr>
                <w:noProof/>
                <w:webHidden/>
              </w:rPr>
              <w:fldChar w:fldCharType="end"/>
            </w:r>
          </w:hyperlink>
        </w:p>
        <w:p w14:paraId="3A992F2D" w14:textId="566CEA11"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3" w:history="1">
            <w:r w:rsidRPr="002848E3">
              <w:rPr>
                <w:rStyle w:val="Hyperlink"/>
                <w:noProof/>
              </w:rPr>
              <w:t>Assessment of the consistency of the proposed law with Scrutiny of Bills Committee principles</w:t>
            </w:r>
            <w:r>
              <w:rPr>
                <w:noProof/>
                <w:webHidden/>
              </w:rPr>
              <w:tab/>
            </w:r>
            <w:r>
              <w:rPr>
                <w:noProof/>
                <w:webHidden/>
              </w:rPr>
              <w:fldChar w:fldCharType="begin"/>
            </w:r>
            <w:r>
              <w:rPr>
                <w:noProof/>
                <w:webHidden/>
              </w:rPr>
              <w:instrText xml:space="preserve"> PAGEREF _Toc228796193 \h </w:instrText>
            </w:r>
            <w:r>
              <w:rPr>
                <w:noProof/>
                <w:webHidden/>
              </w:rPr>
            </w:r>
            <w:r>
              <w:rPr>
                <w:noProof/>
                <w:webHidden/>
              </w:rPr>
              <w:fldChar w:fldCharType="separate"/>
            </w:r>
            <w:r w:rsidR="00AB4FF0">
              <w:rPr>
                <w:noProof/>
                <w:webHidden/>
              </w:rPr>
              <w:t>3</w:t>
            </w:r>
            <w:r>
              <w:rPr>
                <w:noProof/>
                <w:webHidden/>
              </w:rPr>
              <w:fldChar w:fldCharType="end"/>
            </w:r>
          </w:hyperlink>
        </w:p>
        <w:p w14:paraId="21B39875" w14:textId="2FBC3994"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4" w:history="1">
            <w:r w:rsidRPr="002848E3">
              <w:rPr>
                <w:rStyle w:val="Hyperlink"/>
                <w:noProof/>
              </w:rPr>
              <w:t>Background</w:t>
            </w:r>
            <w:r>
              <w:rPr>
                <w:noProof/>
                <w:webHidden/>
              </w:rPr>
              <w:tab/>
            </w:r>
            <w:r>
              <w:rPr>
                <w:noProof/>
                <w:webHidden/>
              </w:rPr>
              <w:fldChar w:fldCharType="begin"/>
            </w:r>
            <w:r>
              <w:rPr>
                <w:noProof/>
                <w:webHidden/>
              </w:rPr>
              <w:instrText xml:space="preserve"> PAGEREF _Toc228796194 \h </w:instrText>
            </w:r>
            <w:r>
              <w:rPr>
                <w:noProof/>
                <w:webHidden/>
              </w:rPr>
            </w:r>
            <w:r>
              <w:rPr>
                <w:noProof/>
                <w:webHidden/>
              </w:rPr>
              <w:fldChar w:fldCharType="separate"/>
            </w:r>
            <w:r w:rsidR="00AB4FF0">
              <w:rPr>
                <w:noProof/>
                <w:webHidden/>
              </w:rPr>
              <w:t>3</w:t>
            </w:r>
            <w:r>
              <w:rPr>
                <w:noProof/>
                <w:webHidden/>
              </w:rPr>
              <w:fldChar w:fldCharType="end"/>
            </w:r>
          </w:hyperlink>
        </w:p>
        <w:p w14:paraId="01EC8272" w14:textId="3D3AE56E" w:rsidR="00B67C5D" w:rsidRDefault="00B67C5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5" w:history="1">
            <w:r w:rsidRPr="002848E3">
              <w:rPr>
                <w:rStyle w:val="Hyperlink"/>
                <w:noProof/>
              </w:rPr>
              <w:t>The Authorising Law</w:t>
            </w:r>
            <w:r>
              <w:rPr>
                <w:noProof/>
                <w:webHidden/>
              </w:rPr>
              <w:tab/>
            </w:r>
            <w:r>
              <w:rPr>
                <w:noProof/>
                <w:webHidden/>
              </w:rPr>
              <w:fldChar w:fldCharType="begin"/>
            </w:r>
            <w:r>
              <w:rPr>
                <w:noProof/>
                <w:webHidden/>
              </w:rPr>
              <w:instrText xml:space="preserve"> PAGEREF _Toc228796195 \h </w:instrText>
            </w:r>
            <w:r>
              <w:rPr>
                <w:noProof/>
                <w:webHidden/>
              </w:rPr>
            </w:r>
            <w:r>
              <w:rPr>
                <w:noProof/>
                <w:webHidden/>
              </w:rPr>
              <w:fldChar w:fldCharType="separate"/>
            </w:r>
            <w:r w:rsidR="00AB4FF0">
              <w:rPr>
                <w:noProof/>
                <w:webHidden/>
              </w:rPr>
              <w:t>3</w:t>
            </w:r>
            <w:r>
              <w:rPr>
                <w:noProof/>
                <w:webHidden/>
              </w:rPr>
              <w:fldChar w:fldCharType="end"/>
            </w:r>
          </w:hyperlink>
        </w:p>
        <w:p w14:paraId="6954FCE5" w14:textId="714F3631"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6" w:history="1">
            <w:r w:rsidRPr="002848E3">
              <w:rPr>
                <w:rStyle w:val="Hyperlink"/>
                <w:noProof/>
              </w:rPr>
              <w:t>The problem</w:t>
            </w:r>
            <w:r>
              <w:rPr>
                <w:noProof/>
                <w:webHidden/>
              </w:rPr>
              <w:tab/>
            </w:r>
            <w:r>
              <w:rPr>
                <w:noProof/>
                <w:webHidden/>
              </w:rPr>
              <w:fldChar w:fldCharType="begin"/>
            </w:r>
            <w:r>
              <w:rPr>
                <w:noProof/>
                <w:webHidden/>
              </w:rPr>
              <w:instrText xml:space="preserve"> PAGEREF _Toc228796196 \h </w:instrText>
            </w:r>
            <w:r>
              <w:rPr>
                <w:noProof/>
                <w:webHidden/>
              </w:rPr>
            </w:r>
            <w:r>
              <w:rPr>
                <w:noProof/>
                <w:webHidden/>
              </w:rPr>
              <w:fldChar w:fldCharType="separate"/>
            </w:r>
            <w:r w:rsidR="00AB4FF0">
              <w:rPr>
                <w:noProof/>
                <w:webHidden/>
              </w:rPr>
              <w:t>4</w:t>
            </w:r>
            <w:r>
              <w:rPr>
                <w:noProof/>
                <w:webHidden/>
              </w:rPr>
              <w:fldChar w:fldCharType="end"/>
            </w:r>
          </w:hyperlink>
        </w:p>
        <w:p w14:paraId="7C76C0D8" w14:textId="523392F5"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7" w:history="1">
            <w:r w:rsidRPr="002848E3">
              <w:rPr>
                <w:rStyle w:val="Hyperlink"/>
                <w:noProof/>
              </w:rPr>
              <w:t>Objectives of the regulation</w:t>
            </w:r>
            <w:r>
              <w:rPr>
                <w:noProof/>
                <w:webHidden/>
              </w:rPr>
              <w:tab/>
            </w:r>
            <w:r>
              <w:rPr>
                <w:noProof/>
                <w:webHidden/>
              </w:rPr>
              <w:fldChar w:fldCharType="begin"/>
            </w:r>
            <w:r>
              <w:rPr>
                <w:noProof/>
                <w:webHidden/>
              </w:rPr>
              <w:instrText xml:space="preserve"> PAGEREF _Toc228796197 \h </w:instrText>
            </w:r>
            <w:r>
              <w:rPr>
                <w:noProof/>
                <w:webHidden/>
              </w:rPr>
            </w:r>
            <w:r>
              <w:rPr>
                <w:noProof/>
                <w:webHidden/>
              </w:rPr>
              <w:fldChar w:fldCharType="separate"/>
            </w:r>
            <w:r w:rsidR="00AB4FF0">
              <w:rPr>
                <w:noProof/>
                <w:webHidden/>
              </w:rPr>
              <w:t>6</w:t>
            </w:r>
            <w:r>
              <w:rPr>
                <w:noProof/>
                <w:webHidden/>
              </w:rPr>
              <w:fldChar w:fldCharType="end"/>
            </w:r>
          </w:hyperlink>
        </w:p>
        <w:p w14:paraId="72D125A3" w14:textId="387A5206"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8" w:history="1">
            <w:r w:rsidRPr="002848E3">
              <w:rPr>
                <w:rStyle w:val="Hyperlink"/>
                <w:noProof/>
              </w:rPr>
              <w:t>Feasible options</w:t>
            </w:r>
            <w:r>
              <w:rPr>
                <w:noProof/>
                <w:webHidden/>
              </w:rPr>
              <w:tab/>
            </w:r>
            <w:r>
              <w:rPr>
                <w:noProof/>
                <w:webHidden/>
              </w:rPr>
              <w:fldChar w:fldCharType="begin"/>
            </w:r>
            <w:r>
              <w:rPr>
                <w:noProof/>
                <w:webHidden/>
              </w:rPr>
              <w:instrText xml:space="preserve"> PAGEREF _Toc228796198 \h </w:instrText>
            </w:r>
            <w:r>
              <w:rPr>
                <w:noProof/>
                <w:webHidden/>
              </w:rPr>
            </w:r>
            <w:r>
              <w:rPr>
                <w:noProof/>
                <w:webHidden/>
              </w:rPr>
              <w:fldChar w:fldCharType="separate"/>
            </w:r>
            <w:r w:rsidR="00AB4FF0">
              <w:rPr>
                <w:noProof/>
                <w:webHidden/>
              </w:rPr>
              <w:t>6</w:t>
            </w:r>
            <w:r>
              <w:rPr>
                <w:noProof/>
                <w:webHidden/>
              </w:rPr>
              <w:fldChar w:fldCharType="end"/>
            </w:r>
          </w:hyperlink>
        </w:p>
        <w:p w14:paraId="5C9DD221" w14:textId="2762360D" w:rsidR="00B67C5D" w:rsidRDefault="00B67C5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199" w:history="1">
            <w:r w:rsidRPr="002848E3">
              <w:rPr>
                <w:rStyle w:val="Hyperlink"/>
                <w:noProof/>
              </w:rPr>
              <w:t>Option 1: No change – retain existing Regulation and shutdown period</w:t>
            </w:r>
            <w:r>
              <w:rPr>
                <w:noProof/>
                <w:webHidden/>
              </w:rPr>
              <w:tab/>
            </w:r>
            <w:r>
              <w:rPr>
                <w:noProof/>
                <w:webHidden/>
              </w:rPr>
              <w:fldChar w:fldCharType="begin"/>
            </w:r>
            <w:r>
              <w:rPr>
                <w:noProof/>
                <w:webHidden/>
              </w:rPr>
              <w:instrText xml:space="preserve"> PAGEREF _Toc228796199 \h </w:instrText>
            </w:r>
            <w:r>
              <w:rPr>
                <w:noProof/>
                <w:webHidden/>
              </w:rPr>
            </w:r>
            <w:r>
              <w:rPr>
                <w:noProof/>
                <w:webHidden/>
              </w:rPr>
              <w:fldChar w:fldCharType="separate"/>
            </w:r>
            <w:r w:rsidR="00AB4FF0">
              <w:rPr>
                <w:noProof/>
                <w:webHidden/>
              </w:rPr>
              <w:t>7</w:t>
            </w:r>
            <w:r>
              <w:rPr>
                <w:noProof/>
                <w:webHidden/>
              </w:rPr>
              <w:fldChar w:fldCharType="end"/>
            </w:r>
          </w:hyperlink>
        </w:p>
        <w:p w14:paraId="2D9315D4" w14:textId="748F2DC1" w:rsidR="00B67C5D" w:rsidRDefault="00B67C5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200" w:history="1">
            <w:r w:rsidRPr="002848E3">
              <w:rPr>
                <w:rStyle w:val="Hyperlink"/>
                <w:noProof/>
              </w:rPr>
              <w:t>Option 2: Encourage self-regulation by licensees to increase the shutdown period</w:t>
            </w:r>
            <w:r>
              <w:rPr>
                <w:noProof/>
                <w:webHidden/>
              </w:rPr>
              <w:tab/>
            </w:r>
            <w:r>
              <w:rPr>
                <w:noProof/>
                <w:webHidden/>
              </w:rPr>
              <w:fldChar w:fldCharType="begin"/>
            </w:r>
            <w:r>
              <w:rPr>
                <w:noProof/>
                <w:webHidden/>
              </w:rPr>
              <w:instrText xml:space="preserve"> PAGEREF _Toc228796200 \h </w:instrText>
            </w:r>
            <w:r>
              <w:rPr>
                <w:noProof/>
                <w:webHidden/>
              </w:rPr>
            </w:r>
            <w:r>
              <w:rPr>
                <w:noProof/>
                <w:webHidden/>
              </w:rPr>
              <w:fldChar w:fldCharType="separate"/>
            </w:r>
            <w:r w:rsidR="00AB4FF0">
              <w:rPr>
                <w:noProof/>
                <w:webHidden/>
              </w:rPr>
              <w:t>7</w:t>
            </w:r>
            <w:r>
              <w:rPr>
                <w:noProof/>
                <w:webHidden/>
              </w:rPr>
              <w:fldChar w:fldCharType="end"/>
            </w:r>
          </w:hyperlink>
        </w:p>
        <w:p w14:paraId="7EB937AF" w14:textId="445C1C50" w:rsidR="00B67C5D" w:rsidRDefault="00B67C5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201" w:history="1">
            <w:r w:rsidRPr="002848E3">
              <w:rPr>
                <w:rStyle w:val="Hyperlink"/>
                <w:noProof/>
              </w:rPr>
              <w:t>Option 3: Expand the existing shutdown period so that licensees must not operate gaming machines during certain times, with shorter hours of operation permitted during the week while permitting longer hours on Friday and Saturday and into Sunday morning</w:t>
            </w:r>
            <w:r>
              <w:rPr>
                <w:noProof/>
                <w:webHidden/>
              </w:rPr>
              <w:tab/>
            </w:r>
            <w:r>
              <w:rPr>
                <w:noProof/>
                <w:webHidden/>
              </w:rPr>
              <w:fldChar w:fldCharType="begin"/>
            </w:r>
            <w:r>
              <w:rPr>
                <w:noProof/>
                <w:webHidden/>
              </w:rPr>
              <w:instrText xml:space="preserve"> PAGEREF _Toc228796201 \h </w:instrText>
            </w:r>
            <w:r>
              <w:rPr>
                <w:noProof/>
                <w:webHidden/>
              </w:rPr>
            </w:r>
            <w:r>
              <w:rPr>
                <w:noProof/>
                <w:webHidden/>
              </w:rPr>
              <w:fldChar w:fldCharType="separate"/>
            </w:r>
            <w:r w:rsidR="00AB4FF0">
              <w:rPr>
                <w:noProof/>
                <w:webHidden/>
              </w:rPr>
              <w:t>8</w:t>
            </w:r>
            <w:r>
              <w:rPr>
                <w:noProof/>
                <w:webHidden/>
              </w:rPr>
              <w:fldChar w:fldCharType="end"/>
            </w:r>
          </w:hyperlink>
        </w:p>
        <w:p w14:paraId="229A3454" w14:textId="60586EAA" w:rsidR="00B67C5D" w:rsidRDefault="00B67C5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202" w:history="1">
            <w:r w:rsidRPr="002848E3">
              <w:rPr>
                <w:rStyle w:val="Hyperlink"/>
                <w:noProof/>
              </w:rPr>
              <w:t>Recommended option (option 3)</w:t>
            </w:r>
            <w:r>
              <w:rPr>
                <w:noProof/>
                <w:webHidden/>
              </w:rPr>
              <w:tab/>
            </w:r>
            <w:r>
              <w:rPr>
                <w:noProof/>
                <w:webHidden/>
              </w:rPr>
              <w:fldChar w:fldCharType="begin"/>
            </w:r>
            <w:r>
              <w:rPr>
                <w:noProof/>
                <w:webHidden/>
              </w:rPr>
              <w:instrText xml:space="preserve"> PAGEREF _Toc228796202 \h </w:instrText>
            </w:r>
            <w:r>
              <w:rPr>
                <w:noProof/>
                <w:webHidden/>
              </w:rPr>
            </w:r>
            <w:r>
              <w:rPr>
                <w:noProof/>
                <w:webHidden/>
              </w:rPr>
              <w:fldChar w:fldCharType="separate"/>
            </w:r>
            <w:r w:rsidR="00AB4FF0">
              <w:rPr>
                <w:noProof/>
                <w:webHidden/>
              </w:rPr>
              <w:t>8</w:t>
            </w:r>
            <w:r>
              <w:rPr>
                <w:noProof/>
                <w:webHidden/>
              </w:rPr>
              <w:fldChar w:fldCharType="end"/>
            </w:r>
          </w:hyperlink>
        </w:p>
        <w:p w14:paraId="10D648D2" w14:textId="254E37AA"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203" w:history="1">
            <w:r w:rsidRPr="002848E3">
              <w:rPr>
                <w:rStyle w:val="Hyperlink"/>
                <w:noProof/>
              </w:rPr>
              <w:t>Impact analysis</w:t>
            </w:r>
            <w:r>
              <w:rPr>
                <w:noProof/>
                <w:webHidden/>
              </w:rPr>
              <w:tab/>
            </w:r>
            <w:r>
              <w:rPr>
                <w:noProof/>
                <w:webHidden/>
              </w:rPr>
              <w:fldChar w:fldCharType="begin"/>
            </w:r>
            <w:r>
              <w:rPr>
                <w:noProof/>
                <w:webHidden/>
              </w:rPr>
              <w:instrText xml:space="preserve"> PAGEREF _Toc228796203 \h </w:instrText>
            </w:r>
            <w:r>
              <w:rPr>
                <w:noProof/>
                <w:webHidden/>
              </w:rPr>
            </w:r>
            <w:r>
              <w:rPr>
                <w:noProof/>
                <w:webHidden/>
              </w:rPr>
              <w:fldChar w:fldCharType="separate"/>
            </w:r>
            <w:r w:rsidR="00AB4FF0">
              <w:rPr>
                <w:noProof/>
                <w:webHidden/>
              </w:rPr>
              <w:t>9</w:t>
            </w:r>
            <w:r>
              <w:rPr>
                <w:noProof/>
                <w:webHidden/>
              </w:rPr>
              <w:fldChar w:fldCharType="end"/>
            </w:r>
          </w:hyperlink>
        </w:p>
        <w:p w14:paraId="07B44CA6" w14:textId="2EDE4D58" w:rsidR="00B67C5D" w:rsidRDefault="00B67C5D">
          <w:pPr>
            <w:pStyle w:val="TOC1"/>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228796204" w:history="1">
            <w:r w:rsidRPr="002848E3">
              <w:rPr>
                <w:rStyle w:val="Hyperlink"/>
                <w:noProof/>
              </w:rPr>
              <w:t>Post implementation review of regulation</w:t>
            </w:r>
            <w:r>
              <w:rPr>
                <w:noProof/>
                <w:webHidden/>
              </w:rPr>
              <w:tab/>
            </w:r>
            <w:r>
              <w:rPr>
                <w:noProof/>
                <w:webHidden/>
              </w:rPr>
              <w:fldChar w:fldCharType="begin"/>
            </w:r>
            <w:r>
              <w:rPr>
                <w:noProof/>
                <w:webHidden/>
              </w:rPr>
              <w:instrText xml:space="preserve"> PAGEREF _Toc228796204 \h </w:instrText>
            </w:r>
            <w:r>
              <w:rPr>
                <w:noProof/>
                <w:webHidden/>
              </w:rPr>
            </w:r>
            <w:r>
              <w:rPr>
                <w:noProof/>
                <w:webHidden/>
              </w:rPr>
              <w:fldChar w:fldCharType="separate"/>
            </w:r>
            <w:r w:rsidR="00AB4FF0">
              <w:rPr>
                <w:noProof/>
                <w:webHidden/>
              </w:rPr>
              <w:t>13</w:t>
            </w:r>
            <w:r>
              <w:rPr>
                <w:noProof/>
                <w:webHidden/>
              </w:rPr>
              <w:fldChar w:fldCharType="end"/>
            </w:r>
          </w:hyperlink>
        </w:p>
        <w:p w14:paraId="2186ACA9" w14:textId="60131583" w:rsidR="002D5D9C" w:rsidRPr="002D5D9C" w:rsidRDefault="002D5D9C" w:rsidP="002D5D9C">
          <w:pPr>
            <w:rPr>
              <w:b/>
              <w:bCs/>
              <w:noProof/>
              <w:sz w:val="28"/>
              <w:szCs w:val="24"/>
            </w:rPr>
          </w:pPr>
          <w:r w:rsidRPr="002D5D9C">
            <w:rPr>
              <w:b/>
              <w:bCs/>
              <w:noProof/>
              <w:sz w:val="28"/>
              <w:szCs w:val="24"/>
            </w:rPr>
            <w:fldChar w:fldCharType="end"/>
          </w:r>
        </w:p>
      </w:sdtContent>
    </w:sdt>
    <w:p w14:paraId="1AFF63F4" w14:textId="77777777" w:rsidR="002D5D9C" w:rsidRDefault="002D5D9C" w:rsidP="00825C83">
      <w:pPr>
        <w:pStyle w:val="Heading1"/>
      </w:pPr>
    </w:p>
    <w:p w14:paraId="731D0A68" w14:textId="77777777" w:rsidR="002D5D9C" w:rsidRDefault="002D5D9C" w:rsidP="00825C83">
      <w:pPr>
        <w:pStyle w:val="Heading1"/>
      </w:pPr>
    </w:p>
    <w:p w14:paraId="7A465746" w14:textId="77777777" w:rsidR="002D5D9C" w:rsidRDefault="002D5D9C" w:rsidP="00825C83">
      <w:pPr>
        <w:pStyle w:val="Heading1"/>
      </w:pPr>
    </w:p>
    <w:p w14:paraId="5C4D02BD" w14:textId="77777777" w:rsidR="002D5D9C" w:rsidRDefault="002D5D9C" w:rsidP="00825C83">
      <w:pPr>
        <w:pStyle w:val="Heading1"/>
      </w:pPr>
    </w:p>
    <w:p w14:paraId="662BD291" w14:textId="77777777" w:rsidR="002D5D9C" w:rsidRDefault="002D5D9C" w:rsidP="009266DD">
      <w:pPr>
        <w:spacing w:beforeLines="60" w:before="144" w:afterLines="60" w:after="144"/>
        <w:rPr>
          <w:szCs w:val="22"/>
          <w:lang w:eastAsia="en-AU"/>
        </w:rPr>
      </w:pPr>
    </w:p>
    <w:p w14:paraId="7E414A77" w14:textId="77777777" w:rsidR="00070137" w:rsidRPr="00EB3B9B" w:rsidRDefault="00070137" w:rsidP="00070137">
      <w:pPr>
        <w:pStyle w:val="Heading1"/>
      </w:pPr>
      <w:bookmarkStart w:id="6" w:name="_Toc73519058"/>
      <w:bookmarkStart w:id="7" w:name="_Toc228796193"/>
      <w:bookmarkStart w:id="8" w:name="_Hlk218772566"/>
      <w:r w:rsidRPr="00EB3B9B">
        <w:lastRenderedPageBreak/>
        <w:t>Assessment of the consistency of the proposed law with Scrutiny of Bills Committee principles</w:t>
      </w:r>
      <w:bookmarkEnd w:id="6"/>
      <w:bookmarkEnd w:id="7"/>
    </w:p>
    <w:p w14:paraId="29D2A17B" w14:textId="75016B09" w:rsidR="00070137" w:rsidRPr="003C7046" w:rsidRDefault="00070137" w:rsidP="003C7046">
      <w:pPr>
        <w:spacing w:beforeLines="60" w:before="144" w:afterLines="60" w:after="144"/>
        <w:rPr>
          <w:szCs w:val="22"/>
          <w:lang w:eastAsia="en-AU"/>
        </w:rPr>
      </w:pPr>
      <w:r w:rsidRPr="003C7046">
        <w:rPr>
          <w:szCs w:val="22"/>
          <w:lang w:eastAsia="en-AU"/>
        </w:rPr>
        <w:t xml:space="preserve">This Regulatory Impact </w:t>
      </w:r>
      <w:r w:rsidR="00F424AC">
        <w:rPr>
          <w:szCs w:val="22"/>
          <w:lang w:eastAsia="en-AU"/>
        </w:rPr>
        <w:t>Assessment</w:t>
      </w:r>
      <w:r w:rsidRPr="003C7046">
        <w:rPr>
          <w:szCs w:val="22"/>
          <w:lang w:eastAsia="en-AU"/>
        </w:rPr>
        <w:t xml:space="preserve"> was prepared </w:t>
      </w:r>
      <w:r w:rsidR="000067A6">
        <w:rPr>
          <w:szCs w:val="22"/>
          <w:lang w:eastAsia="en-AU"/>
        </w:rPr>
        <w:t>with consideration to</w:t>
      </w:r>
      <w:r w:rsidRPr="003C7046">
        <w:rPr>
          <w:szCs w:val="22"/>
          <w:lang w:eastAsia="en-AU"/>
        </w:rPr>
        <w:t xml:space="preserve"> Part 5.2 of the </w:t>
      </w:r>
      <w:r w:rsidRPr="003C7046">
        <w:rPr>
          <w:i/>
          <w:iCs/>
          <w:szCs w:val="22"/>
          <w:lang w:eastAsia="en-AU"/>
        </w:rPr>
        <w:t>Legislation Act 2001</w:t>
      </w:r>
      <w:r w:rsidRPr="003C7046">
        <w:rPr>
          <w:szCs w:val="22"/>
          <w:lang w:eastAsia="en-AU"/>
        </w:rPr>
        <w:t xml:space="preserve"> and provides an analysis of the regulatory impact of amendments to the </w:t>
      </w:r>
      <w:r w:rsidRPr="003C7046">
        <w:rPr>
          <w:i/>
          <w:iCs/>
          <w:szCs w:val="22"/>
          <w:lang w:eastAsia="en-AU"/>
        </w:rPr>
        <w:t>Gambling and Racing Control (Code of Practice) Regulation 2002</w:t>
      </w:r>
      <w:r w:rsidRPr="003C7046">
        <w:rPr>
          <w:szCs w:val="22"/>
          <w:lang w:eastAsia="en-AU"/>
        </w:rPr>
        <w:t xml:space="preserve"> to (the Regulation), proposed through the </w:t>
      </w:r>
      <w:r w:rsidRPr="003C7046">
        <w:rPr>
          <w:i/>
          <w:iCs/>
          <w:szCs w:val="22"/>
          <w:lang w:eastAsia="en-AU"/>
        </w:rPr>
        <w:t>Gambling and Racing Control (Code of Practice) Amendment Regulation 2026</w:t>
      </w:r>
      <w:r w:rsidR="00867EA4">
        <w:rPr>
          <w:i/>
          <w:iCs/>
          <w:szCs w:val="22"/>
          <w:lang w:eastAsia="en-AU"/>
        </w:rPr>
        <w:t xml:space="preserve"> (No 1)</w:t>
      </w:r>
      <w:r w:rsidRPr="003C7046">
        <w:rPr>
          <w:szCs w:val="22"/>
          <w:lang w:eastAsia="en-AU"/>
        </w:rPr>
        <w:t xml:space="preserve"> (the Amendment Regulation).</w:t>
      </w:r>
    </w:p>
    <w:p w14:paraId="4DAA0746" w14:textId="463CAFF9" w:rsidR="00F424AC" w:rsidRDefault="00070137" w:rsidP="00070137">
      <w:pPr>
        <w:spacing w:beforeLines="60" w:before="144" w:afterLines="60" w:after="144"/>
        <w:rPr>
          <w:szCs w:val="22"/>
          <w:lang w:eastAsia="en-AU"/>
        </w:rPr>
      </w:pPr>
      <w:r w:rsidRPr="003C7046">
        <w:rPr>
          <w:szCs w:val="22"/>
          <w:lang w:eastAsia="en-AU"/>
        </w:rPr>
        <w:t xml:space="preserve">The objective of the Amendment Regulation is to extend the </w:t>
      </w:r>
      <w:r w:rsidR="001C5AA7">
        <w:rPr>
          <w:szCs w:val="22"/>
          <w:lang w:eastAsia="en-AU"/>
        </w:rPr>
        <w:t xml:space="preserve">mandatory </w:t>
      </w:r>
      <w:r w:rsidRPr="003C7046">
        <w:rPr>
          <w:szCs w:val="22"/>
          <w:lang w:eastAsia="en-AU"/>
        </w:rPr>
        <w:t>shutdown period of electronic gaming machines (EGM</w:t>
      </w:r>
      <w:r w:rsidR="003C7046">
        <w:rPr>
          <w:szCs w:val="22"/>
          <w:lang w:eastAsia="en-AU"/>
        </w:rPr>
        <w:t>s</w:t>
      </w:r>
      <w:r w:rsidRPr="003C7046">
        <w:rPr>
          <w:szCs w:val="22"/>
          <w:lang w:eastAsia="en-AU"/>
        </w:rPr>
        <w:t xml:space="preserve">) to address gambling harm </w:t>
      </w:r>
      <w:r w:rsidR="003C7046">
        <w:rPr>
          <w:szCs w:val="22"/>
          <w:lang w:eastAsia="en-AU"/>
        </w:rPr>
        <w:t>experienced by</w:t>
      </w:r>
      <w:r w:rsidRPr="003C7046">
        <w:rPr>
          <w:szCs w:val="22"/>
          <w:lang w:eastAsia="en-AU"/>
        </w:rPr>
        <w:t xml:space="preserve"> individuals us</w:t>
      </w:r>
      <w:r w:rsidR="003C7046">
        <w:rPr>
          <w:szCs w:val="22"/>
          <w:lang w:eastAsia="en-AU"/>
        </w:rPr>
        <w:t>ing</w:t>
      </w:r>
      <w:r w:rsidRPr="003C7046">
        <w:rPr>
          <w:szCs w:val="22"/>
          <w:lang w:eastAsia="en-AU"/>
        </w:rPr>
        <w:t xml:space="preserve"> EGMs</w:t>
      </w:r>
      <w:r w:rsidR="003C7046">
        <w:rPr>
          <w:szCs w:val="22"/>
          <w:lang w:eastAsia="en-AU"/>
        </w:rPr>
        <w:t xml:space="preserve"> </w:t>
      </w:r>
      <w:r w:rsidR="001C5AA7">
        <w:rPr>
          <w:szCs w:val="22"/>
          <w:lang w:eastAsia="en-AU"/>
        </w:rPr>
        <w:t>through</w:t>
      </w:r>
      <w:r w:rsidR="003C7046">
        <w:rPr>
          <w:szCs w:val="22"/>
          <w:lang w:eastAsia="en-AU"/>
        </w:rPr>
        <w:t xml:space="preserve"> a </w:t>
      </w:r>
      <w:r>
        <w:rPr>
          <w:szCs w:val="22"/>
          <w:lang w:eastAsia="en-AU"/>
        </w:rPr>
        <w:t>harm minimisation approach</w:t>
      </w:r>
      <w:r w:rsidR="00F424AC">
        <w:rPr>
          <w:szCs w:val="22"/>
          <w:lang w:eastAsia="en-AU"/>
        </w:rPr>
        <w:t xml:space="preserve"> which restricts </w:t>
      </w:r>
      <w:r w:rsidR="001C5AA7">
        <w:rPr>
          <w:szCs w:val="22"/>
          <w:lang w:eastAsia="en-AU"/>
        </w:rPr>
        <w:t xml:space="preserve">EGM </w:t>
      </w:r>
      <w:r w:rsidR="00F424AC">
        <w:rPr>
          <w:szCs w:val="22"/>
          <w:lang w:eastAsia="en-AU"/>
        </w:rPr>
        <w:t xml:space="preserve">availability </w:t>
      </w:r>
      <w:r w:rsidR="003C7046">
        <w:rPr>
          <w:szCs w:val="22"/>
          <w:lang w:eastAsia="en-AU"/>
        </w:rPr>
        <w:t xml:space="preserve">to address gambling harm from EGM usage. </w:t>
      </w:r>
      <w:r w:rsidR="00F424AC">
        <w:rPr>
          <w:szCs w:val="22"/>
          <w:lang w:eastAsia="en-AU"/>
        </w:rPr>
        <w:t xml:space="preserve"> </w:t>
      </w:r>
    </w:p>
    <w:p w14:paraId="1C96D7AC" w14:textId="557408A4" w:rsidR="00070137" w:rsidRDefault="00F424AC" w:rsidP="00070137">
      <w:pPr>
        <w:spacing w:beforeLines="60" w:before="144" w:afterLines="60" w:after="144"/>
        <w:rPr>
          <w:szCs w:val="22"/>
          <w:lang w:eastAsia="en-AU"/>
        </w:rPr>
      </w:pPr>
      <w:r w:rsidRPr="00F424AC">
        <w:rPr>
          <w:szCs w:val="22"/>
          <w:lang w:eastAsia="en-AU"/>
        </w:rPr>
        <w:t xml:space="preserve">This </w:t>
      </w:r>
      <w:r w:rsidR="001C5AA7">
        <w:rPr>
          <w:szCs w:val="22"/>
          <w:lang w:eastAsia="en-AU"/>
        </w:rPr>
        <w:t>Regulatory Impact Assessment</w:t>
      </w:r>
      <w:r w:rsidRPr="00F424AC">
        <w:rPr>
          <w:szCs w:val="22"/>
          <w:lang w:eastAsia="en-AU"/>
        </w:rPr>
        <w:t xml:space="preserve"> outlines the policy issue, considers the need for</w:t>
      </w:r>
      <w:r w:rsidR="003C7046">
        <w:rPr>
          <w:szCs w:val="22"/>
          <w:lang w:eastAsia="en-AU"/>
        </w:rPr>
        <w:t xml:space="preserve"> </w:t>
      </w:r>
      <w:r w:rsidR="001C5AA7">
        <w:rPr>
          <w:szCs w:val="22"/>
          <w:lang w:eastAsia="en-AU"/>
        </w:rPr>
        <w:t>action</w:t>
      </w:r>
      <w:r w:rsidR="003C7046">
        <w:rPr>
          <w:szCs w:val="22"/>
          <w:lang w:eastAsia="en-AU"/>
        </w:rPr>
        <w:t xml:space="preserve">, </w:t>
      </w:r>
      <w:r w:rsidR="001C5AA7">
        <w:rPr>
          <w:szCs w:val="22"/>
          <w:lang w:eastAsia="en-AU"/>
        </w:rPr>
        <w:t>provides options to achieve the policy intent and indicates how the impact of the regulation would be measured</w:t>
      </w:r>
      <w:r w:rsidR="00986223">
        <w:rPr>
          <w:szCs w:val="22"/>
          <w:lang w:eastAsia="en-AU"/>
        </w:rPr>
        <w:t>.</w:t>
      </w:r>
      <w:r w:rsidRPr="00F424AC">
        <w:rPr>
          <w:szCs w:val="22"/>
          <w:lang w:eastAsia="en-AU"/>
        </w:rPr>
        <w:t xml:space="preserve"> </w:t>
      </w:r>
      <w:r w:rsidR="00986223">
        <w:rPr>
          <w:szCs w:val="22"/>
          <w:lang w:eastAsia="en-AU"/>
        </w:rPr>
        <w:t xml:space="preserve">The assessment </w:t>
      </w:r>
      <w:r w:rsidR="003C7046">
        <w:rPr>
          <w:szCs w:val="22"/>
          <w:lang w:eastAsia="en-AU"/>
        </w:rPr>
        <w:t xml:space="preserve">provides </w:t>
      </w:r>
      <w:r w:rsidRPr="00F424AC">
        <w:rPr>
          <w:szCs w:val="22"/>
          <w:lang w:eastAsia="en-AU"/>
        </w:rPr>
        <w:t xml:space="preserve">alternative options for addressing the policy problem and </w:t>
      </w:r>
      <w:r w:rsidR="003C7046">
        <w:rPr>
          <w:szCs w:val="22"/>
          <w:lang w:eastAsia="en-AU"/>
        </w:rPr>
        <w:t xml:space="preserve">considers the </w:t>
      </w:r>
      <w:r>
        <w:rPr>
          <w:szCs w:val="22"/>
          <w:lang w:eastAsia="en-AU"/>
        </w:rPr>
        <w:t>impacts</w:t>
      </w:r>
      <w:r w:rsidRPr="00F424AC">
        <w:rPr>
          <w:szCs w:val="22"/>
          <w:lang w:eastAsia="en-AU"/>
        </w:rPr>
        <w:t xml:space="preserve"> and benefits of </w:t>
      </w:r>
      <w:r w:rsidR="001C5AA7">
        <w:rPr>
          <w:szCs w:val="22"/>
          <w:lang w:eastAsia="en-AU"/>
        </w:rPr>
        <w:t>each</w:t>
      </w:r>
      <w:r w:rsidRPr="00F424AC">
        <w:rPr>
          <w:szCs w:val="22"/>
          <w:lang w:eastAsia="en-AU"/>
        </w:rPr>
        <w:t xml:space="preserve"> option.</w:t>
      </w:r>
    </w:p>
    <w:p w14:paraId="29002A0C" w14:textId="6D753773" w:rsidR="003C7046" w:rsidRPr="006E3F17" w:rsidRDefault="006E3F17" w:rsidP="003C7046">
      <w:pPr>
        <w:spacing w:beforeLines="60" w:before="144" w:afterLines="60" w:after="144"/>
        <w:rPr>
          <w:szCs w:val="22"/>
          <w:lang w:eastAsia="en-AU"/>
        </w:rPr>
      </w:pPr>
      <w:r w:rsidRPr="006E3F17">
        <w:rPr>
          <w:szCs w:val="22"/>
          <w:lang w:eastAsia="en-AU"/>
        </w:rPr>
        <w:t xml:space="preserve">This </w:t>
      </w:r>
      <w:r w:rsidR="001C5AA7">
        <w:rPr>
          <w:szCs w:val="22"/>
          <w:lang w:eastAsia="en-AU"/>
        </w:rPr>
        <w:t>Regulatory Impact Assessment</w:t>
      </w:r>
      <w:r w:rsidR="001C5AA7" w:rsidRPr="00F424AC">
        <w:rPr>
          <w:szCs w:val="22"/>
          <w:lang w:eastAsia="en-AU"/>
        </w:rPr>
        <w:t xml:space="preserve"> </w:t>
      </w:r>
      <w:r w:rsidRPr="006E3F17">
        <w:rPr>
          <w:szCs w:val="22"/>
          <w:lang w:eastAsia="en-AU"/>
        </w:rPr>
        <w:t>was prepared in accordance with Part 5.2 of the </w:t>
      </w:r>
      <w:r w:rsidRPr="006E3F17">
        <w:rPr>
          <w:i/>
          <w:iCs/>
          <w:szCs w:val="22"/>
          <w:lang w:eastAsia="en-AU"/>
        </w:rPr>
        <w:t>Legislation Act 2001</w:t>
      </w:r>
      <w:r w:rsidR="001C5AA7">
        <w:rPr>
          <w:szCs w:val="22"/>
          <w:lang w:eastAsia="en-AU"/>
        </w:rPr>
        <w:t xml:space="preserve">. </w:t>
      </w:r>
      <w:r w:rsidR="000D396D">
        <w:rPr>
          <w:szCs w:val="22"/>
          <w:lang w:eastAsia="en-AU"/>
        </w:rPr>
        <w:t xml:space="preserve">The Regulation will include </w:t>
      </w:r>
      <w:r w:rsidR="003C7046">
        <w:rPr>
          <w:szCs w:val="22"/>
          <w:lang w:eastAsia="en-AU"/>
        </w:rPr>
        <w:t>a</w:t>
      </w:r>
      <w:r>
        <w:rPr>
          <w:szCs w:val="22"/>
          <w:lang w:eastAsia="en-AU"/>
        </w:rPr>
        <w:t xml:space="preserve"> 12</w:t>
      </w:r>
      <w:r w:rsidR="000067A6">
        <w:rPr>
          <w:szCs w:val="22"/>
          <w:lang w:eastAsia="en-AU"/>
        </w:rPr>
        <w:t>-</w:t>
      </w:r>
      <w:r>
        <w:rPr>
          <w:szCs w:val="22"/>
          <w:lang w:eastAsia="en-AU"/>
        </w:rPr>
        <w:t xml:space="preserve">month transition period </w:t>
      </w:r>
      <w:r w:rsidR="000D396D">
        <w:rPr>
          <w:szCs w:val="22"/>
          <w:lang w:eastAsia="en-AU"/>
        </w:rPr>
        <w:t>to enable</w:t>
      </w:r>
      <w:r>
        <w:rPr>
          <w:szCs w:val="22"/>
          <w:lang w:eastAsia="en-AU"/>
        </w:rPr>
        <w:t xml:space="preserve"> licensees to prepare </w:t>
      </w:r>
      <w:r w:rsidR="000D396D">
        <w:rPr>
          <w:szCs w:val="22"/>
          <w:lang w:eastAsia="en-AU"/>
        </w:rPr>
        <w:t xml:space="preserve">for and adjust operations to </w:t>
      </w:r>
      <w:r w:rsidRPr="006E3F17">
        <w:rPr>
          <w:szCs w:val="22"/>
          <w:lang w:eastAsia="en-AU"/>
        </w:rPr>
        <w:t>comp</w:t>
      </w:r>
      <w:r w:rsidR="003C7046">
        <w:rPr>
          <w:szCs w:val="22"/>
          <w:lang w:eastAsia="en-AU"/>
        </w:rPr>
        <w:t>ly</w:t>
      </w:r>
      <w:r w:rsidRPr="006E3F17">
        <w:rPr>
          <w:szCs w:val="22"/>
          <w:lang w:eastAsia="en-AU"/>
        </w:rPr>
        <w:t xml:space="preserve"> </w:t>
      </w:r>
      <w:r w:rsidR="000067A6">
        <w:rPr>
          <w:szCs w:val="22"/>
          <w:lang w:eastAsia="en-AU"/>
        </w:rPr>
        <w:t xml:space="preserve">with the extended </w:t>
      </w:r>
      <w:r w:rsidR="003C7046">
        <w:rPr>
          <w:szCs w:val="22"/>
          <w:lang w:eastAsia="en-AU"/>
        </w:rPr>
        <w:t xml:space="preserve">EGM </w:t>
      </w:r>
      <w:r w:rsidR="000067A6">
        <w:rPr>
          <w:szCs w:val="22"/>
          <w:lang w:eastAsia="en-AU"/>
        </w:rPr>
        <w:t>shutdown</w:t>
      </w:r>
      <w:r w:rsidR="001C5AA7">
        <w:rPr>
          <w:szCs w:val="22"/>
          <w:lang w:eastAsia="en-AU"/>
        </w:rPr>
        <w:t xml:space="preserve"> requirements</w:t>
      </w:r>
      <w:r w:rsidR="003C7046">
        <w:rPr>
          <w:szCs w:val="22"/>
          <w:lang w:eastAsia="en-AU"/>
        </w:rPr>
        <w:t>.</w:t>
      </w:r>
    </w:p>
    <w:p w14:paraId="49CC47E9" w14:textId="63D5CFEE" w:rsidR="002D5D9C" w:rsidRPr="006F367A" w:rsidRDefault="002D5D9C" w:rsidP="002D5D9C">
      <w:pPr>
        <w:pStyle w:val="Heading1"/>
      </w:pPr>
      <w:bookmarkStart w:id="9" w:name="_Toc228796194"/>
      <w:r>
        <w:t>Background</w:t>
      </w:r>
      <w:bookmarkEnd w:id="9"/>
    </w:p>
    <w:bookmarkEnd w:id="8"/>
    <w:p w14:paraId="62624C35" w14:textId="588E458D" w:rsidR="006D6502" w:rsidRDefault="006D6502" w:rsidP="009266DD">
      <w:pPr>
        <w:spacing w:beforeLines="60" w:before="144" w:afterLines="60" w:after="144"/>
        <w:rPr>
          <w:szCs w:val="22"/>
          <w:lang w:eastAsia="en-AU"/>
        </w:rPr>
      </w:pPr>
      <w:r>
        <w:rPr>
          <w:szCs w:val="22"/>
          <w:lang w:eastAsia="en-AU"/>
        </w:rPr>
        <w:t xml:space="preserve">The ACT </w:t>
      </w:r>
      <w:r w:rsidR="005542A6">
        <w:rPr>
          <w:szCs w:val="22"/>
          <w:lang w:eastAsia="en-AU"/>
        </w:rPr>
        <w:t>g</w:t>
      </w:r>
      <w:r>
        <w:rPr>
          <w:szCs w:val="22"/>
          <w:lang w:eastAsia="en-AU"/>
        </w:rPr>
        <w:t>overnment</w:t>
      </w:r>
      <w:r w:rsidR="00CB3654">
        <w:rPr>
          <w:szCs w:val="22"/>
          <w:lang w:eastAsia="en-AU"/>
        </w:rPr>
        <w:t xml:space="preserve"> is committed</w:t>
      </w:r>
      <w:r>
        <w:rPr>
          <w:szCs w:val="22"/>
          <w:lang w:eastAsia="en-AU"/>
        </w:rPr>
        <w:t xml:space="preserve"> to reducing harm caused by gambling and </w:t>
      </w:r>
      <w:r w:rsidR="00986223">
        <w:rPr>
          <w:szCs w:val="22"/>
          <w:lang w:eastAsia="en-AU"/>
        </w:rPr>
        <w:t xml:space="preserve">supporting </w:t>
      </w:r>
      <w:r>
        <w:rPr>
          <w:szCs w:val="22"/>
          <w:lang w:eastAsia="en-AU"/>
        </w:rPr>
        <w:t>a sustainable</w:t>
      </w:r>
      <w:r w:rsidR="00986223">
        <w:rPr>
          <w:szCs w:val="22"/>
          <w:lang w:eastAsia="en-AU"/>
        </w:rPr>
        <w:t xml:space="preserve"> and thriving </w:t>
      </w:r>
      <w:r>
        <w:rPr>
          <w:szCs w:val="22"/>
          <w:lang w:eastAsia="en-AU"/>
        </w:rPr>
        <w:t xml:space="preserve">community </w:t>
      </w:r>
      <w:r w:rsidR="003B0EE9">
        <w:rPr>
          <w:szCs w:val="22"/>
          <w:lang w:eastAsia="en-AU"/>
        </w:rPr>
        <w:t>clubs</w:t>
      </w:r>
      <w:r>
        <w:rPr>
          <w:szCs w:val="22"/>
          <w:lang w:eastAsia="en-AU"/>
        </w:rPr>
        <w:t xml:space="preserve"> sector in the </w:t>
      </w:r>
      <w:r w:rsidR="00986223">
        <w:rPr>
          <w:szCs w:val="22"/>
          <w:lang w:eastAsia="en-AU"/>
        </w:rPr>
        <w:t xml:space="preserve">Australian Capital </w:t>
      </w:r>
      <w:r>
        <w:rPr>
          <w:szCs w:val="22"/>
          <w:lang w:eastAsia="en-AU"/>
        </w:rPr>
        <w:t>Territory</w:t>
      </w:r>
      <w:r w:rsidR="001C5AA7">
        <w:rPr>
          <w:szCs w:val="22"/>
          <w:lang w:eastAsia="en-AU"/>
        </w:rPr>
        <w:t xml:space="preserve"> (ACT)</w:t>
      </w:r>
      <w:r>
        <w:rPr>
          <w:szCs w:val="22"/>
          <w:lang w:eastAsia="en-AU"/>
        </w:rPr>
        <w:t xml:space="preserve">. </w:t>
      </w:r>
    </w:p>
    <w:p w14:paraId="0E5FE601" w14:textId="556809D7" w:rsidR="006D6502" w:rsidRDefault="005542A6" w:rsidP="009266DD">
      <w:pPr>
        <w:spacing w:beforeLines="60" w:before="144" w:afterLines="60" w:after="144"/>
        <w:rPr>
          <w:szCs w:val="22"/>
          <w:lang w:eastAsia="en-AU"/>
        </w:rPr>
      </w:pPr>
      <w:r>
        <w:rPr>
          <w:szCs w:val="22"/>
          <w:lang w:eastAsia="en-AU"/>
        </w:rPr>
        <w:t xml:space="preserve">At the 2024 election, </w:t>
      </w:r>
      <w:r w:rsidR="003B0EE9">
        <w:rPr>
          <w:szCs w:val="22"/>
          <w:lang w:eastAsia="en-AU"/>
        </w:rPr>
        <w:t>ACT Labor</w:t>
      </w:r>
      <w:r w:rsidR="00C1340A">
        <w:rPr>
          <w:szCs w:val="22"/>
          <w:lang w:eastAsia="en-AU"/>
        </w:rPr>
        <w:t xml:space="preserve"> </w:t>
      </w:r>
      <w:r w:rsidR="00D9538A">
        <w:rPr>
          <w:szCs w:val="22"/>
          <w:lang w:eastAsia="en-AU"/>
        </w:rPr>
        <w:t>committed</w:t>
      </w:r>
      <w:r w:rsidR="002F187D">
        <w:rPr>
          <w:szCs w:val="22"/>
          <w:lang w:eastAsia="en-AU"/>
        </w:rPr>
        <w:t xml:space="preserve"> to </w:t>
      </w:r>
      <w:r w:rsidR="00D9538A">
        <w:rPr>
          <w:szCs w:val="22"/>
          <w:lang w:eastAsia="en-AU"/>
        </w:rPr>
        <w:t>addressing</w:t>
      </w:r>
      <w:r w:rsidR="002F187D">
        <w:rPr>
          <w:szCs w:val="22"/>
          <w:lang w:eastAsia="en-AU"/>
        </w:rPr>
        <w:t xml:space="preserve"> harm caused by EGMs</w:t>
      </w:r>
      <w:r w:rsidR="00D9538A">
        <w:rPr>
          <w:szCs w:val="22"/>
          <w:lang w:eastAsia="en-AU"/>
        </w:rPr>
        <w:t xml:space="preserve"> by</w:t>
      </w:r>
      <w:r w:rsidR="002F187D">
        <w:rPr>
          <w:szCs w:val="22"/>
          <w:lang w:eastAsia="en-AU"/>
        </w:rPr>
        <w:t xml:space="preserve"> reduc</w:t>
      </w:r>
      <w:r w:rsidR="00D9538A">
        <w:rPr>
          <w:szCs w:val="22"/>
          <w:lang w:eastAsia="en-AU"/>
        </w:rPr>
        <w:t>ing</w:t>
      </w:r>
      <w:r w:rsidR="002F187D">
        <w:rPr>
          <w:szCs w:val="22"/>
          <w:lang w:eastAsia="en-AU"/>
        </w:rPr>
        <w:t xml:space="preserve"> the number of </w:t>
      </w:r>
      <w:r w:rsidR="00D9538A">
        <w:rPr>
          <w:szCs w:val="22"/>
          <w:lang w:eastAsia="en-AU"/>
        </w:rPr>
        <w:t xml:space="preserve">gaming </w:t>
      </w:r>
      <w:r w:rsidR="002F187D">
        <w:rPr>
          <w:szCs w:val="22"/>
          <w:lang w:eastAsia="en-AU"/>
        </w:rPr>
        <w:t xml:space="preserve">machines available, alongside the introduction of mandatory harm reduction measures in </w:t>
      </w:r>
      <w:r w:rsidR="006B5879">
        <w:rPr>
          <w:szCs w:val="22"/>
          <w:lang w:eastAsia="en-AU"/>
        </w:rPr>
        <w:t xml:space="preserve">licensed </w:t>
      </w:r>
      <w:r w:rsidR="002F187D">
        <w:rPr>
          <w:szCs w:val="22"/>
          <w:lang w:eastAsia="en-AU"/>
        </w:rPr>
        <w:t>venues</w:t>
      </w:r>
      <w:r w:rsidR="00D9538A">
        <w:rPr>
          <w:szCs w:val="22"/>
          <w:lang w:eastAsia="en-AU"/>
        </w:rPr>
        <w:t xml:space="preserve"> with EGMs</w:t>
      </w:r>
      <w:r w:rsidR="002F187D">
        <w:rPr>
          <w:szCs w:val="22"/>
          <w:lang w:eastAsia="en-AU"/>
        </w:rPr>
        <w:t xml:space="preserve">. </w:t>
      </w:r>
    </w:p>
    <w:p w14:paraId="32B50139" w14:textId="77777777" w:rsidR="006E3F17" w:rsidRPr="0004541D" w:rsidRDefault="006E3F17" w:rsidP="006E3F17">
      <w:pPr>
        <w:pStyle w:val="Heading2"/>
        <w:rPr>
          <w:sz w:val="22"/>
          <w:szCs w:val="14"/>
        </w:rPr>
      </w:pPr>
      <w:bookmarkStart w:id="10" w:name="_Toc72752136"/>
      <w:bookmarkStart w:id="11" w:name="_Toc228796195"/>
      <w:r w:rsidRPr="0004541D">
        <w:rPr>
          <w:sz w:val="22"/>
          <w:szCs w:val="14"/>
        </w:rPr>
        <w:t>The Authorising Law</w:t>
      </w:r>
      <w:bookmarkEnd w:id="10"/>
      <w:bookmarkEnd w:id="11"/>
    </w:p>
    <w:p w14:paraId="64FCB39C" w14:textId="5732AC7E" w:rsidR="006E3F17" w:rsidRPr="0004541D" w:rsidRDefault="006E3F17" w:rsidP="006E3F17">
      <w:pPr>
        <w:pStyle w:val="Pa6"/>
        <w:spacing w:before="240" w:after="100" w:line="276" w:lineRule="auto"/>
        <w:rPr>
          <w:rFonts w:ascii="Calibri" w:eastAsia="Times New Roman" w:hAnsi="Calibri" w:cs="Times New Roman"/>
          <w:sz w:val="22"/>
          <w:szCs w:val="22"/>
          <w:lang w:eastAsia="en-AU"/>
        </w:rPr>
      </w:pPr>
      <w:r w:rsidRPr="0004541D">
        <w:rPr>
          <w:rFonts w:ascii="Calibri" w:eastAsia="Times New Roman" w:hAnsi="Calibri" w:cs="Times New Roman"/>
          <w:sz w:val="22"/>
          <w:szCs w:val="22"/>
          <w:lang w:eastAsia="en-AU"/>
        </w:rPr>
        <w:t xml:space="preserve">The Amendment Regulation is made under the </w:t>
      </w:r>
      <w:r w:rsidRPr="0004541D">
        <w:rPr>
          <w:rFonts w:ascii="Calibri" w:eastAsia="Times New Roman" w:hAnsi="Calibri" w:cs="Times New Roman"/>
          <w:i/>
          <w:iCs/>
          <w:sz w:val="22"/>
          <w:szCs w:val="22"/>
          <w:lang w:eastAsia="en-AU"/>
        </w:rPr>
        <w:t>Gambling and Racing Control Act 1999</w:t>
      </w:r>
      <w:r w:rsidRPr="0004541D">
        <w:rPr>
          <w:rFonts w:ascii="Calibri" w:eastAsia="Times New Roman" w:hAnsi="Calibri" w:cs="Times New Roman"/>
          <w:sz w:val="22"/>
          <w:szCs w:val="22"/>
          <w:lang w:eastAsia="en-AU"/>
        </w:rPr>
        <w:t xml:space="preserve">. </w:t>
      </w:r>
    </w:p>
    <w:p w14:paraId="438492A9" w14:textId="68BC8595" w:rsidR="008A2A78" w:rsidRDefault="00220024" w:rsidP="008A2A78">
      <w:pPr>
        <w:spacing w:beforeLines="60" w:before="144" w:afterLines="60" w:after="144"/>
      </w:pPr>
      <w:r w:rsidRPr="00220024">
        <w:rPr>
          <w:szCs w:val="22"/>
          <w:lang w:eastAsia="en-AU"/>
        </w:rPr>
        <w:t xml:space="preserve">The </w:t>
      </w:r>
      <w:r w:rsidR="00B81BA7">
        <w:rPr>
          <w:szCs w:val="22"/>
          <w:lang w:eastAsia="en-AU"/>
        </w:rPr>
        <w:t xml:space="preserve">Amendment </w:t>
      </w:r>
      <w:r w:rsidR="00F715D2" w:rsidRPr="00F715D2">
        <w:rPr>
          <w:szCs w:val="22"/>
          <w:lang w:eastAsia="en-AU"/>
        </w:rPr>
        <w:t>Regulation</w:t>
      </w:r>
      <w:r w:rsidR="00113360">
        <w:t xml:space="preserve"> </w:t>
      </w:r>
      <w:r w:rsidR="008A2A78">
        <w:t>extends EGM shutdown periods, so that there will be shorter hours of operation permitted during the week while retaining longer hours on Friday into Sunday morning. The revised EGM shutdown periods will be:</w:t>
      </w:r>
      <w:r w:rsidR="00B81BA7" w:rsidRPr="00B81BA7">
        <w:rPr>
          <w:szCs w:val="22"/>
          <w:vertAlign w:val="superscript"/>
          <w:lang w:eastAsia="en-AU"/>
        </w:rPr>
        <w:t xml:space="preserve"> </w:t>
      </w:r>
      <w:r w:rsidR="00B81BA7" w:rsidRPr="00220024">
        <w:rPr>
          <w:szCs w:val="22"/>
          <w:vertAlign w:val="superscript"/>
          <w:lang w:eastAsia="en-AU"/>
        </w:rPr>
        <w:footnoteReference w:id="1"/>
      </w:r>
    </w:p>
    <w:p w14:paraId="4FFB3D87" w14:textId="235D8557" w:rsidR="008A2A78" w:rsidRPr="00B81BA7" w:rsidRDefault="008A2A78" w:rsidP="007C6075">
      <w:pPr>
        <w:spacing w:beforeLines="60" w:before="144" w:afterLines="60" w:after="144"/>
        <w:ind w:left="1440" w:hanging="720"/>
      </w:pPr>
      <w:r w:rsidRPr="00B81BA7">
        <w:t>i.</w:t>
      </w:r>
      <w:r w:rsidRPr="00B81BA7">
        <w:tab/>
        <w:t>2am to 10am from Monday to Thursday</w:t>
      </w:r>
      <w:r w:rsidR="00B81BA7" w:rsidRPr="00B81BA7">
        <w:t xml:space="preserve"> </w:t>
      </w:r>
      <w:r w:rsidR="00B81BA7">
        <w:rPr>
          <w:rFonts w:asciiTheme="minorHAnsi" w:eastAsiaTheme="minorHAnsi" w:hAnsiTheme="minorHAnsi" w:cstheme="minorBidi"/>
          <w:szCs w:val="24"/>
        </w:rPr>
        <w:t>(3 hours additional shutdown per day, totalling 12 hours)</w:t>
      </w:r>
      <w:r w:rsidRPr="00B81BA7">
        <w:t>;</w:t>
      </w:r>
    </w:p>
    <w:p w14:paraId="74743F9A" w14:textId="5BBAF6F2" w:rsidR="008A2A78" w:rsidRPr="00B81BA7" w:rsidRDefault="008A2A78" w:rsidP="008A2A78">
      <w:pPr>
        <w:spacing w:beforeLines="60" w:before="144" w:afterLines="60" w:after="144"/>
      </w:pPr>
      <w:r w:rsidRPr="00B81BA7">
        <w:tab/>
        <w:t>ii.</w:t>
      </w:r>
      <w:r w:rsidRPr="00B81BA7">
        <w:tab/>
        <w:t>2am to 9am Friday</w:t>
      </w:r>
      <w:r w:rsidR="00B81BA7" w:rsidRPr="00B81BA7">
        <w:t xml:space="preserve"> </w:t>
      </w:r>
      <w:r w:rsidR="00B81BA7">
        <w:rPr>
          <w:rFonts w:asciiTheme="minorHAnsi" w:eastAsiaTheme="minorHAnsi" w:hAnsiTheme="minorHAnsi" w:cstheme="minorBidi"/>
          <w:szCs w:val="24"/>
        </w:rPr>
        <w:t>(2 hours additional shutdown)</w:t>
      </w:r>
      <w:r w:rsidRPr="00B81BA7">
        <w:t>;</w:t>
      </w:r>
    </w:p>
    <w:p w14:paraId="2AB8F5CD" w14:textId="40F5BE16" w:rsidR="008A2A78" w:rsidRPr="00B81BA7" w:rsidRDefault="008A2A78" w:rsidP="008A2A78">
      <w:pPr>
        <w:spacing w:beforeLines="60" w:before="144" w:afterLines="60" w:after="144"/>
      </w:pPr>
      <w:r w:rsidRPr="00B81BA7">
        <w:lastRenderedPageBreak/>
        <w:tab/>
        <w:t>iii.</w:t>
      </w:r>
      <w:r w:rsidRPr="00B81BA7">
        <w:tab/>
        <w:t>4am to 9am Saturday</w:t>
      </w:r>
      <w:r w:rsidR="00B81BA7">
        <w:t xml:space="preserve"> </w:t>
      </w:r>
      <w:r w:rsidR="00B81BA7">
        <w:rPr>
          <w:rFonts w:asciiTheme="minorHAnsi" w:eastAsiaTheme="minorHAnsi" w:hAnsiTheme="minorHAnsi" w:cstheme="minorBidi"/>
          <w:szCs w:val="24"/>
        </w:rPr>
        <w:t>(nil change)</w:t>
      </w:r>
      <w:r w:rsidRPr="00B81BA7">
        <w:t>; and</w:t>
      </w:r>
    </w:p>
    <w:p w14:paraId="3EF0E22C" w14:textId="27E84EC1" w:rsidR="00220024" w:rsidRPr="00220024" w:rsidRDefault="008A2A78" w:rsidP="008A2A78">
      <w:pPr>
        <w:spacing w:beforeLines="60" w:before="144" w:afterLines="60" w:after="144"/>
        <w:rPr>
          <w:szCs w:val="22"/>
          <w:lang w:eastAsia="en-AU"/>
        </w:rPr>
      </w:pPr>
      <w:r w:rsidRPr="00B81BA7">
        <w:tab/>
        <w:t>iv.</w:t>
      </w:r>
      <w:r w:rsidRPr="00B81BA7">
        <w:tab/>
        <w:t>4am to 10am Sunday</w:t>
      </w:r>
      <w:r w:rsidR="00B81BA7">
        <w:t xml:space="preserve"> </w:t>
      </w:r>
      <w:r w:rsidR="00B81BA7">
        <w:rPr>
          <w:rFonts w:asciiTheme="minorHAnsi" w:eastAsiaTheme="minorHAnsi" w:hAnsiTheme="minorHAnsi" w:cstheme="minorBidi"/>
          <w:szCs w:val="24"/>
        </w:rPr>
        <w:t>(1 hour additional shutdown)</w:t>
      </w:r>
      <w:r w:rsidRPr="00B81BA7">
        <w:t>.</w:t>
      </w:r>
    </w:p>
    <w:p w14:paraId="15605F46" w14:textId="3EA6A513" w:rsidR="008C01EC" w:rsidRDefault="00220024" w:rsidP="008C01EC">
      <w:pPr>
        <w:spacing w:beforeLines="60" w:before="144" w:afterLines="60" w:after="144"/>
        <w:rPr>
          <w:szCs w:val="22"/>
          <w:lang w:eastAsia="en-AU"/>
        </w:rPr>
      </w:pPr>
      <w:r w:rsidRPr="00220024">
        <w:rPr>
          <w:szCs w:val="22"/>
          <w:lang w:eastAsia="en-AU"/>
        </w:rPr>
        <w:t>The purpose of restricting EGM operating hours is to reduce the availability of EGMs and to provide a break from possible 24-hour gaming.</w:t>
      </w:r>
      <w:r w:rsidRPr="00220024">
        <w:rPr>
          <w:szCs w:val="22"/>
          <w:vertAlign w:val="superscript"/>
          <w:lang w:eastAsia="en-AU"/>
        </w:rPr>
        <w:footnoteReference w:id="2"/>
      </w:r>
      <w:r w:rsidRPr="00220024">
        <w:rPr>
          <w:szCs w:val="22"/>
          <w:lang w:eastAsia="en-AU"/>
        </w:rPr>
        <w:t xml:space="preserve"> </w:t>
      </w:r>
      <w:r w:rsidR="00113360">
        <w:rPr>
          <w:szCs w:val="22"/>
          <w:lang w:eastAsia="en-AU"/>
        </w:rPr>
        <w:t xml:space="preserve">The </w:t>
      </w:r>
      <w:r w:rsidR="00101A9D">
        <w:rPr>
          <w:szCs w:val="22"/>
          <w:lang w:eastAsia="en-AU"/>
        </w:rPr>
        <w:t xml:space="preserve">Amendment Regulation </w:t>
      </w:r>
      <w:r w:rsidR="00113360">
        <w:rPr>
          <w:szCs w:val="22"/>
          <w:lang w:eastAsia="en-AU"/>
        </w:rPr>
        <w:t>extend</w:t>
      </w:r>
      <w:r w:rsidR="00101A9D">
        <w:rPr>
          <w:szCs w:val="22"/>
          <w:lang w:eastAsia="en-AU"/>
        </w:rPr>
        <w:t>s</w:t>
      </w:r>
      <w:r w:rsidR="00113360">
        <w:rPr>
          <w:szCs w:val="22"/>
          <w:lang w:eastAsia="en-AU"/>
        </w:rPr>
        <w:t xml:space="preserve"> the shutdown period of EGMs </w:t>
      </w:r>
      <w:r w:rsidR="00D9538A">
        <w:rPr>
          <w:szCs w:val="22"/>
          <w:lang w:eastAsia="en-AU"/>
        </w:rPr>
        <w:t>by a</w:t>
      </w:r>
      <w:r w:rsidR="00365625">
        <w:rPr>
          <w:szCs w:val="22"/>
          <w:lang w:eastAsia="en-AU"/>
        </w:rPr>
        <w:t xml:space="preserve">n additional </w:t>
      </w:r>
      <w:r w:rsidR="00D9538A">
        <w:rPr>
          <w:szCs w:val="22"/>
          <w:lang w:eastAsia="en-AU"/>
        </w:rPr>
        <w:t xml:space="preserve">15 hours per week, which </w:t>
      </w:r>
      <w:r w:rsidR="00113360">
        <w:rPr>
          <w:szCs w:val="22"/>
          <w:lang w:eastAsia="en-AU"/>
        </w:rPr>
        <w:t>provides for longer break</w:t>
      </w:r>
      <w:r w:rsidR="00D9538A">
        <w:rPr>
          <w:szCs w:val="22"/>
          <w:lang w:eastAsia="en-AU"/>
        </w:rPr>
        <w:t>s</w:t>
      </w:r>
      <w:r w:rsidR="00113360">
        <w:rPr>
          <w:szCs w:val="22"/>
          <w:lang w:eastAsia="en-AU"/>
        </w:rPr>
        <w:t xml:space="preserve"> in play tha</w:t>
      </w:r>
      <w:r w:rsidR="0050515B">
        <w:rPr>
          <w:szCs w:val="22"/>
          <w:lang w:eastAsia="en-AU"/>
        </w:rPr>
        <w:t>n</w:t>
      </w:r>
      <w:r w:rsidR="00113360">
        <w:rPr>
          <w:szCs w:val="22"/>
          <w:lang w:eastAsia="en-AU"/>
        </w:rPr>
        <w:t xml:space="preserve"> the current shutdown </w:t>
      </w:r>
      <w:r w:rsidR="00D9538A">
        <w:rPr>
          <w:szCs w:val="22"/>
          <w:lang w:eastAsia="en-AU"/>
        </w:rPr>
        <w:t>of 5</w:t>
      </w:r>
      <w:r w:rsidR="00101A9D">
        <w:rPr>
          <w:szCs w:val="22"/>
          <w:lang w:eastAsia="en-AU"/>
        </w:rPr>
        <w:t xml:space="preserve"> hour</w:t>
      </w:r>
      <w:r w:rsidR="00D9538A">
        <w:rPr>
          <w:szCs w:val="22"/>
          <w:lang w:eastAsia="en-AU"/>
        </w:rPr>
        <w:t>s</w:t>
      </w:r>
      <w:r w:rsidR="00101A9D">
        <w:rPr>
          <w:szCs w:val="22"/>
          <w:lang w:eastAsia="en-AU"/>
        </w:rPr>
        <w:t xml:space="preserve"> </w:t>
      </w:r>
      <w:r w:rsidR="00D9538A">
        <w:rPr>
          <w:szCs w:val="22"/>
          <w:lang w:eastAsia="en-AU"/>
        </w:rPr>
        <w:t>per day</w:t>
      </w:r>
      <w:r w:rsidR="00101A9D">
        <w:rPr>
          <w:szCs w:val="22"/>
          <w:lang w:eastAsia="en-AU"/>
        </w:rPr>
        <w:t xml:space="preserve">. </w:t>
      </w:r>
      <w:r w:rsidR="00E52FD7">
        <w:rPr>
          <w:szCs w:val="22"/>
          <w:lang w:eastAsia="en-AU"/>
        </w:rPr>
        <w:t>Restricting</w:t>
      </w:r>
      <w:r w:rsidR="0050515B">
        <w:rPr>
          <w:szCs w:val="22"/>
          <w:lang w:eastAsia="en-AU"/>
        </w:rPr>
        <w:t xml:space="preserve"> </w:t>
      </w:r>
      <w:r w:rsidR="00D9538A">
        <w:rPr>
          <w:szCs w:val="22"/>
          <w:lang w:eastAsia="en-AU"/>
        </w:rPr>
        <w:t xml:space="preserve">EGM </w:t>
      </w:r>
      <w:r w:rsidR="0050515B">
        <w:rPr>
          <w:szCs w:val="22"/>
          <w:lang w:eastAsia="en-AU"/>
        </w:rPr>
        <w:t>operating hours is</w:t>
      </w:r>
      <w:r w:rsidR="00365625">
        <w:rPr>
          <w:szCs w:val="22"/>
          <w:lang w:eastAsia="en-AU"/>
        </w:rPr>
        <w:t xml:space="preserve"> part of the Government’s</w:t>
      </w:r>
      <w:r w:rsidR="0050515B">
        <w:rPr>
          <w:szCs w:val="22"/>
          <w:lang w:eastAsia="en-AU"/>
        </w:rPr>
        <w:t xml:space="preserve"> </w:t>
      </w:r>
      <w:r w:rsidRPr="00220024">
        <w:rPr>
          <w:szCs w:val="22"/>
          <w:lang w:eastAsia="en-AU"/>
        </w:rPr>
        <w:t xml:space="preserve">harm minimisation </w:t>
      </w:r>
      <w:r w:rsidR="002E0C4D">
        <w:rPr>
          <w:szCs w:val="22"/>
          <w:lang w:eastAsia="en-AU"/>
        </w:rPr>
        <w:t>approach</w:t>
      </w:r>
      <w:r w:rsidRPr="00220024">
        <w:rPr>
          <w:szCs w:val="22"/>
          <w:lang w:eastAsia="en-AU"/>
        </w:rPr>
        <w:t xml:space="preserve"> to reduc</w:t>
      </w:r>
      <w:r w:rsidR="00E52FD7">
        <w:rPr>
          <w:szCs w:val="22"/>
          <w:lang w:eastAsia="en-AU"/>
        </w:rPr>
        <w:t>ing</w:t>
      </w:r>
      <w:r w:rsidRPr="00220024">
        <w:rPr>
          <w:szCs w:val="22"/>
          <w:lang w:eastAsia="en-AU"/>
        </w:rPr>
        <w:t xml:space="preserve"> </w:t>
      </w:r>
      <w:r w:rsidR="00E52FD7">
        <w:rPr>
          <w:szCs w:val="22"/>
          <w:lang w:eastAsia="en-AU"/>
        </w:rPr>
        <w:t>gambling harm through reduc</w:t>
      </w:r>
      <w:r w:rsidR="00101A9D">
        <w:rPr>
          <w:szCs w:val="22"/>
          <w:lang w:eastAsia="en-AU"/>
        </w:rPr>
        <w:t>ing</w:t>
      </w:r>
      <w:r w:rsidR="00E52FD7">
        <w:rPr>
          <w:szCs w:val="22"/>
          <w:lang w:eastAsia="en-AU"/>
        </w:rPr>
        <w:t xml:space="preserve"> </w:t>
      </w:r>
      <w:r w:rsidRPr="00220024">
        <w:rPr>
          <w:szCs w:val="22"/>
          <w:lang w:eastAsia="en-AU"/>
        </w:rPr>
        <w:t>availability of EGMs and</w:t>
      </w:r>
      <w:r w:rsidR="002E0C4D">
        <w:rPr>
          <w:szCs w:val="22"/>
          <w:lang w:eastAsia="en-AU"/>
        </w:rPr>
        <w:t xml:space="preserve"> </w:t>
      </w:r>
      <w:r w:rsidR="00E52FD7">
        <w:rPr>
          <w:szCs w:val="22"/>
          <w:lang w:eastAsia="en-AU"/>
        </w:rPr>
        <w:t xml:space="preserve">in turn, </w:t>
      </w:r>
      <w:r w:rsidRPr="00220024">
        <w:rPr>
          <w:szCs w:val="22"/>
          <w:lang w:eastAsia="en-AU"/>
        </w:rPr>
        <w:t xml:space="preserve">the cost </w:t>
      </w:r>
      <w:r w:rsidR="004955BD">
        <w:rPr>
          <w:szCs w:val="22"/>
          <w:lang w:eastAsia="en-AU"/>
        </w:rPr>
        <w:t>and</w:t>
      </w:r>
      <w:r w:rsidRPr="00220024">
        <w:rPr>
          <w:szCs w:val="22"/>
          <w:lang w:eastAsia="en-AU"/>
        </w:rPr>
        <w:t xml:space="preserve"> impact</w:t>
      </w:r>
      <w:r w:rsidR="00C6202F">
        <w:rPr>
          <w:szCs w:val="22"/>
          <w:lang w:eastAsia="en-AU"/>
        </w:rPr>
        <w:t>s</w:t>
      </w:r>
      <w:r w:rsidRPr="00220024">
        <w:rPr>
          <w:szCs w:val="22"/>
          <w:lang w:eastAsia="en-AU"/>
        </w:rPr>
        <w:t xml:space="preserve"> of gambling </w:t>
      </w:r>
      <w:r w:rsidR="00365625">
        <w:rPr>
          <w:szCs w:val="22"/>
          <w:lang w:eastAsia="en-AU"/>
        </w:rPr>
        <w:t>for</w:t>
      </w:r>
      <w:r w:rsidR="00365625" w:rsidRPr="00220024">
        <w:rPr>
          <w:szCs w:val="22"/>
          <w:lang w:eastAsia="en-AU"/>
        </w:rPr>
        <w:t xml:space="preserve"> </w:t>
      </w:r>
      <w:r w:rsidR="001C5AA7">
        <w:rPr>
          <w:szCs w:val="22"/>
          <w:lang w:eastAsia="en-AU"/>
        </w:rPr>
        <w:t>people</w:t>
      </w:r>
      <w:r w:rsidR="002E0C4D">
        <w:rPr>
          <w:szCs w:val="22"/>
          <w:lang w:eastAsia="en-AU"/>
        </w:rPr>
        <w:t xml:space="preserve"> </w:t>
      </w:r>
      <w:r w:rsidRPr="00220024">
        <w:rPr>
          <w:szCs w:val="22"/>
          <w:lang w:eastAsia="en-AU"/>
        </w:rPr>
        <w:t>experiencing gambling harm</w:t>
      </w:r>
      <w:r w:rsidR="002E0C4D">
        <w:rPr>
          <w:szCs w:val="22"/>
          <w:lang w:eastAsia="en-AU"/>
        </w:rPr>
        <w:t xml:space="preserve"> and </w:t>
      </w:r>
      <w:r w:rsidR="005271D6">
        <w:rPr>
          <w:szCs w:val="22"/>
          <w:lang w:eastAsia="en-AU"/>
        </w:rPr>
        <w:t>those</w:t>
      </w:r>
      <w:r w:rsidR="002E0C4D">
        <w:rPr>
          <w:szCs w:val="22"/>
          <w:lang w:eastAsia="en-AU"/>
        </w:rPr>
        <w:t xml:space="preserve"> who are experiencing </w:t>
      </w:r>
      <w:r w:rsidR="00365625">
        <w:rPr>
          <w:szCs w:val="22"/>
          <w:lang w:eastAsia="en-AU"/>
        </w:rPr>
        <w:t xml:space="preserve">harm </w:t>
      </w:r>
      <w:r w:rsidR="002E0C4D">
        <w:rPr>
          <w:szCs w:val="22"/>
          <w:lang w:eastAsia="en-AU"/>
        </w:rPr>
        <w:t>from other people’s use of EGMs</w:t>
      </w:r>
      <w:r w:rsidR="005271D6">
        <w:rPr>
          <w:szCs w:val="22"/>
          <w:lang w:eastAsia="en-AU"/>
        </w:rPr>
        <w:t xml:space="preserve"> such as family, friends, and the broade</w:t>
      </w:r>
      <w:r w:rsidR="00816E21">
        <w:rPr>
          <w:szCs w:val="22"/>
          <w:lang w:eastAsia="en-AU"/>
        </w:rPr>
        <w:t>r</w:t>
      </w:r>
      <w:r w:rsidR="005271D6">
        <w:rPr>
          <w:szCs w:val="22"/>
          <w:lang w:eastAsia="en-AU"/>
        </w:rPr>
        <w:t xml:space="preserve"> community</w:t>
      </w:r>
      <w:r w:rsidR="002E0C4D">
        <w:rPr>
          <w:szCs w:val="22"/>
          <w:lang w:eastAsia="en-AU"/>
        </w:rPr>
        <w:t xml:space="preserve">. </w:t>
      </w:r>
    </w:p>
    <w:p w14:paraId="3F35E868" w14:textId="5C353DC2" w:rsidR="00B64B07" w:rsidRPr="006F367A" w:rsidRDefault="00B64B07" w:rsidP="00B64B07">
      <w:pPr>
        <w:pStyle w:val="Heading1"/>
      </w:pPr>
      <w:bookmarkStart w:id="12" w:name="_Toc228796196"/>
      <w:r>
        <w:t>The problem</w:t>
      </w:r>
      <w:bookmarkEnd w:id="12"/>
    </w:p>
    <w:p w14:paraId="37686A58" w14:textId="28D65222" w:rsidR="001A7FF9" w:rsidRDefault="007C6075" w:rsidP="00612A84">
      <w:pPr>
        <w:spacing w:beforeLines="60" w:before="144" w:afterLines="60" w:after="144"/>
        <w:rPr>
          <w:szCs w:val="22"/>
          <w:lang w:eastAsia="en-AU"/>
        </w:rPr>
      </w:pPr>
      <w:r>
        <w:rPr>
          <w:szCs w:val="22"/>
          <w:lang w:eastAsia="en-AU"/>
        </w:rPr>
        <w:t>T</w:t>
      </w:r>
      <w:r w:rsidR="00A20793">
        <w:rPr>
          <w:szCs w:val="22"/>
          <w:lang w:eastAsia="en-AU"/>
        </w:rPr>
        <w:t>he</w:t>
      </w:r>
      <w:r w:rsidR="001A7FF9">
        <w:rPr>
          <w:szCs w:val="22"/>
          <w:lang w:eastAsia="en-AU"/>
        </w:rPr>
        <w:t xml:space="preserve"> </w:t>
      </w:r>
      <w:r w:rsidR="00A20793">
        <w:rPr>
          <w:szCs w:val="22"/>
          <w:lang w:eastAsia="en-AU"/>
        </w:rPr>
        <w:t>evidence</w:t>
      </w:r>
      <w:r w:rsidR="001A7FF9">
        <w:rPr>
          <w:szCs w:val="22"/>
          <w:lang w:eastAsia="en-AU"/>
        </w:rPr>
        <w:t xml:space="preserve">-base </w:t>
      </w:r>
      <w:r w:rsidR="00A20793">
        <w:rPr>
          <w:szCs w:val="22"/>
          <w:lang w:eastAsia="en-AU"/>
        </w:rPr>
        <w:t>support</w:t>
      </w:r>
      <w:r w:rsidR="001A7FF9">
        <w:rPr>
          <w:szCs w:val="22"/>
          <w:lang w:eastAsia="en-AU"/>
        </w:rPr>
        <w:t>s</w:t>
      </w:r>
      <w:r w:rsidR="00A20793">
        <w:rPr>
          <w:szCs w:val="22"/>
          <w:lang w:eastAsia="en-AU"/>
        </w:rPr>
        <w:t xml:space="preserve"> the need for </w:t>
      </w:r>
      <w:r w:rsidR="00552F33">
        <w:rPr>
          <w:szCs w:val="22"/>
          <w:lang w:eastAsia="en-AU"/>
        </w:rPr>
        <w:t xml:space="preserve">an extended shutdown period </w:t>
      </w:r>
      <w:r w:rsidR="001A7FF9">
        <w:rPr>
          <w:szCs w:val="22"/>
          <w:lang w:eastAsia="en-AU"/>
        </w:rPr>
        <w:t xml:space="preserve">to address gambling harm </w:t>
      </w:r>
      <w:r w:rsidR="00BF5F5A">
        <w:rPr>
          <w:szCs w:val="22"/>
          <w:lang w:eastAsia="en-AU"/>
        </w:rPr>
        <w:t xml:space="preserve">experienced by </w:t>
      </w:r>
      <w:r w:rsidR="001A7FF9">
        <w:rPr>
          <w:szCs w:val="22"/>
          <w:lang w:eastAsia="en-AU"/>
        </w:rPr>
        <w:t xml:space="preserve">individuals </w:t>
      </w:r>
      <w:r w:rsidR="00BF5F5A">
        <w:rPr>
          <w:szCs w:val="22"/>
          <w:lang w:eastAsia="en-AU"/>
        </w:rPr>
        <w:t xml:space="preserve">who </w:t>
      </w:r>
      <w:r w:rsidR="001A7FF9">
        <w:rPr>
          <w:szCs w:val="22"/>
          <w:lang w:eastAsia="en-AU"/>
        </w:rPr>
        <w:t xml:space="preserve">use EGMs in club venues. Gambling harm and problem gambling is known to be more prevalent in the early hours of the morning. </w:t>
      </w:r>
      <w:r w:rsidR="00190041">
        <w:rPr>
          <w:szCs w:val="22"/>
          <w:lang w:eastAsia="en-AU"/>
        </w:rPr>
        <w:t>An extended shutdown period will address this prevalence</w:t>
      </w:r>
      <w:r w:rsidR="00BF5F5A">
        <w:rPr>
          <w:szCs w:val="22"/>
          <w:lang w:eastAsia="en-AU"/>
        </w:rPr>
        <w:t xml:space="preserve"> of harm</w:t>
      </w:r>
      <w:r w:rsidR="00190041">
        <w:rPr>
          <w:szCs w:val="22"/>
          <w:lang w:eastAsia="en-AU"/>
        </w:rPr>
        <w:t xml:space="preserve"> by re</w:t>
      </w:r>
      <w:r w:rsidR="00BF5F5A">
        <w:rPr>
          <w:szCs w:val="22"/>
          <w:lang w:eastAsia="en-AU"/>
        </w:rPr>
        <w:t>ducing</w:t>
      </w:r>
      <w:r w:rsidR="00190041">
        <w:rPr>
          <w:szCs w:val="22"/>
          <w:lang w:eastAsia="en-AU"/>
        </w:rPr>
        <w:t xml:space="preserve"> the hours EGMs </w:t>
      </w:r>
      <w:r w:rsidR="00675563">
        <w:rPr>
          <w:szCs w:val="22"/>
          <w:lang w:eastAsia="en-AU"/>
        </w:rPr>
        <w:t xml:space="preserve">can operate </w:t>
      </w:r>
      <w:r w:rsidR="00190041">
        <w:rPr>
          <w:szCs w:val="22"/>
          <w:lang w:eastAsia="en-AU"/>
        </w:rPr>
        <w:t>in the early hours of the morning in the ACT</w:t>
      </w:r>
      <w:r w:rsidR="001C5AA7">
        <w:rPr>
          <w:szCs w:val="22"/>
          <w:lang w:eastAsia="en-AU"/>
        </w:rPr>
        <w:t xml:space="preserve"> by providing longer breaks in EGM play</w:t>
      </w:r>
      <w:r w:rsidR="00190041">
        <w:rPr>
          <w:szCs w:val="22"/>
          <w:lang w:eastAsia="en-AU"/>
        </w:rPr>
        <w:t>.</w:t>
      </w:r>
    </w:p>
    <w:p w14:paraId="07C14953" w14:textId="7BEF4BBE" w:rsidR="004A226B" w:rsidRPr="00F838C9" w:rsidRDefault="004A226B" w:rsidP="004A226B">
      <w:pPr>
        <w:spacing w:beforeLines="60" w:before="144" w:afterLines="60" w:after="144"/>
        <w:rPr>
          <w:szCs w:val="22"/>
          <w:lang w:eastAsia="en-AU"/>
        </w:rPr>
      </w:pPr>
      <w:r w:rsidRPr="003B0811">
        <w:t xml:space="preserve">The 2024 ACT Gambling Survey found that limiting the availability and convenience of higher-risk gambling products </w:t>
      </w:r>
      <w:r w:rsidR="00675563">
        <w:t xml:space="preserve">such as EGMs </w:t>
      </w:r>
      <w:r w:rsidRPr="003B0811">
        <w:t>may be one of the most effective ways to reduce harm at the population level</w:t>
      </w:r>
      <w:r w:rsidR="00BF5F5A">
        <w:t>. R</w:t>
      </w:r>
      <w:r w:rsidRPr="003B0811">
        <w:t xml:space="preserve">ecent research </w:t>
      </w:r>
      <w:r w:rsidR="00BF5F5A">
        <w:t xml:space="preserve">which </w:t>
      </w:r>
      <w:r w:rsidRPr="003B0811">
        <w:t>support</w:t>
      </w:r>
      <w:r w:rsidR="00BF5F5A">
        <w:t>s</w:t>
      </w:r>
      <w:r w:rsidRPr="003B0811">
        <w:t xml:space="preserve"> this contention</w:t>
      </w:r>
      <w:r w:rsidR="00BF5F5A">
        <w:t xml:space="preserve"> </w:t>
      </w:r>
      <w:r w:rsidRPr="003B0811">
        <w:t>found that gambling problems in Western Australia – where EGMs are restricted to a single casino – were approximately one-third lower than in other jurisdictions, largely due to reduced EGM accessibility.</w:t>
      </w:r>
      <w:r w:rsidR="00BF5F5A" w:rsidRPr="00BF5F5A">
        <w:rPr>
          <w:rStyle w:val="FootnoteReference"/>
        </w:rPr>
        <w:t xml:space="preserve"> </w:t>
      </w:r>
      <w:r w:rsidR="00BF5F5A">
        <w:rPr>
          <w:rStyle w:val="FootnoteReference"/>
        </w:rPr>
        <w:footnoteReference w:id="3"/>
      </w:r>
    </w:p>
    <w:p w14:paraId="3246C629" w14:textId="069A6000" w:rsidR="00F838C9" w:rsidRDefault="00612A84" w:rsidP="00612A84">
      <w:pPr>
        <w:spacing w:beforeLines="60" w:before="144" w:afterLines="60" w:after="144"/>
        <w:rPr>
          <w:szCs w:val="22"/>
          <w:lang w:eastAsia="en-AU"/>
        </w:rPr>
      </w:pPr>
      <w:r>
        <w:rPr>
          <w:szCs w:val="22"/>
          <w:lang w:eastAsia="en-AU"/>
        </w:rPr>
        <w:t>T</w:t>
      </w:r>
      <w:r w:rsidR="00E10294" w:rsidRPr="00764ADB">
        <w:rPr>
          <w:szCs w:val="22"/>
          <w:lang w:eastAsia="en-AU"/>
        </w:rPr>
        <w:t>he ACT currently has one of the shortest</w:t>
      </w:r>
      <w:r w:rsidR="00996003">
        <w:rPr>
          <w:szCs w:val="22"/>
          <w:lang w:eastAsia="en-AU"/>
        </w:rPr>
        <w:t xml:space="preserve"> EGM</w:t>
      </w:r>
      <w:r w:rsidR="00E10294" w:rsidRPr="00764ADB">
        <w:rPr>
          <w:szCs w:val="22"/>
          <w:lang w:eastAsia="en-AU"/>
        </w:rPr>
        <w:t xml:space="preserve"> shutdown periods in Australia</w:t>
      </w:r>
      <w:r w:rsidR="00BF5F5A">
        <w:rPr>
          <w:szCs w:val="22"/>
          <w:lang w:eastAsia="en-AU"/>
        </w:rPr>
        <w:t xml:space="preserve"> (a </w:t>
      </w:r>
      <w:r w:rsidR="00675563">
        <w:rPr>
          <w:szCs w:val="22"/>
          <w:lang w:eastAsia="en-AU"/>
        </w:rPr>
        <w:t>5</w:t>
      </w:r>
      <w:r w:rsidR="00BF5F5A">
        <w:rPr>
          <w:szCs w:val="22"/>
          <w:lang w:eastAsia="en-AU"/>
        </w:rPr>
        <w:t>-hour shutdown period)</w:t>
      </w:r>
      <w:r w:rsidR="003E2C49">
        <w:rPr>
          <w:szCs w:val="22"/>
          <w:lang w:eastAsia="en-AU"/>
        </w:rPr>
        <w:t>.</w:t>
      </w:r>
      <w:r w:rsidR="00F838C9">
        <w:rPr>
          <w:szCs w:val="22"/>
          <w:lang w:eastAsia="en-AU"/>
        </w:rPr>
        <w:t xml:space="preserve"> </w:t>
      </w:r>
      <w:r w:rsidR="00F838C9" w:rsidRPr="00F838C9">
        <w:rPr>
          <w:szCs w:val="22"/>
          <w:lang w:eastAsia="en-AU"/>
        </w:rPr>
        <w:t>New South Wales</w:t>
      </w:r>
      <w:r w:rsidR="00675563">
        <w:rPr>
          <w:szCs w:val="22"/>
          <w:lang w:eastAsia="en-AU"/>
        </w:rPr>
        <w:t xml:space="preserve">, Victoria and the </w:t>
      </w:r>
      <w:r w:rsidR="00675563" w:rsidRPr="00F838C9">
        <w:rPr>
          <w:szCs w:val="22"/>
          <w:lang w:eastAsia="en-AU"/>
        </w:rPr>
        <w:t xml:space="preserve">Northern Territory </w:t>
      </w:r>
      <w:r w:rsidR="00675563">
        <w:rPr>
          <w:szCs w:val="22"/>
          <w:lang w:eastAsia="en-AU"/>
        </w:rPr>
        <w:t xml:space="preserve">have </w:t>
      </w:r>
      <w:r w:rsidR="00F838C9" w:rsidRPr="00F838C9">
        <w:rPr>
          <w:szCs w:val="22"/>
          <w:lang w:eastAsia="en-AU"/>
        </w:rPr>
        <w:t xml:space="preserve">a </w:t>
      </w:r>
      <w:r w:rsidR="00675563">
        <w:rPr>
          <w:szCs w:val="22"/>
          <w:lang w:eastAsia="en-AU"/>
        </w:rPr>
        <w:t>6</w:t>
      </w:r>
      <w:r w:rsidR="00F838C9" w:rsidRPr="00F838C9">
        <w:rPr>
          <w:szCs w:val="22"/>
          <w:lang w:eastAsia="en-AU"/>
        </w:rPr>
        <w:t>-hour shutdown period from 4am to 10am. In Tasmania, gaming and wagering must not be available in each approved venue or approved outlet for at least four continuous hours within a 24-hour period.</w:t>
      </w:r>
    </w:p>
    <w:p w14:paraId="3043BB35" w14:textId="1707DC27" w:rsidR="00DD211F" w:rsidRPr="00DD211F" w:rsidRDefault="00DD211F" w:rsidP="00DD211F">
      <w:pPr>
        <w:spacing w:before="0" w:after="160" w:line="259" w:lineRule="auto"/>
      </w:pPr>
      <w:r w:rsidRPr="00DD211F">
        <w:t>A 2023 study commissioned by the NSW Government’s Responsible Gambling Fund to investigate the impact of late-night EGM playing on gambling behaviour, found late</w:t>
      </w:r>
      <w:r w:rsidRPr="00DD211F">
        <w:noBreakHyphen/>
        <w:t xml:space="preserve">night </w:t>
      </w:r>
      <w:r w:rsidR="00675563">
        <w:t>EGM gambling</w:t>
      </w:r>
      <w:r w:rsidR="00675563" w:rsidRPr="00DD211F">
        <w:t xml:space="preserve"> </w:t>
      </w:r>
      <w:r w:rsidRPr="00DD211F">
        <w:t>was strongly linked to problematic gambling behaviour.</w:t>
      </w:r>
      <w:r w:rsidRPr="00DD211F">
        <w:rPr>
          <w:vertAlign w:val="superscript"/>
        </w:rPr>
        <w:footnoteReference w:id="4"/>
      </w:r>
      <w:r w:rsidRPr="00DD211F">
        <w:t xml:space="preserve"> Problematic gambling behaviours as defined in th</w:t>
      </w:r>
      <w:r w:rsidR="007E35FF">
        <w:t xml:space="preserve">e </w:t>
      </w:r>
      <w:r w:rsidRPr="00DD211F">
        <w:t xml:space="preserve">study are those such as chasing losses, needing to gamble with larger amounts for the same feeling and those </w:t>
      </w:r>
      <w:r w:rsidRPr="00DD211F">
        <w:lastRenderedPageBreak/>
        <w:t>experiencing problem gambling or moderate risk of problem gambling (according to the Problem Gambling Severity Index</w:t>
      </w:r>
      <w:r w:rsidR="00675563">
        <w:t>, or PGSI</w:t>
      </w:r>
      <w:r w:rsidRPr="00DD211F">
        <w:t>).</w:t>
      </w:r>
      <w:r w:rsidRPr="00DD211F">
        <w:rPr>
          <w:vertAlign w:val="superscript"/>
        </w:rPr>
        <w:footnoteReference w:id="5"/>
      </w:r>
      <w:r w:rsidRPr="00DD211F">
        <w:t xml:space="preserve"> </w:t>
      </w:r>
    </w:p>
    <w:p w14:paraId="3171BC58" w14:textId="648B9CED" w:rsidR="00DD211F" w:rsidRPr="00DD211F" w:rsidRDefault="00DD211F" w:rsidP="00DD211F">
      <w:pPr>
        <w:spacing w:before="0" w:after="160" w:line="259" w:lineRule="auto"/>
      </w:pPr>
      <w:r w:rsidRPr="00DD211F">
        <w:t>The NSW study concluded</w:t>
      </w:r>
      <w:r w:rsidR="00675563">
        <w:t xml:space="preserve"> that</w:t>
      </w:r>
      <w:r w:rsidRPr="00DD211F">
        <w:t>:</w:t>
      </w:r>
    </w:p>
    <w:p w14:paraId="73533882" w14:textId="77777777" w:rsidR="00DD211F" w:rsidRPr="00DD211F" w:rsidRDefault="00DD211F" w:rsidP="00DD211F">
      <w:pPr>
        <w:pStyle w:val="ListParagraph"/>
        <w:numPr>
          <w:ilvl w:val="0"/>
          <w:numId w:val="35"/>
        </w:numPr>
        <w:spacing w:before="0" w:after="160" w:line="259" w:lineRule="auto"/>
      </w:pPr>
      <w:r w:rsidRPr="00DD211F">
        <w:rPr>
          <w:b/>
          <w:bCs/>
        </w:rPr>
        <w:t>Limiting access to venues late at night would likely reduce problem gambling risk.</w:t>
      </w:r>
      <w:r w:rsidRPr="00DD211F">
        <w:t xml:space="preserve"> People who used EGMs late at night (12am-8am) made up 11.6% of all people who used EGMs, had more intense gambling participation and behaviours and were significantly more likely to be experiencing problem gambling.</w:t>
      </w:r>
      <w:r w:rsidRPr="00DD211F">
        <w:rPr>
          <w:vertAlign w:val="superscript"/>
        </w:rPr>
        <w:t xml:space="preserve"> </w:t>
      </w:r>
      <w:r w:rsidRPr="00DD211F">
        <w:rPr>
          <w:vertAlign w:val="superscript"/>
        </w:rPr>
        <w:footnoteReference w:id="6"/>
      </w:r>
      <w:r w:rsidRPr="00DD211F">
        <w:t xml:space="preserve"> The later into the early hours of the morning (i.e., after 2am, and after 4am), the higher the problem gambling risk became. </w:t>
      </w:r>
    </w:p>
    <w:p w14:paraId="5AABCA70" w14:textId="3B40A267" w:rsidR="00DD211F" w:rsidRPr="00DD211F" w:rsidRDefault="00DD211F" w:rsidP="00DD211F">
      <w:pPr>
        <w:numPr>
          <w:ilvl w:val="0"/>
          <w:numId w:val="35"/>
        </w:numPr>
        <w:spacing w:before="0" w:after="160" w:line="259" w:lineRule="auto"/>
      </w:pPr>
      <w:r w:rsidRPr="00DD211F">
        <w:rPr>
          <w:b/>
          <w:bCs/>
        </w:rPr>
        <w:t>Venue closures would limit access and reduce harm</w:t>
      </w:r>
      <w:r w:rsidRPr="00DD211F">
        <w:t xml:space="preserve"> for people who used EGMs late at night</w:t>
      </w:r>
      <w:r w:rsidR="00675563">
        <w:t xml:space="preserve"> and</w:t>
      </w:r>
      <w:r w:rsidRPr="00DD211F">
        <w:t xml:space="preserve"> people at risk of problem gambling, particularly for those experiencing problem gambling, through having a break, allowing them to reassess their spending and time gambling on EGMs.</w:t>
      </w:r>
      <w:r w:rsidRPr="00DD211F">
        <w:rPr>
          <w:vertAlign w:val="superscript"/>
        </w:rPr>
        <w:footnoteReference w:id="7"/>
      </w:r>
    </w:p>
    <w:p w14:paraId="7D22B1E1" w14:textId="4F89EEB9" w:rsidR="00BF5E8F" w:rsidRPr="007C282B" w:rsidRDefault="00DD211F" w:rsidP="00612A84">
      <w:pPr>
        <w:spacing w:before="0" w:after="160" w:line="259" w:lineRule="auto"/>
      </w:pPr>
      <w:r w:rsidRPr="00DD211F">
        <w:t>There is a group of people who use EGMs who demonstrate more intense gambling behaviours and participation – that is, they gamble at more types of venues, gamble on EGMs more frequently, spend more money in a session, gamble more days of the week, are members of loyalty schemes across two or three venue types, and are more likely to gamble alone, and consequently, have significantly higher levels of problem gambling risk.</w:t>
      </w:r>
      <w:r w:rsidRPr="00DD211F">
        <w:rPr>
          <w:vertAlign w:val="superscript"/>
        </w:rPr>
        <w:footnoteReference w:id="8"/>
      </w:r>
      <w:r w:rsidRPr="00DD211F">
        <w:t xml:space="preserve"> </w:t>
      </w:r>
      <w:r w:rsidRPr="00DD211F">
        <w:rPr>
          <w:b/>
          <w:bCs/>
        </w:rPr>
        <w:t>People who have more intense gambling behaviours would benefit most from venue closures.</w:t>
      </w:r>
    </w:p>
    <w:p w14:paraId="63453821" w14:textId="4BDCCD69" w:rsidR="003C7E6C" w:rsidRPr="007C282B" w:rsidRDefault="007C282B" w:rsidP="007C282B">
      <w:pPr>
        <w:spacing w:before="0" w:after="160" w:line="259" w:lineRule="auto"/>
        <w:rPr>
          <w:b/>
          <w:bCs/>
        </w:rPr>
      </w:pPr>
      <w:r w:rsidRPr="007C282B">
        <w:rPr>
          <w:b/>
          <w:bCs/>
        </w:rPr>
        <w:t>Figure 1: Usual EGM gambling time by problem gambling risk (PGSI)</w:t>
      </w:r>
      <w:r>
        <w:rPr>
          <w:rStyle w:val="FootnoteReference"/>
          <w:b/>
          <w:bCs/>
        </w:rPr>
        <w:footnoteReference w:id="9"/>
      </w:r>
    </w:p>
    <w:p w14:paraId="36425083" w14:textId="29177999" w:rsidR="003C7E6C" w:rsidRPr="00DD211F" w:rsidRDefault="003C7E6C" w:rsidP="003C7E6C">
      <w:pPr>
        <w:spacing w:before="0" w:after="160" w:line="259" w:lineRule="auto"/>
      </w:pPr>
      <w:r>
        <w:rPr>
          <w:noProof/>
        </w:rPr>
        <w:drawing>
          <wp:inline distT="0" distB="0" distL="0" distR="0" wp14:anchorId="04A0AB6B" wp14:editId="0676ABB0">
            <wp:extent cx="6189133" cy="3183255"/>
            <wp:effectExtent l="0" t="0" r="2540" b="0"/>
            <wp:docPr id="428822107" name="Picture 1" descr="A graph of number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22107" name="Picture 1" descr="A graph of numbers and numbers&#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t="8222"/>
                    <a:stretch/>
                  </pic:blipFill>
                  <pic:spPr bwMode="auto">
                    <a:xfrm>
                      <a:off x="0" y="0"/>
                      <a:ext cx="6206848" cy="3192366"/>
                    </a:xfrm>
                    <a:prstGeom prst="rect">
                      <a:avLst/>
                    </a:prstGeom>
                    <a:ln>
                      <a:noFill/>
                    </a:ln>
                    <a:extLst>
                      <a:ext uri="{53640926-AAD7-44D8-BBD7-CCE9431645EC}">
                        <a14:shadowObscured xmlns:a14="http://schemas.microsoft.com/office/drawing/2010/main"/>
                      </a:ext>
                    </a:extLst>
                  </pic:spPr>
                </pic:pic>
              </a:graphicData>
            </a:graphic>
          </wp:inline>
        </w:drawing>
      </w:r>
    </w:p>
    <w:p w14:paraId="15E9013C" w14:textId="2B73121A" w:rsidR="00DD211F" w:rsidRPr="00DD211F" w:rsidRDefault="00DD211F" w:rsidP="00DD211F">
      <w:pPr>
        <w:spacing w:before="0" w:after="160" w:line="259" w:lineRule="auto"/>
      </w:pPr>
      <w:r w:rsidRPr="00DD211F">
        <w:t xml:space="preserve">The study found that problem gambling increased significantly from later in the day, into the evening and early morning hours when people who used EGMs usually gambled. People who played EGMs after </w:t>
      </w:r>
      <w:r w:rsidRPr="00DD211F">
        <w:lastRenderedPageBreak/>
        <w:t>midnight were significantly more likely to be experiencing gambling harm; with over 64% of those who gambled between 2am and 8am classified as moderate risk or problem gambling.</w:t>
      </w:r>
      <w:r w:rsidRPr="00DD211F">
        <w:rPr>
          <w:vertAlign w:val="superscript"/>
        </w:rPr>
        <w:footnoteReference w:id="10"/>
      </w:r>
      <w:r w:rsidRPr="00DD211F">
        <w:t xml:space="preserve"> </w:t>
      </w:r>
    </w:p>
    <w:p w14:paraId="26E11E4F" w14:textId="7998128F" w:rsidR="00DD211F" w:rsidRPr="00DD211F" w:rsidRDefault="00DD211F" w:rsidP="00DD211F">
      <w:pPr>
        <w:spacing w:before="0" w:after="160" w:line="259" w:lineRule="auto"/>
      </w:pPr>
      <w:r w:rsidRPr="00DD211F">
        <w:t>The study also examined links between late night workers and late-night gambling. It showed that late-night EGM players were more likely to be late-night workers compared to non-late-night workers, however most late-night workers (76%) do not gamble on EGMs.</w:t>
      </w:r>
      <w:r w:rsidRPr="00DD211F">
        <w:rPr>
          <w:vertAlign w:val="superscript"/>
        </w:rPr>
        <w:footnoteReference w:id="11"/>
      </w:r>
      <w:r w:rsidRPr="00DD211F">
        <w:t xml:space="preserve"> There was no evidence late-night workers </w:t>
      </w:r>
      <w:r w:rsidR="00A97C2A">
        <w:t>experienced</w:t>
      </w:r>
      <w:r w:rsidR="00A97C2A" w:rsidRPr="00DD211F">
        <w:t xml:space="preserve"> </w:t>
      </w:r>
      <w:r w:rsidRPr="00DD211F">
        <w:t>different rates of gambling harm compared to non-late-night workers.</w:t>
      </w:r>
    </w:p>
    <w:p w14:paraId="5FA0817E" w14:textId="58A15573" w:rsidR="008C01EC" w:rsidRPr="00DD211F" w:rsidRDefault="00DD211F" w:rsidP="00DD211F">
      <w:pPr>
        <w:spacing w:before="0" w:after="160" w:line="259" w:lineRule="auto"/>
      </w:pPr>
      <w:r w:rsidRPr="00DD211F">
        <w:t>A 2024 review of NSW’s gaming machine hours framework cited research indicating that people gambling on EGMs after midnight (and particularly after 2am) are disproportionately at risk of problem gambling</w:t>
      </w:r>
      <w:r w:rsidR="004278A5">
        <w:t xml:space="preserve"> and </w:t>
      </w:r>
      <w:r w:rsidR="004278A5" w:rsidRPr="00DD211F">
        <w:t xml:space="preserve">concluded that </w:t>
      </w:r>
      <w:r w:rsidR="004278A5">
        <w:t xml:space="preserve">a </w:t>
      </w:r>
      <w:r w:rsidR="004278A5" w:rsidRPr="00DD211F">
        <w:t>6-hour shutdown period, commencing no later than 4am is effective at minimising gambling harm.</w:t>
      </w:r>
      <w:r w:rsidR="004278A5" w:rsidRPr="00DD211F">
        <w:rPr>
          <w:vertAlign w:val="superscript"/>
        </w:rPr>
        <w:footnoteReference w:id="12"/>
      </w:r>
      <w:r w:rsidR="004278A5" w:rsidRPr="00DD211F">
        <w:t xml:space="preserve"> </w:t>
      </w:r>
    </w:p>
    <w:p w14:paraId="4C77C5A7" w14:textId="4B581120" w:rsidR="00CA1493" w:rsidRPr="006F367A" w:rsidRDefault="002D5D9C" w:rsidP="00CA1493">
      <w:pPr>
        <w:pStyle w:val="Heading1"/>
      </w:pPr>
      <w:bookmarkStart w:id="13" w:name="_Toc228796197"/>
      <w:r>
        <w:t>O</w:t>
      </w:r>
      <w:r w:rsidR="005B157D">
        <w:t>bjectives</w:t>
      </w:r>
      <w:r w:rsidR="00CA1493">
        <w:t xml:space="preserve"> of the regulation</w:t>
      </w:r>
      <w:bookmarkEnd w:id="13"/>
      <w:r w:rsidR="00CA1493">
        <w:t xml:space="preserve"> </w:t>
      </w:r>
    </w:p>
    <w:p w14:paraId="6CDE2A53" w14:textId="6C0D71B9" w:rsidR="008E4779" w:rsidRPr="008E4779" w:rsidRDefault="008E4779" w:rsidP="005B157D">
      <w:pPr>
        <w:spacing w:before="0" w:after="160" w:line="259" w:lineRule="auto"/>
        <w:rPr>
          <w:b/>
          <w:bCs/>
          <w:i/>
          <w:iCs/>
        </w:rPr>
      </w:pPr>
      <w:r w:rsidRPr="008E4779">
        <w:rPr>
          <w:b/>
          <w:bCs/>
          <w:i/>
          <w:iCs/>
        </w:rPr>
        <w:t>What is the objective of the regulation considered in this report?</w:t>
      </w:r>
    </w:p>
    <w:p w14:paraId="2EA26639" w14:textId="6952C1A3" w:rsidR="005B157D" w:rsidRDefault="00A97C2A" w:rsidP="008A2A78">
      <w:pPr>
        <w:spacing w:before="0" w:after="160" w:line="259" w:lineRule="auto"/>
      </w:pPr>
      <w:r>
        <w:t>The proposed regulation will address harm caused by late night gambling on EGMs in the ACT by</w:t>
      </w:r>
      <w:r w:rsidR="00F61E37">
        <w:t xml:space="preserve"> extend</w:t>
      </w:r>
      <w:r>
        <w:t>ing</w:t>
      </w:r>
      <w:r w:rsidR="00F61E37">
        <w:t xml:space="preserve"> the current </w:t>
      </w:r>
      <w:r>
        <w:t xml:space="preserve">EGM </w:t>
      </w:r>
      <w:r w:rsidR="00F61E37">
        <w:t xml:space="preserve">shutdown period </w:t>
      </w:r>
      <w:r w:rsidR="008A2A78">
        <w:t>during certain times, so that there will be shorter hours of operation permitted during</w:t>
      </w:r>
      <w:r w:rsidR="00820049">
        <w:t xml:space="preserve"> </w:t>
      </w:r>
      <w:r w:rsidR="008A2A78">
        <w:t>week</w:t>
      </w:r>
      <w:r w:rsidR="00820049">
        <w:t>days</w:t>
      </w:r>
      <w:r w:rsidR="008A2A78">
        <w:t xml:space="preserve"> while retaining longer hours on Friday and Saturday and into Sunday morning</w:t>
      </w:r>
      <w:r w:rsidR="00820049">
        <w:t xml:space="preserve">. This </w:t>
      </w:r>
      <w:r w:rsidR="00325416">
        <w:t>will limit the availability of</w:t>
      </w:r>
      <w:r w:rsidR="002F361F">
        <w:t xml:space="preserve"> </w:t>
      </w:r>
      <w:r w:rsidR="00325416">
        <w:t xml:space="preserve">EGMs </w:t>
      </w:r>
      <w:r>
        <w:t xml:space="preserve">on weekdays </w:t>
      </w:r>
      <w:r w:rsidR="00325416">
        <w:t>and provide longer break</w:t>
      </w:r>
      <w:r>
        <w:t>s</w:t>
      </w:r>
      <w:r w:rsidR="00325416">
        <w:t xml:space="preserve"> in play</w:t>
      </w:r>
      <w:r w:rsidR="003F02C8">
        <w:t>, while not disproportionately impacting licensees during weekend periods</w:t>
      </w:r>
      <w:r w:rsidR="00325416">
        <w:t>. In particular,</w:t>
      </w:r>
      <w:r>
        <w:t xml:space="preserve"> this regulation will reduce harm</w:t>
      </w:r>
      <w:r w:rsidR="00325416">
        <w:t xml:space="preserve"> for </w:t>
      </w:r>
      <w:r>
        <w:t xml:space="preserve">people </w:t>
      </w:r>
      <w:r w:rsidR="005D5137">
        <w:t xml:space="preserve">who have more intense gambling behaviours and </w:t>
      </w:r>
      <w:r w:rsidR="006D10C4">
        <w:t>late-night</w:t>
      </w:r>
      <w:r w:rsidR="005D5137">
        <w:t xml:space="preserve"> workers</w:t>
      </w:r>
      <w:r w:rsidR="00325416">
        <w:t xml:space="preserve"> who use EGMs</w:t>
      </w:r>
      <w:r w:rsidR="00E235D2">
        <w:t xml:space="preserve">, and more broadly, people who are affected by EGM </w:t>
      </w:r>
      <w:r>
        <w:t xml:space="preserve">harm </w:t>
      </w:r>
      <w:r w:rsidR="00E235D2">
        <w:t xml:space="preserve">such as family and friends. </w:t>
      </w:r>
      <w:r w:rsidR="005D5137">
        <w:t xml:space="preserve"> </w:t>
      </w:r>
    </w:p>
    <w:p w14:paraId="52989F21" w14:textId="5AD0B420" w:rsidR="008E4779" w:rsidRPr="00BD471C" w:rsidRDefault="008E4779" w:rsidP="005B157D">
      <w:pPr>
        <w:spacing w:before="0" w:after="160" w:line="259" w:lineRule="auto"/>
        <w:rPr>
          <w:b/>
          <w:bCs/>
          <w:i/>
          <w:iCs/>
        </w:rPr>
      </w:pPr>
      <w:r w:rsidRPr="00BD471C">
        <w:rPr>
          <w:b/>
          <w:bCs/>
          <w:i/>
          <w:iCs/>
        </w:rPr>
        <w:t>How will the impact of the regulation be measured?</w:t>
      </w:r>
    </w:p>
    <w:p w14:paraId="0E35C5B6" w14:textId="4C5A7F13" w:rsidR="008E4779" w:rsidRDefault="007B550A" w:rsidP="005B157D">
      <w:pPr>
        <w:spacing w:before="0" w:after="160" w:line="259" w:lineRule="auto"/>
      </w:pPr>
      <w:r>
        <w:t xml:space="preserve">It is proposed that the impact of this regulation could be measured by </w:t>
      </w:r>
      <w:r w:rsidR="009D2514">
        <w:t xml:space="preserve">two </w:t>
      </w:r>
      <w:r>
        <w:t>primary methods</w:t>
      </w:r>
      <w:r w:rsidR="00537763">
        <w:t>:</w:t>
      </w:r>
    </w:p>
    <w:p w14:paraId="54DC4B9A" w14:textId="29035B2B" w:rsidR="00524F2B" w:rsidRDefault="00524F2B" w:rsidP="00524F2B">
      <w:pPr>
        <w:pStyle w:val="ListParagraph"/>
        <w:numPr>
          <w:ilvl w:val="0"/>
          <w:numId w:val="38"/>
        </w:numPr>
      </w:pPr>
      <w:r>
        <w:t xml:space="preserve">Comparison of gambling harm </w:t>
      </w:r>
      <w:r w:rsidR="009D2514">
        <w:t>prevalence</w:t>
      </w:r>
      <w:r>
        <w:t xml:space="preserve"> </w:t>
      </w:r>
      <w:r w:rsidR="009D2514">
        <w:t xml:space="preserve">relating </w:t>
      </w:r>
      <w:r>
        <w:t>to EGM use</w:t>
      </w:r>
      <w:r w:rsidR="009D2514">
        <w:t xml:space="preserve"> at the population level</w:t>
      </w:r>
      <w:r>
        <w:t xml:space="preserve"> through the ACT Gambling Survey (</w:t>
      </w:r>
      <w:r w:rsidR="009D2514">
        <w:t xml:space="preserve">a survey </w:t>
      </w:r>
      <w:r>
        <w:t xml:space="preserve">conducted </w:t>
      </w:r>
      <w:r w:rsidRPr="00524F2B">
        <w:t>approximately every 5 years to assist in monitoring the social and economic impacts of gambling in the ACT</w:t>
      </w:r>
      <w:r>
        <w:t>);</w:t>
      </w:r>
    </w:p>
    <w:p w14:paraId="73B50269" w14:textId="4D53E60B" w:rsidR="00537763" w:rsidRDefault="00F07178" w:rsidP="00325416">
      <w:pPr>
        <w:pStyle w:val="ListParagraph"/>
        <w:numPr>
          <w:ilvl w:val="0"/>
          <w:numId w:val="38"/>
        </w:numPr>
      </w:pPr>
      <w:r>
        <w:t>Comparison of</w:t>
      </w:r>
      <w:r w:rsidR="007D4374">
        <w:t xml:space="preserve"> </w:t>
      </w:r>
      <w:r w:rsidR="00867213">
        <w:t>clubs’</w:t>
      </w:r>
      <w:r w:rsidR="00524F2B">
        <w:t xml:space="preserve"> reported</w:t>
      </w:r>
      <w:r w:rsidR="00867213">
        <w:t xml:space="preserve"> EGM </w:t>
      </w:r>
      <w:r w:rsidR="00BB1E95">
        <w:t>revenue</w:t>
      </w:r>
      <w:r w:rsidR="009D2514">
        <w:t xml:space="preserve"> to assess impacts to overall EGM </w:t>
      </w:r>
      <w:r w:rsidR="00AC68FD">
        <w:t>usage</w:t>
      </w:r>
      <w:r w:rsidR="009D2514">
        <w:t xml:space="preserve"> and turnover.</w:t>
      </w:r>
    </w:p>
    <w:p w14:paraId="6D13FF65" w14:textId="77777777" w:rsidR="009D2514" w:rsidRDefault="009D2514" w:rsidP="007C6075">
      <w:pPr>
        <w:pStyle w:val="ListParagraph"/>
      </w:pPr>
    </w:p>
    <w:p w14:paraId="590C8D48" w14:textId="0C95E307" w:rsidR="00C56916" w:rsidRDefault="00B96CC2" w:rsidP="00C56916">
      <w:pPr>
        <w:pStyle w:val="Heading1"/>
      </w:pPr>
      <w:bookmarkStart w:id="14" w:name="_Toc228796198"/>
      <w:r>
        <w:t>Feasible options</w:t>
      </w:r>
      <w:bookmarkEnd w:id="14"/>
      <w:r>
        <w:t xml:space="preserve"> </w:t>
      </w:r>
      <w:r w:rsidR="00101514">
        <w:t xml:space="preserve"> </w:t>
      </w:r>
    </w:p>
    <w:p w14:paraId="0CE48716" w14:textId="12A61322" w:rsidR="00C56916" w:rsidRDefault="00101514" w:rsidP="00C56916">
      <w:r>
        <w:t xml:space="preserve">The following </w:t>
      </w:r>
      <w:r w:rsidR="002F6459">
        <w:t xml:space="preserve">feasible </w:t>
      </w:r>
      <w:r>
        <w:t>options have been considered:</w:t>
      </w:r>
    </w:p>
    <w:p w14:paraId="63D37A4E" w14:textId="317C0471" w:rsidR="00101514" w:rsidRPr="00E66A09" w:rsidRDefault="00421836" w:rsidP="00325416">
      <w:pPr>
        <w:pStyle w:val="ListParagraph"/>
        <w:numPr>
          <w:ilvl w:val="0"/>
          <w:numId w:val="46"/>
        </w:numPr>
      </w:pPr>
      <w:r>
        <w:t xml:space="preserve">Option 1: </w:t>
      </w:r>
      <w:r w:rsidR="005542A6" w:rsidRPr="00E66A09">
        <w:t>No change</w:t>
      </w:r>
      <w:r w:rsidR="006600BC" w:rsidRPr="00E66A09">
        <w:t xml:space="preserve"> to the </w:t>
      </w:r>
      <w:r w:rsidR="00325416">
        <w:t>R</w:t>
      </w:r>
      <w:r w:rsidR="006600BC" w:rsidRPr="00E66A09">
        <w:t>egulation</w:t>
      </w:r>
      <w:r w:rsidR="009A6119">
        <w:t xml:space="preserve"> </w:t>
      </w:r>
      <w:r w:rsidR="00101514" w:rsidRPr="00E66A09">
        <w:t xml:space="preserve">– retain </w:t>
      </w:r>
      <w:r w:rsidR="005542A6" w:rsidRPr="00E66A09">
        <w:t xml:space="preserve">the </w:t>
      </w:r>
      <w:r w:rsidR="00101514" w:rsidRPr="00E66A09">
        <w:t xml:space="preserve">existing </w:t>
      </w:r>
      <w:r w:rsidR="00531F17" w:rsidRPr="00E66A09">
        <w:t>r</w:t>
      </w:r>
      <w:r w:rsidR="00101514" w:rsidRPr="00E66A09">
        <w:t>egulation</w:t>
      </w:r>
      <w:r w:rsidR="005542A6" w:rsidRPr="00E66A09">
        <w:t xml:space="preserve"> and shutdown period</w:t>
      </w:r>
      <w:r w:rsidR="00101514" w:rsidRPr="00E66A09">
        <w:t xml:space="preserve">; </w:t>
      </w:r>
    </w:p>
    <w:p w14:paraId="4FDF3A4C" w14:textId="426C9F01" w:rsidR="006600BC" w:rsidRPr="00E66A09" w:rsidRDefault="00421836" w:rsidP="00325416">
      <w:pPr>
        <w:pStyle w:val="ListParagraph"/>
        <w:numPr>
          <w:ilvl w:val="0"/>
          <w:numId w:val="46"/>
        </w:numPr>
      </w:pPr>
      <w:r>
        <w:t xml:space="preserve">Option 2: </w:t>
      </w:r>
      <w:r w:rsidR="00325416">
        <w:t>No change to the Regulation but e</w:t>
      </w:r>
      <w:r w:rsidR="006600BC" w:rsidRPr="00E66A09">
        <w:t xml:space="preserve">ncourage self-regulation by licensees to increase </w:t>
      </w:r>
      <w:r w:rsidR="00E66A09" w:rsidRPr="00E66A09">
        <w:t xml:space="preserve">the </w:t>
      </w:r>
      <w:r w:rsidR="006600BC" w:rsidRPr="00E66A09">
        <w:t>shutdown period</w:t>
      </w:r>
      <w:r w:rsidR="000F31C2">
        <w:t xml:space="preserve">; </w:t>
      </w:r>
      <w:r w:rsidR="00325416">
        <w:t>and</w:t>
      </w:r>
    </w:p>
    <w:p w14:paraId="7B648C01" w14:textId="1F308705" w:rsidR="00101514" w:rsidRPr="002F361F" w:rsidRDefault="00421836" w:rsidP="00325416">
      <w:pPr>
        <w:pStyle w:val="ListParagraph"/>
        <w:numPr>
          <w:ilvl w:val="0"/>
          <w:numId w:val="46"/>
        </w:numPr>
      </w:pPr>
      <w:r>
        <w:lastRenderedPageBreak/>
        <w:t xml:space="preserve">Option 3: </w:t>
      </w:r>
      <w:r w:rsidR="006600BC">
        <w:t xml:space="preserve">Change the </w:t>
      </w:r>
      <w:r w:rsidR="00325416">
        <w:t>R</w:t>
      </w:r>
      <w:r w:rsidR="006600BC">
        <w:t xml:space="preserve">egulation to </w:t>
      </w:r>
      <w:r w:rsidR="007D6E91">
        <w:t xml:space="preserve">extend </w:t>
      </w:r>
      <w:r w:rsidR="00101514">
        <w:t xml:space="preserve">the existing shutdown period so that </w:t>
      </w:r>
      <w:r w:rsidR="00101514" w:rsidRPr="002F361F">
        <w:t xml:space="preserve">licensees must not operate </w:t>
      </w:r>
      <w:r w:rsidR="000565C9" w:rsidRPr="002F361F">
        <w:t>EGMs</w:t>
      </w:r>
      <w:r w:rsidR="009A6119">
        <w:t xml:space="preserve"> </w:t>
      </w:r>
      <w:bookmarkStart w:id="15" w:name="_Hlk219362730"/>
      <w:r w:rsidR="008A2A78">
        <w:t>during certain times</w:t>
      </w:r>
      <w:r w:rsidR="009A6119">
        <w:t>,</w:t>
      </w:r>
      <w:r w:rsidR="008A2A78">
        <w:t xml:space="preserve"> with shorter hours of operation permitted during</w:t>
      </w:r>
      <w:r w:rsidR="009A6119">
        <w:t xml:space="preserve"> </w:t>
      </w:r>
      <w:r w:rsidR="008A2A78">
        <w:t>week</w:t>
      </w:r>
      <w:r w:rsidR="009A6119">
        <w:t>days</w:t>
      </w:r>
      <w:r w:rsidR="008A2A78">
        <w:t xml:space="preserve"> while retaining longer hours on Friday and Saturday and into Sunday morning</w:t>
      </w:r>
      <w:bookmarkEnd w:id="15"/>
      <w:r w:rsidR="002F361F">
        <w:t>.</w:t>
      </w:r>
    </w:p>
    <w:p w14:paraId="3D07386D" w14:textId="6FC1D30F" w:rsidR="00C56916" w:rsidRDefault="00B67C5D" w:rsidP="00247904">
      <w:pPr>
        <w:pStyle w:val="Heading2"/>
        <w:rPr>
          <w:sz w:val="22"/>
          <w:szCs w:val="14"/>
        </w:rPr>
      </w:pPr>
      <w:bookmarkStart w:id="16" w:name="_Toc228796199"/>
      <w:bookmarkStart w:id="17" w:name="_Hlk216876221"/>
      <w:r>
        <w:rPr>
          <w:sz w:val="22"/>
          <w:szCs w:val="14"/>
        </w:rPr>
        <w:t xml:space="preserve">Option 1: </w:t>
      </w:r>
      <w:r w:rsidR="005542A6">
        <w:rPr>
          <w:sz w:val="22"/>
          <w:szCs w:val="14"/>
        </w:rPr>
        <w:t>No change</w:t>
      </w:r>
      <w:r w:rsidR="00247904" w:rsidRPr="00247904">
        <w:rPr>
          <w:sz w:val="22"/>
          <w:szCs w:val="14"/>
        </w:rPr>
        <w:t xml:space="preserve"> – retain existing Regulation</w:t>
      </w:r>
      <w:r w:rsidR="005542A6">
        <w:rPr>
          <w:sz w:val="22"/>
          <w:szCs w:val="14"/>
        </w:rPr>
        <w:t xml:space="preserve"> and shutdown period</w:t>
      </w:r>
      <w:bookmarkEnd w:id="16"/>
      <w:r w:rsidR="00247904" w:rsidRPr="00247904">
        <w:rPr>
          <w:sz w:val="22"/>
          <w:szCs w:val="14"/>
        </w:rPr>
        <w:t xml:space="preserve"> </w:t>
      </w:r>
    </w:p>
    <w:bookmarkEnd w:id="17"/>
    <w:p w14:paraId="0AA89B8F" w14:textId="621ACC14" w:rsidR="00A32A2F" w:rsidRDefault="00A32A2F" w:rsidP="001B3BD0">
      <w:r>
        <w:t>O</w:t>
      </w:r>
      <w:r w:rsidR="001B3BD0">
        <w:t>ption</w:t>
      </w:r>
      <w:r>
        <w:t xml:space="preserve"> 1</w:t>
      </w:r>
      <w:r w:rsidR="001B3BD0">
        <w:t xml:space="preserve"> </w:t>
      </w:r>
      <w:r w:rsidR="00BB49AE">
        <w:t xml:space="preserve">is the base case for the proposed change as it </w:t>
      </w:r>
      <w:r w:rsidR="001B3BD0">
        <w:t>would result in</w:t>
      </w:r>
      <w:r w:rsidR="009A6119">
        <w:t xml:space="preserve"> maintaining the status quo by</w:t>
      </w:r>
      <w:r w:rsidR="001B3BD0">
        <w:t xml:space="preserve"> re</w:t>
      </w:r>
      <w:r w:rsidR="009A6119">
        <w:t>taining</w:t>
      </w:r>
      <w:r w:rsidR="001B3BD0">
        <w:t xml:space="preserve"> the current regulation</w:t>
      </w:r>
      <w:r w:rsidR="009A6119">
        <w:t>.</w:t>
      </w:r>
      <w:r w:rsidR="001B3BD0">
        <w:t xml:space="preserve"> </w:t>
      </w:r>
      <w:r w:rsidR="009A6119">
        <w:t>This would mean</w:t>
      </w:r>
      <w:r w:rsidR="001B3BD0">
        <w:t xml:space="preserve"> no change</w:t>
      </w:r>
      <w:r w:rsidR="004276DF">
        <w:t xml:space="preserve"> to the hours in which licensees are currently allowed to operate EGMs</w:t>
      </w:r>
      <w:r w:rsidR="001B3BD0">
        <w:t xml:space="preserve"> – i.e.</w:t>
      </w:r>
      <w:r w:rsidR="005542A6">
        <w:t>,</w:t>
      </w:r>
      <w:r w:rsidR="001B3BD0">
        <w:t xml:space="preserve"> a</w:t>
      </w:r>
      <w:r w:rsidR="00574417">
        <w:t xml:space="preserve">n </w:t>
      </w:r>
      <w:r w:rsidR="000565C9">
        <w:t>EGM</w:t>
      </w:r>
      <w:r w:rsidR="001B3BD0">
        <w:t xml:space="preserve"> shutdown period of between 4am </w:t>
      </w:r>
      <w:r w:rsidR="000A6EBF">
        <w:t>to</w:t>
      </w:r>
      <w:r w:rsidR="001B3BD0">
        <w:t xml:space="preserve"> 9am</w:t>
      </w:r>
      <w:r w:rsidR="009A6119">
        <w:t xml:space="preserve"> (a five-hour shutdown period every</w:t>
      </w:r>
      <w:r w:rsidR="001673BD">
        <w:t xml:space="preserve"> </w:t>
      </w:r>
      <w:r w:rsidR="009A6119">
        <w:t>day)</w:t>
      </w:r>
      <w:r w:rsidR="001B3BD0">
        <w:t>.</w:t>
      </w:r>
      <w:r w:rsidR="004276DF">
        <w:t xml:space="preserve"> </w:t>
      </w:r>
    </w:p>
    <w:p w14:paraId="4826A4AF" w14:textId="39141699" w:rsidR="001B3BD0" w:rsidRDefault="00C3567B" w:rsidP="001B3BD0">
      <w:r w:rsidRPr="006D10C4">
        <w:t>However, t</w:t>
      </w:r>
      <w:r w:rsidR="00765EBA" w:rsidRPr="006D10C4">
        <w:t xml:space="preserve">here are several issues raised by the </w:t>
      </w:r>
      <w:r w:rsidRPr="006D10C4">
        <w:t xml:space="preserve">continued </w:t>
      </w:r>
      <w:r w:rsidR="00765EBA" w:rsidRPr="006D10C4">
        <w:t xml:space="preserve">operation of the current shutdown period. </w:t>
      </w:r>
      <w:r w:rsidR="00B6567A" w:rsidRPr="006D10C4">
        <w:t>In summary</w:t>
      </w:r>
      <w:r w:rsidR="000A6EBF" w:rsidRPr="006D10C4">
        <w:t xml:space="preserve">, no change, </w:t>
      </w:r>
      <w:r w:rsidR="00B6567A" w:rsidRPr="006D10C4">
        <w:t>would result in:</w:t>
      </w:r>
    </w:p>
    <w:p w14:paraId="6EEFFD75" w14:textId="22158E40" w:rsidR="00A32A2F" w:rsidRPr="00C164A1" w:rsidRDefault="00A32A2F" w:rsidP="00A32A2F">
      <w:pPr>
        <w:pStyle w:val="ListParagraph"/>
        <w:numPr>
          <w:ilvl w:val="0"/>
          <w:numId w:val="39"/>
        </w:numPr>
      </w:pPr>
      <w:r>
        <w:t xml:space="preserve">A continued disproportionate risk of </w:t>
      </w:r>
      <w:r w:rsidRPr="00DD211F">
        <w:t xml:space="preserve">gambling </w:t>
      </w:r>
      <w:r w:rsidR="00867213">
        <w:t xml:space="preserve">harm </w:t>
      </w:r>
      <w:r>
        <w:t xml:space="preserve">and </w:t>
      </w:r>
      <w:r w:rsidRPr="00272038">
        <w:rPr>
          <w:szCs w:val="22"/>
          <w:lang w:eastAsia="en-AU"/>
        </w:rPr>
        <w:t>problem gambling</w:t>
      </w:r>
      <w:r w:rsidRPr="00272038">
        <w:t xml:space="preserve"> </w:t>
      </w:r>
      <w:r>
        <w:t>for those who gamble late at night</w:t>
      </w:r>
      <w:r>
        <w:rPr>
          <w:szCs w:val="22"/>
          <w:lang w:eastAsia="en-AU"/>
        </w:rPr>
        <w:t>, particularly after 2am;</w:t>
      </w:r>
    </w:p>
    <w:p w14:paraId="75D42A4F" w14:textId="1CB511CD" w:rsidR="00C94205" w:rsidRDefault="00C94205" w:rsidP="00C164A1">
      <w:pPr>
        <w:pStyle w:val="ListParagraph"/>
        <w:numPr>
          <w:ilvl w:val="0"/>
          <w:numId w:val="39"/>
        </w:numPr>
      </w:pPr>
      <w:r>
        <w:t>A short break in</w:t>
      </w:r>
      <w:r w:rsidR="00867213">
        <w:t xml:space="preserve"> EGM</w:t>
      </w:r>
      <w:r>
        <w:t xml:space="preserve"> play (i.e. 5 hours) </w:t>
      </w:r>
      <w:r w:rsidR="00C164A1">
        <w:t>which limits</w:t>
      </w:r>
      <w:r w:rsidR="003E255A">
        <w:t xml:space="preserve"> the time for </w:t>
      </w:r>
      <w:r w:rsidR="00867213">
        <w:t xml:space="preserve">people </w:t>
      </w:r>
      <w:r w:rsidR="003E255A">
        <w:t>to reassess their spending</w:t>
      </w:r>
      <w:r w:rsidR="00F40601">
        <w:t xml:space="preserve">, </w:t>
      </w:r>
      <w:r w:rsidR="00C3567B">
        <w:t xml:space="preserve">financial </w:t>
      </w:r>
      <w:r w:rsidR="00F40601">
        <w:t>losses</w:t>
      </w:r>
      <w:r w:rsidR="003E255A">
        <w:t xml:space="preserve"> and </w:t>
      </w:r>
      <w:r w:rsidR="00F40601">
        <w:t xml:space="preserve">length of </w:t>
      </w:r>
      <w:r w:rsidR="003E255A">
        <w:t>time</w:t>
      </w:r>
      <w:r w:rsidR="00F40601">
        <w:t xml:space="preserve"> spent</w:t>
      </w:r>
      <w:r w:rsidR="003E255A">
        <w:t xml:space="preserve"> gambling on EGMs.</w:t>
      </w:r>
    </w:p>
    <w:p w14:paraId="1B96E669" w14:textId="7889E143" w:rsidR="003E255A" w:rsidRDefault="00C94205" w:rsidP="00C94205">
      <w:pPr>
        <w:pStyle w:val="ListParagraph"/>
        <w:numPr>
          <w:ilvl w:val="0"/>
          <w:numId w:val="39"/>
        </w:numPr>
      </w:pPr>
      <w:r>
        <w:t>The ACT continuing to have one of the shortest EGM</w:t>
      </w:r>
      <w:r w:rsidRPr="00764ADB">
        <w:rPr>
          <w:szCs w:val="22"/>
          <w:lang w:eastAsia="en-AU"/>
        </w:rPr>
        <w:t xml:space="preserve"> shutdown periods in Australia, along with Tasmania which has a 4-hour shutdown period</w:t>
      </w:r>
      <w:r>
        <w:rPr>
          <w:szCs w:val="22"/>
          <w:lang w:eastAsia="en-AU"/>
        </w:rPr>
        <w:t xml:space="preserve">. </w:t>
      </w:r>
      <w:r w:rsidR="003E255A">
        <w:t xml:space="preserve"> </w:t>
      </w:r>
    </w:p>
    <w:p w14:paraId="34B1C51C" w14:textId="537389BB" w:rsidR="005A1F27" w:rsidRDefault="005A1F27" w:rsidP="00C94205">
      <w:pPr>
        <w:pStyle w:val="ListParagraph"/>
        <w:numPr>
          <w:ilvl w:val="0"/>
          <w:numId w:val="39"/>
        </w:numPr>
      </w:pPr>
      <w:r>
        <w:t xml:space="preserve">Additional compliance monitoring measures of the current shutdown period by Access Canberra would not achieve the policy objective of addressing gambling harm through a harm minimisation approach as more compliance oversight would not result in reduced availability of EGM use. </w:t>
      </w:r>
    </w:p>
    <w:p w14:paraId="1A8E4F18" w14:textId="2CD5683D" w:rsidR="00FA03CF" w:rsidRDefault="00C94205" w:rsidP="00FA03CF">
      <w:r>
        <w:t>T</w:t>
      </w:r>
      <w:r w:rsidR="00B96CC2">
        <w:t xml:space="preserve">his option would </w:t>
      </w:r>
      <w:r w:rsidR="00F02251">
        <w:t>mean</w:t>
      </w:r>
      <w:r w:rsidR="00B96CC2">
        <w:t>:</w:t>
      </w:r>
    </w:p>
    <w:p w14:paraId="6959B7AB" w14:textId="0A85B42F" w:rsidR="00D23683" w:rsidRDefault="0025290F" w:rsidP="00B96CC2">
      <w:pPr>
        <w:pStyle w:val="ListParagraph"/>
        <w:numPr>
          <w:ilvl w:val="0"/>
          <w:numId w:val="40"/>
        </w:numPr>
      </w:pPr>
      <w:r>
        <w:t>The c</w:t>
      </w:r>
      <w:r w:rsidR="00D23683">
        <w:t xml:space="preserve">ontinuation of the </w:t>
      </w:r>
      <w:r w:rsidR="00FC619A">
        <w:t>c</w:t>
      </w:r>
      <w:r w:rsidR="00B96CC2">
        <w:t xml:space="preserve">urrent </w:t>
      </w:r>
      <w:r w:rsidR="00C1365F">
        <w:t xml:space="preserve">licensee </w:t>
      </w:r>
      <w:r w:rsidR="00B96CC2">
        <w:t>operating conditions</w:t>
      </w:r>
      <w:r w:rsidR="00D23683">
        <w:t>, including the current shutdown period</w:t>
      </w:r>
      <w:r w:rsidR="00B96CC2">
        <w:t>;</w:t>
      </w:r>
    </w:p>
    <w:p w14:paraId="5E732EDB" w14:textId="430A2F6E" w:rsidR="00C0442E" w:rsidRDefault="00D23683" w:rsidP="00C1365F">
      <w:pPr>
        <w:pStyle w:val="ListParagraph"/>
        <w:numPr>
          <w:ilvl w:val="0"/>
          <w:numId w:val="40"/>
        </w:numPr>
      </w:pPr>
      <w:r>
        <w:t xml:space="preserve">No change in addressing gambling harm by way of a measure </w:t>
      </w:r>
      <w:r w:rsidR="00C3567B">
        <w:t>which</w:t>
      </w:r>
      <w:r>
        <w:t xml:space="preserve"> extends the shutdown period to ensure a longer break in play</w:t>
      </w:r>
      <w:r w:rsidR="00BD1640">
        <w:t xml:space="preserve"> and reduced availability of EGMs</w:t>
      </w:r>
      <w:r w:rsidR="00C3567B">
        <w:t xml:space="preserve">. </w:t>
      </w:r>
    </w:p>
    <w:p w14:paraId="2D127AE4" w14:textId="77777777" w:rsidR="00C1365F" w:rsidRDefault="00C1365F" w:rsidP="007C6075">
      <w:pPr>
        <w:pStyle w:val="ListParagraph"/>
      </w:pPr>
    </w:p>
    <w:p w14:paraId="36B9661D" w14:textId="78CA60DB" w:rsidR="00750412" w:rsidRDefault="00B67C5D" w:rsidP="00C0442E">
      <w:pPr>
        <w:pStyle w:val="Heading2"/>
        <w:rPr>
          <w:sz w:val="22"/>
          <w:szCs w:val="14"/>
        </w:rPr>
      </w:pPr>
      <w:bookmarkStart w:id="18" w:name="_Toc228796200"/>
      <w:r>
        <w:rPr>
          <w:sz w:val="22"/>
          <w:szCs w:val="14"/>
        </w:rPr>
        <w:t xml:space="preserve">Option 2: </w:t>
      </w:r>
      <w:r w:rsidR="00750412" w:rsidRPr="00750412">
        <w:rPr>
          <w:sz w:val="22"/>
          <w:szCs w:val="14"/>
        </w:rPr>
        <w:t>Encourage self-regulation by licensees to increase the shutdown period</w:t>
      </w:r>
      <w:bookmarkEnd w:id="18"/>
      <w:r w:rsidR="00324A54">
        <w:rPr>
          <w:sz w:val="22"/>
          <w:szCs w:val="14"/>
        </w:rPr>
        <w:t xml:space="preserve"> </w:t>
      </w:r>
    </w:p>
    <w:p w14:paraId="59D76889" w14:textId="445A65C0" w:rsidR="00BB49AE" w:rsidRDefault="00324A54" w:rsidP="00B67C5D">
      <w:pPr>
        <w:rPr>
          <w:b/>
        </w:rPr>
      </w:pPr>
      <w:r>
        <w:t>O</w:t>
      </w:r>
      <w:r w:rsidR="00750412" w:rsidRPr="00750412">
        <w:t>ption</w:t>
      </w:r>
      <w:r>
        <w:t xml:space="preserve"> 2</w:t>
      </w:r>
      <w:r w:rsidR="00750412" w:rsidRPr="00750412">
        <w:t xml:space="preserve"> </w:t>
      </w:r>
      <w:r w:rsidR="00C1365F">
        <w:t xml:space="preserve">would </w:t>
      </w:r>
      <w:r w:rsidR="00750412" w:rsidRPr="00750412">
        <w:t>involve</w:t>
      </w:r>
      <w:r w:rsidR="00750412">
        <w:t xml:space="preserve"> licensees self-regulat</w:t>
      </w:r>
      <w:r w:rsidR="00C3567B">
        <w:t>ing</w:t>
      </w:r>
      <w:r w:rsidR="00750412">
        <w:t xml:space="preserve"> </w:t>
      </w:r>
      <w:r w:rsidR="00C1365F">
        <w:t>additional shutdown outside the current mandated EGM shutdown periods</w:t>
      </w:r>
      <w:r w:rsidR="007A4806">
        <w:t xml:space="preserve">. This option </w:t>
      </w:r>
      <w:r w:rsidR="00C1365F">
        <w:t xml:space="preserve">would be </w:t>
      </w:r>
      <w:r w:rsidR="00BB49AE">
        <w:t xml:space="preserve">likely to lead to </w:t>
      </w:r>
      <w:r w:rsidR="00C1365F">
        <w:t>inconsistent or unknown application and</w:t>
      </w:r>
      <w:r w:rsidR="007A4806">
        <w:t xml:space="preserve"> </w:t>
      </w:r>
      <w:r w:rsidR="00C1365F">
        <w:t xml:space="preserve">impact, and </w:t>
      </w:r>
      <w:r w:rsidR="00BB49AE">
        <w:t xml:space="preserve">compliance </w:t>
      </w:r>
      <w:r w:rsidR="00C1365F">
        <w:t>challenges</w:t>
      </w:r>
      <w:r w:rsidR="007A4806">
        <w:t xml:space="preserve">.  </w:t>
      </w:r>
    </w:p>
    <w:p w14:paraId="6FE1D1D4" w14:textId="5AFE462C" w:rsidR="00750412" w:rsidRDefault="00DE1BB6" w:rsidP="00B67C5D">
      <w:pPr>
        <w:rPr>
          <w:b/>
        </w:rPr>
      </w:pPr>
      <w:r>
        <w:t xml:space="preserve"> This option </w:t>
      </w:r>
      <w:r w:rsidR="00C1365F">
        <w:t xml:space="preserve">would </w:t>
      </w:r>
      <w:r>
        <w:t>result in:</w:t>
      </w:r>
    </w:p>
    <w:p w14:paraId="2F9DEE4F" w14:textId="02203A5E" w:rsidR="00DE1BB6" w:rsidRDefault="007A4806" w:rsidP="00BC2E77">
      <w:pPr>
        <w:pStyle w:val="ListParagraph"/>
        <w:numPr>
          <w:ilvl w:val="0"/>
          <w:numId w:val="41"/>
        </w:numPr>
      </w:pPr>
      <w:r>
        <w:t xml:space="preserve">Inconsistent </w:t>
      </w:r>
      <w:r w:rsidR="00DE1BB6">
        <w:t>EGM shutdown period</w:t>
      </w:r>
      <w:r>
        <w:t>s</w:t>
      </w:r>
      <w:r w:rsidR="00E75385">
        <w:t xml:space="preserve"> and EGM operating</w:t>
      </w:r>
      <w:r w:rsidR="00DE1BB6">
        <w:t xml:space="preserve"> </w:t>
      </w:r>
      <w:r w:rsidR="00E75385">
        <w:t xml:space="preserve">times </w:t>
      </w:r>
      <w:r w:rsidR="00BC2E77">
        <w:t xml:space="preserve">due to </w:t>
      </w:r>
      <w:r w:rsidR="00C1365F">
        <w:t xml:space="preserve">industry </w:t>
      </w:r>
      <w:r w:rsidR="00BC2E77">
        <w:t>self-regulation</w:t>
      </w:r>
      <w:r w:rsidR="00D44BE3">
        <w:t xml:space="preserve">, </w:t>
      </w:r>
      <w:r w:rsidR="00C1365F">
        <w:t xml:space="preserve">with no change to </w:t>
      </w:r>
      <w:r w:rsidR="00BC2E77">
        <w:t xml:space="preserve">mandated operating times and </w:t>
      </w:r>
      <w:r>
        <w:t xml:space="preserve">a lack of ability to </w:t>
      </w:r>
      <w:r w:rsidR="00BC2E77">
        <w:t xml:space="preserve">enforce non-compliance; </w:t>
      </w:r>
    </w:p>
    <w:p w14:paraId="3A8ACA43" w14:textId="5D43ADAC" w:rsidR="00DE1BB6" w:rsidRDefault="00C3567B" w:rsidP="00DE1BB6">
      <w:pPr>
        <w:pStyle w:val="ListParagraph"/>
        <w:numPr>
          <w:ilvl w:val="0"/>
          <w:numId w:val="41"/>
        </w:numPr>
      </w:pPr>
      <w:r>
        <w:t>Inconsisten</w:t>
      </w:r>
      <w:r w:rsidR="00D44BE3">
        <w:t xml:space="preserve">t </w:t>
      </w:r>
      <w:r>
        <w:t xml:space="preserve">operating hours between </w:t>
      </w:r>
      <w:r w:rsidR="00BC2E77">
        <w:t xml:space="preserve">different </w:t>
      </w:r>
      <w:r>
        <w:t xml:space="preserve">licensees and club venues. For example, </w:t>
      </w:r>
      <w:r w:rsidR="00DE1BB6">
        <w:t xml:space="preserve">licensees </w:t>
      </w:r>
      <w:r w:rsidR="00E75385">
        <w:t xml:space="preserve">which chose to </w:t>
      </w:r>
      <w:r w:rsidR="00DE1BB6">
        <w:t xml:space="preserve">self-regulate </w:t>
      </w:r>
      <w:r>
        <w:t>would have an</w:t>
      </w:r>
      <w:r w:rsidR="00DE1BB6">
        <w:t xml:space="preserve"> extended shutdown period </w:t>
      </w:r>
      <w:r w:rsidR="00E75385">
        <w:t xml:space="preserve">compared to </w:t>
      </w:r>
      <w:r w:rsidR="00DE1BB6">
        <w:t xml:space="preserve">licensees </w:t>
      </w:r>
      <w:r w:rsidR="00E75385">
        <w:t xml:space="preserve">which did </w:t>
      </w:r>
      <w:r w:rsidR="00DE1BB6">
        <w:t>no</w:t>
      </w:r>
      <w:r>
        <w:t>t</w:t>
      </w:r>
      <w:r w:rsidR="00DE1BB6">
        <w:t xml:space="preserve"> self-regulat</w:t>
      </w:r>
      <w:r w:rsidR="00E75385">
        <w:t>e</w:t>
      </w:r>
      <w:r w:rsidR="00B70C11">
        <w:t>.</w:t>
      </w:r>
      <w:r w:rsidR="00BC2E77">
        <w:t xml:space="preserve"> Additionally, there </w:t>
      </w:r>
      <w:r w:rsidR="00E75385">
        <w:t xml:space="preserve">would be </w:t>
      </w:r>
      <w:r w:rsidR="00BC2E77">
        <w:t xml:space="preserve">no guarantee licensees </w:t>
      </w:r>
      <w:r w:rsidR="00E75385">
        <w:t xml:space="preserve">would </w:t>
      </w:r>
      <w:r w:rsidR="00BC2E77">
        <w:t xml:space="preserve">sustain self-regulation with an extended shutdown period over </w:t>
      </w:r>
      <w:r w:rsidR="00D44BE3">
        <w:t>the</w:t>
      </w:r>
      <w:r w:rsidR="00BC2E77">
        <w:t xml:space="preserve"> long-term.</w:t>
      </w:r>
      <w:r w:rsidR="00D44BE3">
        <w:t xml:space="preserve"> </w:t>
      </w:r>
      <w:r w:rsidR="007A4806">
        <w:t xml:space="preserve">There </w:t>
      </w:r>
      <w:r w:rsidR="00E75385">
        <w:t>would be limited</w:t>
      </w:r>
      <w:r w:rsidR="007A4806">
        <w:t xml:space="preserve"> ability </w:t>
      </w:r>
      <w:r w:rsidR="00E75385">
        <w:t xml:space="preserve">to monitor impact and </w:t>
      </w:r>
      <w:r w:rsidR="007A4806">
        <w:t>compliance due to the voluntary nature of th</w:t>
      </w:r>
      <w:r w:rsidR="00D44BE3">
        <w:t>is</w:t>
      </w:r>
      <w:r w:rsidR="007A4806">
        <w:t xml:space="preserve"> option. </w:t>
      </w:r>
    </w:p>
    <w:p w14:paraId="093F1AFF" w14:textId="6FAB6B43" w:rsidR="00DE1BB6" w:rsidRPr="00DE1BB6" w:rsidRDefault="00D92EB2" w:rsidP="00DE1BB6">
      <w:pPr>
        <w:pStyle w:val="ListParagraph"/>
        <w:numPr>
          <w:ilvl w:val="0"/>
          <w:numId w:val="41"/>
        </w:numPr>
      </w:pPr>
      <w:r>
        <w:lastRenderedPageBreak/>
        <w:t>Th</w:t>
      </w:r>
      <w:r w:rsidR="004808D1">
        <w:t xml:space="preserve">e </w:t>
      </w:r>
      <w:r w:rsidR="00060626">
        <w:t>intended impact of reducing</w:t>
      </w:r>
      <w:r w:rsidR="004808D1">
        <w:t xml:space="preserve"> gambling</w:t>
      </w:r>
      <w:r w:rsidR="00060626">
        <w:t xml:space="preserve"> harm from EGMs</w:t>
      </w:r>
      <w:r w:rsidR="004808D1">
        <w:t xml:space="preserve"> </w:t>
      </w:r>
      <w:r w:rsidR="00D44BE3">
        <w:t xml:space="preserve">through an extended shutdown period </w:t>
      </w:r>
      <w:r w:rsidR="00E75385">
        <w:t xml:space="preserve">would </w:t>
      </w:r>
      <w:r>
        <w:t xml:space="preserve">not </w:t>
      </w:r>
      <w:r w:rsidR="00E75385">
        <w:t>be achieved</w:t>
      </w:r>
      <w:r w:rsidR="00D44BE3">
        <w:t>.</w:t>
      </w:r>
      <w:r w:rsidR="004808D1">
        <w:t xml:space="preserve"> </w:t>
      </w:r>
      <w:r>
        <w:t xml:space="preserve"> </w:t>
      </w:r>
    </w:p>
    <w:p w14:paraId="582E19FD" w14:textId="55876A5E" w:rsidR="002F361F" w:rsidRPr="002F361F" w:rsidRDefault="00B67C5D" w:rsidP="00C0442E">
      <w:pPr>
        <w:pStyle w:val="Heading2"/>
        <w:rPr>
          <w:sz w:val="22"/>
          <w:szCs w:val="14"/>
        </w:rPr>
      </w:pPr>
      <w:bookmarkStart w:id="19" w:name="_Toc228796201"/>
      <w:r>
        <w:rPr>
          <w:sz w:val="22"/>
          <w:szCs w:val="14"/>
        </w:rPr>
        <w:t xml:space="preserve">Option 3: </w:t>
      </w:r>
      <w:r w:rsidR="00C0442E" w:rsidRPr="00C0442E">
        <w:rPr>
          <w:sz w:val="22"/>
          <w:szCs w:val="14"/>
        </w:rPr>
        <w:t xml:space="preserve">Expand the existing shutdown period so that licensees must not operate gaming machines </w:t>
      </w:r>
      <w:bookmarkStart w:id="20" w:name="_Hlk216883220"/>
      <w:r w:rsidR="005258A9" w:rsidRPr="005258A9">
        <w:rPr>
          <w:sz w:val="22"/>
          <w:szCs w:val="14"/>
        </w:rPr>
        <w:t>during certain times</w:t>
      </w:r>
      <w:r w:rsidR="00E75385">
        <w:rPr>
          <w:sz w:val="22"/>
          <w:szCs w:val="14"/>
        </w:rPr>
        <w:t xml:space="preserve">, with </w:t>
      </w:r>
      <w:r w:rsidR="005258A9" w:rsidRPr="005258A9">
        <w:rPr>
          <w:sz w:val="22"/>
          <w:szCs w:val="14"/>
        </w:rPr>
        <w:t xml:space="preserve">shorter hours of operation permitted during the week while </w:t>
      </w:r>
      <w:r w:rsidR="00E75385">
        <w:rPr>
          <w:sz w:val="22"/>
          <w:szCs w:val="14"/>
        </w:rPr>
        <w:t>permitting</w:t>
      </w:r>
      <w:r w:rsidR="00E75385" w:rsidRPr="005258A9">
        <w:rPr>
          <w:sz w:val="22"/>
          <w:szCs w:val="14"/>
        </w:rPr>
        <w:t xml:space="preserve"> </w:t>
      </w:r>
      <w:r w:rsidR="005258A9" w:rsidRPr="005258A9">
        <w:rPr>
          <w:sz w:val="22"/>
          <w:szCs w:val="14"/>
        </w:rPr>
        <w:t>longer hours on Friday and Saturday and into Sunday morning</w:t>
      </w:r>
      <w:bookmarkEnd w:id="19"/>
      <w:bookmarkEnd w:id="20"/>
      <w:r w:rsidR="003B1840">
        <w:rPr>
          <w:sz w:val="22"/>
          <w:szCs w:val="14"/>
        </w:rPr>
        <w:t xml:space="preserve"> </w:t>
      </w:r>
    </w:p>
    <w:p w14:paraId="176CE567" w14:textId="0B97DFF8" w:rsidR="00C0442E" w:rsidRDefault="003B1840" w:rsidP="00C0442E">
      <w:r>
        <w:t>O</w:t>
      </w:r>
      <w:r w:rsidR="00CD6FF5">
        <w:t>ption</w:t>
      </w:r>
      <w:r w:rsidR="00FC7354">
        <w:t xml:space="preserve"> </w:t>
      </w:r>
      <w:r w:rsidR="00B70C11">
        <w:t xml:space="preserve">3 </w:t>
      </w:r>
      <w:r w:rsidR="00CD6FF5">
        <w:t>involve</w:t>
      </w:r>
      <w:r w:rsidR="00FC7354">
        <w:t xml:space="preserve">s </w:t>
      </w:r>
      <w:r w:rsidR="001448E3">
        <w:t xml:space="preserve">increasing the hours licensees must not </w:t>
      </w:r>
      <w:r w:rsidR="00C06E2F">
        <w:t xml:space="preserve">operate </w:t>
      </w:r>
      <w:r w:rsidR="002F361F">
        <w:t xml:space="preserve">EGMs </w:t>
      </w:r>
      <w:r w:rsidR="005258A9" w:rsidRPr="005258A9">
        <w:t>during certain times</w:t>
      </w:r>
      <w:r>
        <w:t>.</w:t>
      </w:r>
      <w:r w:rsidR="005258A9" w:rsidRPr="005258A9">
        <w:t xml:space="preserve"> </w:t>
      </w:r>
      <w:r>
        <w:t>S</w:t>
      </w:r>
      <w:r w:rsidR="005258A9" w:rsidRPr="005258A9">
        <w:t xml:space="preserve">horter hours of operation </w:t>
      </w:r>
      <w:r w:rsidR="00E75385">
        <w:t xml:space="preserve">would </w:t>
      </w:r>
      <w:r>
        <w:t xml:space="preserve">be </w:t>
      </w:r>
      <w:r w:rsidR="005258A9" w:rsidRPr="005258A9">
        <w:t>permitted during week</w:t>
      </w:r>
      <w:r w:rsidR="00B70C11">
        <w:t>days</w:t>
      </w:r>
      <w:r w:rsidR="005258A9" w:rsidRPr="005258A9">
        <w:t xml:space="preserve"> while longer</w:t>
      </w:r>
      <w:r w:rsidR="00E75385">
        <w:t xml:space="preserve"> operating</w:t>
      </w:r>
      <w:r w:rsidR="005258A9" w:rsidRPr="005258A9">
        <w:t xml:space="preserve"> hours on Friday and Saturday and into Sunday morning</w:t>
      </w:r>
      <w:r>
        <w:t xml:space="preserve"> </w:t>
      </w:r>
      <w:r w:rsidR="00E75385">
        <w:t xml:space="preserve">would </w:t>
      </w:r>
      <w:r>
        <w:t xml:space="preserve">be retained. </w:t>
      </w:r>
      <w:r w:rsidR="00FC7354">
        <w:t>T</w:t>
      </w:r>
      <w:r w:rsidR="00F12026">
        <w:t xml:space="preserve">his option </w:t>
      </w:r>
      <w:r w:rsidR="00E75385">
        <w:t xml:space="preserve">would </w:t>
      </w:r>
      <w:r w:rsidR="00266AAD">
        <w:t>result in:</w:t>
      </w:r>
    </w:p>
    <w:p w14:paraId="6FB1908E" w14:textId="7FA594C6" w:rsidR="001643C2" w:rsidRPr="0033542A" w:rsidRDefault="00E75385" w:rsidP="003B1840">
      <w:pPr>
        <w:pStyle w:val="ListParagraph"/>
        <w:numPr>
          <w:ilvl w:val="0"/>
          <w:numId w:val="41"/>
        </w:numPr>
      </w:pPr>
      <w:r>
        <w:t>R</w:t>
      </w:r>
      <w:r w:rsidR="003B1840">
        <w:t>educed availability of EGM</w:t>
      </w:r>
      <w:r w:rsidR="00B70C11">
        <w:t>s through a</w:t>
      </w:r>
      <w:r w:rsidR="00DD7D01">
        <w:t xml:space="preserve">n extended shutdown period which </w:t>
      </w:r>
      <w:r w:rsidR="00457D97">
        <w:t>would</w:t>
      </w:r>
      <w:r w:rsidR="00DD7D01">
        <w:t xml:space="preserve"> </w:t>
      </w:r>
      <w:r w:rsidR="00B70C11">
        <w:t>reduc</w:t>
      </w:r>
      <w:r w:rsidR="00457D97">
        <w:t>e</w:t>
      </w:r>
      <w:r w:rsidR="00B70C11">
        <w:t xml:space="preserve"> operating hours </w:t>
      </w:r>
      <w:r w:rsidR="00DD7D01">
        <w:t>and</w:t>
      </w:r>
      <w:r w:rsidR="003B1840">
        <w:t xml:space="preserve"> </w:t>
      </w:r>
      <w:r w:rsidR="00457D97">
        <w:t xml:space="preserve">risk of gambling harm, </w:t>
      </w:r>
      <w:r w:rsidR="003B1840">
        <w:t>in line with the Government’s harm minimisation approach.</w:t>
      </w:r>
      <w:r w:rsidR="00B70C11">
        <w:t xml:space="preserve"> </w:t>
      </w:r>
      <w:r w:rsidR="00457D97">
        <w:t>Reduced</w:t>
      </w:r>
      <w:r w:rsidR="001643C2" w:rsidRPr="0033542A">
        <w:t xml:space="preserve"> </w:t>
      </w:r>
      <w:r w:rsidR="00110704" w:rsidRPr="0033542A">
        <w:t>EGM</w:t>
      </w:r>
      <w:r w:rsidR="00457D97">
        <w:t xml:space="preserve"> operating hours</w:t>
      </w:r>
      <w:r w:rsidR="001643C2" w:rsidRPr="0033542A">
        <w:t xml:space="preserve"> during the early hours of the morning,</w:t>
      </w:r>
      <w:r w:rsidR="00DA178A">
        <w:t xml:space="preserve"> particularly on week days, </w:t>
      </w:r>
      <w:r w:rsidR="003B1840">
        <w:t>is</w:t>
      </w:r>
      <w:r w:rsidR="00457D97">
        <w:t> </w:t>
      </w:r>
      <w:r w:rsidR="003B1840">
        <w:t xml:space="preserve">anticipated to </w:t>
      </w:r>
      <w:r w:rsidR="001643C2" w:rsidRPr="0033542A">
        <w:t xml:space="preserve">decrease the risk of </w:t>
      </w:r>
      <w:r w:rsidR="00457D97">
        <w:t xml:space="preserve">EGM </w:t>
      </w:r>
      <w:r w:rsidR="001643C2" w:rsidRPr="0033542A">
        <w:t>gambling</w:t>
      </w:r>
      <w:r w:rsidR="003B1840">
        <w:t xml:space="preserve"> harm</w:t>
      </w:r>
      <w:r w:rsidR="001579A4" w:rsidRPr="0033542A">
        <w:t xml:space="preserve"> because</w:t>
      </w:r>
      <w:r w:rsidR="001643C2" w:rsidRPr="0033542A">
        <w:t xml:space="preserve"> the later into the early hours of the morning (i.e., after 2am, and after 4am), the higher the</w:t>
      </w:r>
      <w:r w:rsidR="00225C1C">
        <w:t xml:space="preserve"> </w:t>
      </w:r>
      <w:r w:rsidR="001643C2" w:rsidRPr="0033542A">
        <w:t xml:space="preserve">risk </w:t>
      </w:r>
      <w:r w:rsidR="00225C1C">
        <w:t>of gambling harm</w:t>
      </w:r>
      <w:r w:rsidR="00BF5E8F">
        <w:t>;</w:t>
      </w:r>
      <w:r w:rsidR="008A2A78">
        <w:t xml:space="preserve"> </w:t>
      </w:r>
      <w:r w:rsidR="00457D97">
        <w:t>and</w:t>
      </w:r>
    </w:p>
    <w:p w14:paraId="6593A045" w14:textId="69CCC08D" w:rsidR="003B1840" w:rsidRPr="0033542A" w:rsidRDefault="003B1840" w:rsidP="00457D97">
      <w:pPr>
        <w:pStyle w:val="ListParagraph"/>
        <w:numPr>
          <w:ilvl w:val="0"/>
          <w:numId w:val="41"/>
        </w:numPr>
      </w:pPr>
      <w:r w:rsidRPr="0033542A">
        <w:t xml:space="preserve">An EGM shutdown period </w:t>
      </w:r>
      <w:r>
        <w:t xml:space="preserve">which </w:t>
      </w:r>
      <w:r w:rsidR="00457D97">
        <w:t xml:space="preserve">matches or </w:t>
      </w:r>
      <w:r w:rsidRPr="0033542A">
        <w:t xml:space="preserve">exceeds those in other </w:t>
      </w:r>
      <w:r w:rsidR="00457D97">
        <w:t xml:space="preserve">Australian </w:t>
      </w:r>
      <w:r w:rsidRPr="0033542A">
        <w:t xml:space="preserve">jurisdictions </w:t>
      </w:r>
      <w:r>
        <w:t>and</w:t>
      </w:r>
      <w:r w:rsidR="00DA178A">
        <w:t xml:space="preserve"> </w:t>
      </w:r>
      <w:r w:rsidRPr="0033542A">
        <w:t xml:space="preserve">demonstrates the ACT </w:t>
      </w:r>
      <w:r w:rsidR="00457D97">
        <w:t>G</w:t>
      </w:r>
      <w:r w:rsidRPr="0033542A">
        <w:t>overnment’s commitment to reducing the availability of EGMs</w:t>
      </w:r>
      <w:r>
        <w:t xml:space="preserve"> </w:t>
      </w:r>
      <w:r w:rsidR="00DD7D01">
        <w:t xml:space="preserve">which is consistent with </w:t>
      </w:r>
      <w:r w:rsidR="0099573F">
        <w:t>the Government’s</w:t>
      </w:r>
      <w:r w:rsidR="00DD7D01">
        <w:t xml:space="preserve"> </w:t>
      </w:r>
      <w:r w:rsidR="0099573F">
        <w:t>approach</w:t>
      </w:r>
      <w:r w:rsidR="00DA178A">
        <w:t xml:space="preserve"> </w:t>
      </w:r>
      <w:r w:rsidR="0099573F">
        <w:t>to reducing</w:t>
      </w:r>
      <w:r>
        <w:t xml:space="preserve"> </w:t>
      </w:r>
      <w:r w:rsidRPr="0033542A">
        <w:t>gambling harm</w:t>
      </w:r>
      <w:r>
        <w:t xml:space="preserve"> </w:t>
      </w:r>
      <w:r w:rsidRPr="0033542A">
        <w:t>in the Territory</w:t>
      </w:r>
      <w:r w:rsidR="00457D97">
        <w:t>.</w:t>
      </w:r>
    </w:p>
    <w:p w14:paraId="2223FEFE" w14:textId="02B1075A" w:rsidR="000824A1" w:rsidRDefault="000824A1" w:rsidP="007C6075">
      <w:pPr>
        <w:spacing w:before="360"/>
      </w:pPr>
      <w:r>
        <w:t xml:space="preserve"> </w:t>
      </w:r>
      <w:r w:rsidR="0099573F">
        <w:t>T</w:t>
      </w:r>
      <w:r>
        <w:t>his option w</w:t>
      </w:r>
      <w:r w:rsidR="001579A4">
        <w:t>ill</w:t>
      </w:r>
      <w:r w:rsidR="0099573F">
        <w:t xml:space="preserve"> mean</w:t>
      </w:r>
      <w:r>
        <w:t>:</w:t>
      </w:r>
    </w:p>
    <w:p w14:paraId="528E9B64" w14:textId="62D9F6B3" w:rsidR="00457D97" w:rsidRDefault="00457D97" w:rsidP="000824A1">
      <w:pPr>
        <w:pStyle w:val="ListParagraph"/>
        <w:numPr>
          <w:ilvl w:val="0"/>
          <w:numId w:val="42"/>
        </w:numPr>
      </w:pPr>
      <w:r>
        <w:t>A reduction in harm associated with late night EGM gambling in line with evidence which shows there is a greater risk of gambling harm late at night, i.e. after 12am and after 2am;</w:t>
      </w:r>
    </w:p>
    <w:p w14:paraId="75E3F493" w14:textId="38BC5B2E" w:rsidR="00502CE0" w:rsidRDefault="00457D97" w:rsidP="000824A1">
      <w:pPr>
        <w:pStyle w:val="ListParagraph"/>
        <w:numPr>
          <w:ilvl w:val="0"/>
          <w:numId w:val="42"/>
        </w:numPr>
      </w:pPr>
      <w:r>
        <w:t>An anticipated small reduction in</w:t>
      </w:r>
      <w:r w:rsidR="0099573F">
        <w:t xml:space="preserve"> gaming machine tax revenue</w:t>
      </w:r>
      <w:r w:rsidR="00DA178A">
        <w:t xml:space="preserve"> received by the Territory</w:t>
      </w:r>
      <w:r w:rsidR="00E924BA">
        <w:t xml:space="preserve"> (</w:t>
      </w:r>
      <w:r w:rsidR="7DD2812E">
        <w:t>Government</w:t>
      </w:r>
      <w:r w:rsidR="00E924BA">
        <w:t xml:space="preserve"> modelling estimates the tax revenue cost to the Territory at $454k per annum, indexed and ongoing)</w:t>
      </w:r>
      <w:r w:rsidR="00502CE0">
        <w:t>;</w:t>
      </w:r>
    </w:p>
    <w:p w14:paraId="774425F9" w14:textId="2D02C96E" w:rsidR="0099573F" w:rsidRDefault="00457D97" w:rsidP="000824A1">
      <w:pPr>
        <w:pStyle w:val="ListParagraph"/>
        <w:numPr>
          <w:ilvl w:val="0"/>
          <w:numId w:val="42"/>
        </w:numPr>
      </w:pPr>
      <w:r>
        <w:t>Anticipated f</w:t>
      </w:r>
      <w:r w:rsidR="00502CE0">
        <w:t>inancial impacts</w:t>
      </w:r>
      <w:r w:rsidR="00DA178A">
        <w:t xml:space="preserve"> </w:t>
      </w:r>
      <w:r w:rsidR="00502CE0">
        <w:t xml:space="preserve">to </w:t>
      </w:r>
      <w:r>
        <w:t>clubs/</w:t>
      </w:r>
      <w:r w:rsidR="00502CE0">
        <w:t xml:space="preserve">licensees </w:t>
      </w:r>
      <w:r>
        <w:t xml:space="preserve">due to a </w:t>
      </w:r>
      <w:r w:rsidR="00502CE0">
        <w:t>reduction in</w:t>
      </w:r>
      <w:r>
        <w:t xml:space="preserve"> weekday EGM operating hours</w:t>
      </w:r>
      <w:r w:rsidR="00E924BA">
        <w:t xml:space="preserve"> (</w:t>
      </w:r>
      <w:r w:rsidR="0D156BB6">
        <w:t xml:space="preserve">Government </w:t>
      </w:r>
      <w:r w:rsidR="00E924BA">
        <w:t xml:space="preserve"> modelling estimates the revenue cost to EGM licensees at $2.04m per annum, indexed and ongoing)</w:t>
      </w:r>
      <w:r w:rsidR="0099573F">
        <w:t>;</w:t>
      </w:r>
    </w:p>
    <w:p w14:paraId="775A2587" w14:textId="1D2269CE" w:rsidR="002E35D9" w:rsidRDefault="00457D97" w:rsidP="002E35D9">
      <w:pPr>
        <w:pStyle w:val="ListParagraph"/>
        <w:numPr>
          <w:ilvl w:val="0"/>
          <w:numId w:val="42"/>
        </w:numPr>
      </w:pPr>
      <w:r>
        <w:t xml:space="preserve">Potential </w:t>
      </w:r>
      <w:r w:rsidR="00A11E39">
        <w:t xml:space="preserve">impacts </w:t>
      </w:r>
      <w:r>
        <w:t>to the ‘</w:t>
      </w:r>
      <w:r w:rsidR="000824A1" w:rsidRPr="000824A1">
        <w:t>shoulder period</w:t>
      </w:r>
      <w:r>
        <w:t>’</w:t>
      </w:r>
      <w:r w:rsidR="000824A1" w:rsidRPr="000824A1">
        <w:t xml:space="preserve"> </w:t>
      </w:r>
      <w:r>
        <w:t xml:space="preserve">in relation to EGM usage </w:t>
      </w:r>
      <w:r w:rsidR="00A11E39">
        <w:t xml:space="preserve">and turnover </w:t>
      </w:r>
      <w:r w:rsidR="000824A1" w:rsidRPr="000824A1">
        <w:t>either side of the shutdown period</w:t>
      </w:r>
      <w:r w:rsidR="001579A4">
        <w:t>.</w:t>
      </w:r>
      <w:r w:rsidR="00A11E39">
        <w:t xml:space="preserve"> While these impacts are unknown, evidence shows that additional breaks in play due to longer EGM shutdown periods is likely to reduce gambling harm, </w:t>
      </w:r>
      <w:r w:rsidR="00A11E39" w:rsidRPr="00DD211F">
        <w:t xml:space="preserve">particularly for those </w:t>
      </w:r>
      <w:r w:rsidR="00A11E39">
        <w:t>e</w:t>
      </w:r>
      <w:r w:rsidR="00A11E39" w:rsidRPr="00DD211F">
        <w:t>xperiencing problem gambling</w:t>
      </w:r>
      <w:r w:rsidR="00A11E39">
        <w:t>.</w:t>
      </w:r>
    </w:p>
    <w:p w14:paraId="00C1F514" w14:textId="77777777" w:rsidR="00A11E39" w:rsidRPr="00225C1C" w:rsidRDefault="00A11E39" w:rsidP="007C6075">
      <w:pPr>
        <w:pStyle w:val="ListParagraph"/>
      </w:pPr>
    </w:p>
    <w:p w14:paraId="31B5A0F1" w14:textId="523CE6D5" w:rsidR="00040667" w:rsidRPr="006033B8" w:rsidRDefault="006033B8" w:rsidP="006033B8">
      <w:pPr>
        <w:pStyle w:val="Heading2"/>
        <w:rPr>
          <w:sz w:val="22"/>
          <w:szCs w:val="14"/>
        </w:rPr>
      </w:pPr>
      <w:bookmarkStart w:id="21" w:name="_Toc228796202"/>
      <w:r w:rsidRPr="006033B8">
        <w:rPr>
          <w:sz w:val="22"/>
          <w:szCs w:val="14"/>
        </w:rPr>
        <w:t>Recommended option</w:t>
      </w:r>
      <w:r w:rsidR="008B2FCB">
        <w:rPr>
          <w:sz w:val="22"/>
          <w:szCs w:val="14"/>
        </w:rPr>
        <w:t xml:space="preserve"> (option 3)</w:t>
      </w:r>
      <w:bookmarkEnd w:id="21"/>
    </w:p>
    <w:p w14:paraId="40B2BFCA" w14:textId="26F90EF5" w:rsidR="00C60F1E" w:rsidRDefault="008B2FCB" w:rsidP="006033B8">
      <w:r>
        <w:t>Option 3 is the recommended option</w:t>
      </w:r>
      <w:r w:rsidR="00A11E39">
        <w:t>.</w:t>
      </w:r>
      <w:r>
        <w:t xml:space="preserve"> </w:t>
      </w:r>
      <w:r w:rsidR="00A11E39">
        <w:t>C</w:t>
      </w:r>
      <w:r>
        <w:t xml:space="preserve">hanging the current regulation to </w:t>
      </w:r>
      <w:r w:rsidR="00BA2960">
        <w:t>extend</w:t>
      </w:r>
      <w:r w:rsidR="00A11E39">
        <w:t xml:space="preserve"> the EGM</w:t>
      </w:r>
      <w:r w:rsidR="00BA2960">
        <w:t xml:space="preserve"> shutdown period </w:t>
      </w:r>
      <w:r w:rsidR="00C60F1E">
        <w:t>will</w:t>
      </w:r>
      <w:r>
        <w:t xml:space="preserve"> deliver the</w:t>
      </w:r>
      <w:r w:rsidR="00BA2960">
        <w:t xml:space="preserve"> </w:t>
      </w:r>
      <w:r>
        <w:t>intended reduc</w:t>
      </w:r>
      <w:r w:rsidR="00C60F1E">
        <w:t>tion in the</w:t>
      </w:r>
      <w:r>
        <w:t xml:space="preserve"> availability of EGMs in the </w:t>
      </w:r>
      <w:r w:rsidR="000A5BAE">
        <w:t>T</w:t>
      </w:r>
      <w:r>
        <w:t>erritory</w:t>
      </w:r>
      <w:r w:rsidR="00C60F1E">
        <w:t>, and in turn, is anticipated to reduce gambling harm</w:t>
      </w:r>
      <w:r w:rsidR="00BB49AE">
        <w:t xml:space="preserve"> faced by individuals, their family, and the community</w:t>
      </w:r>
      <w:r w:rsidR="00C60F1E">
        <w:t>.</w:t>
      </w:r>
      <w:r w:rsidR="00532BAF">
        <w:t xml:space="preserve"> The change in regulation as proposed by Option 3 will ensure the hours EGMs are able to be used are reduced whereas Option</w:t>
      </w:r>
      <w:r w:rsidR="00C34350">
        <w:t>s</w:t>
      </w:r>
      <w:r w:rsidR="00532BAF">
        <w:t xml:space="preserve"> 1 and 2 do not.</w:t>
      </w:r>
    </w:p>
    <w:p w14:paraId="45BE7324" w14:textId="41BE4629" w:rsidR="00532BAF" w:rsidRDefault="00476729" w:rsidP="006033B8">
      <w:r>
        <w:t xml:space="preserve">Option 3 is the </w:t>
      </w:r>
      <w:r w:rsidR="00BA2960">
        <w:t xml:space="preserve">most effective way to </w:t>
      </w:r>
      <w:r>
        <w:t>reduce operating hours of EGMs in line with the Government’s approach to harm minimisation of gambling harm</w:t>
      </w:r>
      <w:r w:rsidR="00532BAF">
        <w:t xml:space="preserve"> as the amendment to the Regulation ensures the ACT </w:t>
      </w:r>
      <w:r w:rsidR="00532BAF">
        <w:lastRenderedPageBreak/>
        <w:t>government proactively addresses the availability of EGMs in the ACT by restricting operating hours</w:t>
      </w:r>
      <w:r w:rsidR="003D08D0">
        <w:t xml:space="preserve"> </w:t>
      </w:r>
      <w:r w:rsidR="00C34350">
        <w:t>by</w:t>
      </w:r>
      <w:r w:rsidR="003D08D0">
        <w:t xml:space="preserve"> extend</w:t>
      </w:r>
      <w:r w:rsidR="00C34350">
        <w:t>ing</w:t>
      </w:r>
      <w:r w:rsidR="003D08D0">
        <w:t xml:space="preserve"> the current shutdown period</w:t>
      </w:r>
      <w:r w:rsidR="00532BAF">
        <w:t>.</w:t>
      </w:r>
    </w:p>
    <w:p w14:paraId="41ACACB0" w14:textId="12D0D140" w:rsidR="00DC17A4" w:rsidRDefault="00532BAF" w:rsidP="006033B8">
      <w:r>
        <w:t xml:space="preserve">The benefits associated with regulatory reform in line with Option 3 outweigh the anticipated financial impact from the change. Option 3 </w:t>
      </w:r>
      <w:r w:rsidR="00744F16">
        <w:t>ensur</w:t>
      </w:r>
      <w:r w:rsidR="001262EC">
        <w:t>es licensees and the ACT</w:t>
      </w:r>
      <w:r w:rsidR="00744F16">
        <w:t xml:space="preserve"> club industry </w:t>
      </w:r>
      <w:r w:rsidR="001262EC">
        <w:t>are</w:t>
      </w:r>
      <w:r w:rsidR="00744F16">
        <w:t xml:space="preserve"> appropriately supported to </w:t>
      </w:r>
      <w:r>
        <w:t>comply with the</w:t>
      </w:r>
      <w:r w:rsidR="001262EC">
        <w:t xml:space="preserve"> extended shutdown period</w:t>
      </w:r>
      <w:r w:rsidR="00E225FE">
        <w:t xml:space="preserve"> through a </w:t>
      </w:r>
      <w:r>
        <w:t>12-month</w:t>
      </w:r>
      <w:r w:rsidR="00E225FE">
        <w:t xml:space="preserve"> transition </w:t>
      </w:r>
      <w:r w:rsidR="001E536F">
        <w:t>period</w:t>
      </w:r>
      <w:r>
        <w:t xml:space="preserve"> which has been considered </w:t>
      </w:r>
      <w:r w:rsidR="002F6459">
        <w:t>through</w:t>
      </w:r>
      <w:r>
        <w:t xml:space="preserve"> industry stakeholder consultation</w:t>
      </w:r>
      <w:r w:rsidR="00744F16">
        <w:t>.</w:t>
      </w:r>
      <w:r>
        <w:t xml:space="preserve"> The change proposed by Option 3 </w:t>
      </w:r>
      <w:r w:rsidR="00744F16">
        <w:t>is similar to regulations adopted in other Australian jurisdiction</w:t>
      </w:r>
      <w:r w:rsidR="001E536F">
        <w:t>s</w:t>
      </w:r>
      <w:r w:rsidR="003D08D0">
        <w:t xml:space="preserve"> by restricting availability of EGMs by mandating operating hours</w:t>
      </w:r>
      <w:r w:rsidR="00C34350">
        <w:t>,</w:t>
      </w:r>
      <w:r w:rsidR="00744F16">
        <w:t xml:space="preserve"> and</w:t>
      </w:r>
      <w:r w:rsidR="001262EC">
        <w:t xml:space="preserve"> </w:t>
      </w:r>
      <w:r w:rsidR="00744F16">
        <w:t xml:space="preserve">responds to </w:t>
      </w:r>
      <w:r w:rsidR="00C34350">
        <w:t xml:space="preserve">evidence of the need </w:t>
      </w:r>
      <w:r w:rsidR="00744F16">
        <w:t xml:space="preserve">for a </w:t>
      </w:r>
      <w:r w:rsidR="00F8324E">
        <w:t xml:space="preserve">more </w:t>
      </w:r>
      <w:r w:rsidR="00744F16">
        <w:t>consistent approach to minimising</w:t>
      </w:r>
      <w:r>
        <w:t xml:space="preserve"> gambling</w:t>
      </w:r>
      <w:r w:rsidR="00744F16">
        <w:t xml:space="preserve"> harm</w:t>
      </w:r>
      <w:r w:rsidR="003D08D0">
        <w:t xml:space="preserve"> through restricting </w:t>
      </w:r>
      <w:r w:rsidR="00C34350">
        <w:t xml:space="preserve">EGM </w:t>
      </w:r>
      <w:r w:rsidR="003D08D0">
        <w:t>availability</w:t>
      </w:r>
      <w:r>
        <w:t>.</w:t>
      </w:r>
      <w:r w:rsidR="00744F16">
        <w:t xml:space="preserve">  </w:t>
      </w:r>
    </w:p>
    <w:p w14:paraId="3EE93AC7" w14:textId="1D406CD4" w:rsidR="00D85547" w:rsidRDefault="00D2049D" w:rsidP="00D85547">
      <w:pPr>
        <w:pStyle w:val="Heading1"/>
      </w:pPr>
      <w:bookmarkStart w:id="22" w:name="_Toc228796203"/>
      <w:r>
        <w:t>Impact analysis</w:t>
      </w:r>
      <w:bookmarkEnd w:id="22"/>
    </w:p>
    <w:p w14:paraId="0F2F33D1" w14:textId="2797FC45" w:rsidR="00D92EB2" w:rsidRDefault="00D92EB2" w:rsidP="00040667">
      <w:r>
        <w:t xml:space="preserve">Option 3 is </w:t>
      </w:r>
      <w:r w:rsidRPr="00D92EB2">
        <w:t>expect</w:t>
      </w:r>
      <w:r>
        <w:t>ed to achieve the</w:t>
      </w:r>
      <w:r w:rsidR="002F6459">
        <w:t xml:space="preserve"> policy objective of</w:t>
      </w:r>
      <w:r>
        <w:t xml:space="preserve"> </w:t>
      </w:r>
      <w:r w:rsidR="002F6459">
        <w:t>using a harm minimisation approach to address</w:t>
      </w:r>
      <w:r>
        <w:t xml:space="preserve"> gambling harm experienced by </w:t>
      </w:r>
      <w:r w:rsidR="00C34350">
        <w:t>people</w:t>
      </w:r>
      <w:r>
        <w:t>, their families and the community.</w:t>
      </w:r>
      <w:r w:rsidR="001C1C51">
        <w:t xml:space="preserve"> I</w:t>
      </w:r>
      <w:r w:rsidR="005A1F27">
        <w:t xml:space="preserve">t is anticipated to achieve a primary impact to the Health domain and </w:t>
      </w:r>
      <w:r w:rsidR="001C1C51">
        <w:t xml:space="preserve">have a </w:t>
      </w:r>
      <w:r w:rsidR="005A1F27">
        <w:t>secondary impact to the Economy domain</w:t>
      </w:r>
      <w:r w:rsidR="008612EB">
        <w:t xml:space="preserve">. </w:t>
      </w:r>
      <w:r w:rsidR="002F6459">
        <w:t>It is however noted that</w:t>
      </w:r>
      <w:r>
        <w:t xml:space="preserve"> Option 3 is anticipated to have </w:t>
      </w:r>
      <w:r w:rsidR="00C34350">
        <w:t xml:space="preserve">a </w:t>
      </w:r>
      <w:r>
        <w:t>highe</w:t>
      </w:r>
      <w:r w:rsidR="00C34350">
        <w:t>r</w:t>
      </w:r>
      <w:r>
        <w:t xml:space="preserve"> financial impact </w:t>
      </w:r>
      <w:r w:rsidR="00C34350">
        <w:t>to the Territory than other</w:t>
      </w:r>
      <w:r>
        <w:t xml:space="preserve"> option</w:t>
      </w:r>
      <w:r w:rsidR="00C34350">
        <w:t>s</w:t>
      </w:r>
      <w:r>
        <w:t xml:space="preserve"> </w:t>
      </w:r>
      <w:r w:rsidR="00C34350">
        <w:t xml:space="preserve">due </w:t>
      </w:r>
      <w:r>
        <w:t>to</w:t>
      </w:r>
      <w:r w:rsidR="00C34350">
        <w:t xml:space="preserve"> an</w:t>
      </w:r>
      <w:r>
        <w:t xml:space="preserve"> </w:t>
      </w:r>
      <w:r w:rsidR="00C34350">
        <w:t xml:space="preserve">expected reduction in </w:t>
      </w:r>
      <w:r w:rsidR="000A5BAE">
        <w:t>g</w:t>
      </w:r>
      <w:r>
        <w:t xml:space="preserve">ambling </w:t>
      </w:r>
      <w:r w:rsidR="000A5BAE">
        <w:t>t</w:t>
      </w:r>
      <w:r>
        <w:t xml:space="preserve">ax </w:t>
      </w:r>
      <w:r w:rsidR="000A5BAE">
        <w:t>r</w:t>
      </w:r>
      <w:r>
        <w:t xml:space="preserve">evenue due to </w:t>
      </w:r>
      <w:r w:rsidR="00C34350">
        <w:t xml:space="preserve">increased EGM shutdown </w:t>
      </w:r>
      <w:r>
        <w:t>hours</w:t>
      </w:r>
      <w:r w:rsidR="001C1C51">
        <w:t>, however this impact would likely be offset by a reduction in health and social costs due a reduction in gambling harm</w:t>
      </w:r>
      <w:r w:rsidR="008612EB">
        <w:t xml:space="preserve">. This option </w:t>
      </w:r>
      <w:r w:rsidR="00C34350">
        <w:t xml:space="preserve">is </w:t>
      </w:r>
      <w:r w:rsidR="008612EB">
        <w:t xml:space="preserve">also </w:t>
      </w:r>
      <w:r w:rsidR="00C34350">
        <w:t xml:space="preserve">expected to </w:t>
      </w:r>
      <w:r>
        <w:t>ha</w:t>
      </w:r>
      <w:r w:rsidR="00C34350">
        <w:t>ve</w:t>
      </w:r>
      <w:r>
        <w:t xml:space="preserve"> </w:t>
      </w:r>
      <w:r w:rsidR="00C34350">
        <w:t xml:space="preserve">a </w:t>
      </w:r>
      <w:r>
        <w:t>highe</w:t>
      </w:r>
      <w:r w:rsidR="00C34350">
        <w:t>r</w:t>
      </w:r>
      <w:r>
        <w:t xml:space="preserve"> financial impact</w:t>
      </w:r>
      <w:r w:rsidR="008612EB">
        <w:t xml:space="preserve"> </w:t>
      </w:r>
      <w:r>
        <w:t xml:space="preserve">to licensees </w:t>
      </w:r>
      <w:r w:rsidR="008612EB">
        <w:t xml:space="preserve">due to </w:t>
      </w:r>
      <w:r w:rsidR="001C1C51">
        <w:t>the possibility that</w:t>
      </w:r>
      <w:r w:rsidR="008612EB">
        <w:t xml:space="preserve"> </w:t>
      </w:r>
      <w:r w:rsidR="001C1C51">
        <w:t xml:space="preserve">EGM turnover and revenue may be </w:t>
      </w:r>
      <w:r w:rsidR="008612EB">
        <w:t>reduc</w:t>
      </w:r>
      <w:r w:rsidR="001C1C51">
        <w:t>ed</w:t>
      </w:r>
      <w:r>
        <w:t xml:space="preserve">. </w:t>
      </w:r>
    </w:p>
    <w:p w14:paraId="029BC8D4" w14:textId="05DAEEBF" w:rsidR="00D92EB2" w:rsidRDefault="00D92EB2" w:rsidP="00040667">
      <w:r>
        <w:t xml:space="preserve">Option 2 </w:t>
      </w:r>
      <w:r w:rsidR="00C34350">
        <w:t xml:space="preserve">would be </w:t>
      </w:r>
      <w:r>
        <w:t xml:space="preserve">expected to have a </w:t>
      </w:r>
      <w:r w:rsidR="00C34350">
        <w:t xml:space="preserve">minimal or </w:t>
      </w:r>
      <w:r>
        <w:t xml:space="preserve">low impact </w:t>
      </w:r>
      <w:r w:rsidR="00C27510">
        <w:t>in</w:t>
      </w:r>
      <w:r>
        <w:t xml:space="preserve"> </w:t>
      </w:r>
      <w:r w:rsidR="00C27510">
        <w:t xml:space="preserve">reducing </w:t>
      </w:r>
      <w:r>
        <w:t>gambling harm as</w:t>
      </w:r>
      <w:r w:rsidR="00B67C5D">
        <w:t xml:space="preserve"> licensee participation would be voluntary and therefore</w:t>
      </w:r>
      <w:r>
        <w:t xml:space="preserve"> </w:t>
      </w:r>
      <w:r w:rsidR="00B67C5D">
        <w:t>additional shutdown would be inconsistent or likely to be minimal, reducing the likelihood</w:t>
      </w:r>
      <w:r w:rsidR="001C1C51">
        <w:t xml:space="preserve"> of </w:t>
      </w:r>
      <w:r>
        <w:t>achiev</w:t>
      </w:r>
      <w:r w:rsidR="001C1C51">
        <w:t>ing</w:t>
      </w:r>
      <w:r>
        <w:t xml:space="preserve"> the intended effect of </w:t>
      </w:r>
      <w:r w:rsidR="001C1C51">
        <w:t>reducing gambling harm through longer EGM shutdown periods</w:t>
      </w:r>
      <w:r w:rsidR="00C27510">
        <w:t>.</w:t>
      </w:r>
      <w:r>
        <w:t xml:space="preserve"> </w:t>
      </w:r>
    </w:p>
    <w:p w14:paraId="105C4E53" w14:textId="22B4E399" w:rsidR="00C27510" w:rsidRDefault="00D92EB2" w:rsidP="00040667">
      <w:r>
        <w:t xml:space="preserve">Option 1 </w:t>
      </w:r>
      <w:r w:rsidR="00C34350">
        <w:t xml:space="preserve">would be </w:t>
      </w:r>
      <w:r>
        <w:t xml:space="preserve">expected to have nil impact </w:t>
      </w:r>
      <w:r w:rsidR="00C34350">
        <w:t>to gambling harm and nil</w:t>
      </w:r>
      <w:r>
        <w:t xml:space="preserve"> financial impact to the Territory or </w:t>
      </w:r>
      <w:r w:rsidR="00C34350">
        <w:t xml:space="preserve">club </w:t>
      </w:r>
      <w:r>
        <w:t xml:space="preserve">licensees. </w:t>
      </w:r>
    </w:p>
    <w:p w14:paraId="18E3408D" w14:textId="6E9FC547" w:rsidR="00D92EB2" w:rsidRDefault="00C27510" w:rsidP="00040667">
      <w:r>
        <w:t xml:space="preserve">Overall, Option 3 is the recommended option as it will achieve the intended policy objective which is to reduce gambling harm from EGM use through restricting availability of EGMs </w:t>
      </w:r>
      <w:r w:rsidR="00B67C5D">
        <w:t xml:space="preserve">through an </w:t>
      </w:r>
      <w:r>
        <w:t xml:space="preserve">extended </w:t>
      </w:r>
      <w:r w:rsidR="00B67C5D">
        <w:t xml:space="preserve">mandatory </w:t>
      </w:r>
      <w:r>
        <w:t xml:space="preserve">shutdown period.     </w:t>
      </w:r>
      <w:r w:rsidR="00D92EB2">
        <w:t xml:space="preserve"> </w:t>
      </w:r>
    </w:p>
    <w:p w14:paraId="0B65F61E" w14:textId="43E39484" w:rsidR="00E924BA" w:rsidRDefault="65F8314A" w:rsidP="00040667">
      <w:r>
        <w:t>An</w:t>
      </w:r>
      <w:r w:rsidR="00E924BA">
        <w:t xml:space="preserve"> evalua</w:t>
      </w:r>
      <w:r w:rsidR="6104F89C">
        <w:t>tion of the</w:t>
      </w:r>
      <w:r w:rsidR="00E924BA">
        <w:t xml:space="preserve"> expected benefits of each option against the expected costs, </w:t>
      </w:r>
      <w:r w:rsidR="7FF812DC">
        <w:t>is</w:t>
      </w:r>
      <w:r w:rsidR="00E924BA">
        <w:t xml:space="preserve"> summarised below:</w:t>
      </w:r>
    </w:p>
    <w:p w14:paraId="41BE984B" w14:textId="02712706" w:rsidR="00E924BA" w:rsidRDefault="00E924BA" w:rsidP="00040667">
      <w:pPr>
        <w:rPr>
          <w:b/>
          <w:bCs/>
        </w:rPr>
      </w:pPr>
      <w:r>
        <w:rPr>
          <w:b/>
          <w:bCs/>
        </w:rPr>
        <w:t>Table</w:t>
      </w:r>
      <w:r w:rsidRPr="00A708A6">
        <w:rPr>
          <w:b/>
          <w:bCs/>
        </w:rPr>
        <w:t xml:space="preserve"> </w:t>
      </w:r>
      <w:r>
        <w:rPr>
          <w:b/>
          <w:bCs/>
        </w:rPr>
        <w:t>1</w:t>
      </w:r>
      <w:r w:rsidRPr="00A708A6">
        <w:rPr>
          <w:b/>
          <w:bCs/>
        </w:rPr>
        <w:t xml:space="preserve">: </w:t>
      </w:r>
      <w:r>
        <w:rPr>
          <w:b/>
          <w:bCs/>
        </w:rPr>
        <w:t>Overview of options analysis</w:t>
      </w:r>
    </w:p>
    <w:tbl>
      <w:tblPr>
        <w:tblStyle w:val="TableGrid"/>
        <w:tblW w:w="0" w:type="auto"/>
        <w:tblLook w:val="04A0" w:firstRow="1" w:lastRow="0" w:firstColumn="1" w:lastColumn="0" w:noHBand="0" w:noVBand="1"/>
      </w:tblPr>
      <w:tblGrid>
        <w:gridCol w:w="850"/>
        <w:gridCol w:w="2547"/>
        <w:gridCol w:w="3687"/>
        <w:gridCol w:w="2545"/>
      </w:tblGrid>
      <w:tr w:rsidR="00BD15E5" w14:paraId="657C381D" w14:textId="77777777" w:rsidTr="113D7F39">
        <w:tc>
          <w:tcPr>
            <w:tcW w:w="850" w:type="dxa"/>
          </w:tcPr>
          <w:p w14:paraId="259520C8" w14:textId="2E722D09" w:rsidR="00E924BA" w:rsidRPr="00020A78" w:rsidRDefault="00E924BA" w:rsidP="00040667">
            <w:pPr>
              <w:rPr>
                <w:b/>
                <w:bCs/>
              </w:rPr>
            </w:pPr>
            <w:r w:rsidRPr="00020A78">
              <w:rPr>
                <w:b/>
                <w:bCs/>
              </w:rPr>
              <w:t>Option</w:t>
            </w:r>
          </w:p>
        </w:tc>
        <w:tc>
          <w:tcPr>
            <w:tcW w:w="2547" w:type="dxa"/>
          </w:tcPr>
          <w:p w14:paraId="65175DD0" w14:textId="57922771" w:rsidR="00E924BA" w:rsidRPr="00020A78" w:rsidRDefault="00E924BA" w:rsidP="00040667">
            <w:pPr>
              <w:rPr>
                <w:b/>
                <w:bCs/>
              </w:rPr>
            </w:pPr>
            <w:r w:rsidRPr="00020A78">
              <w:rPr>
                <w:b/>
                <w:bCs/>
              </w:rPr>
              <w:t>Expected benefit</w:t>
            </w:r>
          </w:p>
        </w:tc>
        <w:tc>
          <w:tcPr>
            <w:tcW w:w="3687" w:type="dxa"/>
          </w:tcPr>
          <w:p w14:paraId="4C76E781" w14:textId="72E28BC4" w:rsidR="00E924BA" w:rsidRPr="00020A78" w:rsidRDefault="00E924BA" w:rsidP="00040667">
            <w:pPr>
              <w:rPr>
                <w:b/>
                <w:bCs/>
              </w:rPr>
            </w:pPr>
            <w:r w:rsidRPr="00020A78">
              <w:rPr>
                <w:b/>
                <w:bCs/>
              </w:rPr>
              <w:t>Expected cost</w:t>
            </w:r>
          </w:p>
        </w:tc>
        <w:tc>
          <w:tcPr>
            <w:tcW w:w="2545" w:type="dxa"/>
          </w:tcPr>
          <w:p w14:paraId="089C0BC5" w14:textId="0C93D80B" w:rsidR="00E924BA" w:rsidRPr="00020A78" w:rsidRDefault="00E924BA" w:rsidP="00040667">
            <w:pPr>
              <w:rPr>
                <w:b/>
                <w:bCs/>
              </w:rPr>
            </w:pPr>
            <w:r w:rsidRPr="00020A78">
              <w:rPr>
                <w:b/>
                <w:bCs/>
              </w:rPr>
              <w:t>Overall assessment</w:t>
            </w:r>
          </w:p>
        </w:tc>
      </w:tr>
      <w:tr w:rsidR="00BD15E5" w14:paraId="35642E18" w14:textId="77777777" w:rsidTr="113D7F39">
        <w:tc>
          <w:tcPr>
            <w:tcW w:w="850" w:type="dxa"/>
          </w:tcPr>
          <w:p w14:paraId="6981AF89" w14:textId="351A995A" w:rsidR="00E924BA" w:rsidRDefault="00E924BA" w:rsidP="00040667">
            <w:r>
              <w:t>1</w:t>
            </w:r>
          </w:p>
        </w:tc>
        <w:tc>
          <w:tcPr>
            <w:tcW w:w="2547" w:type="dxa"/>
          </w:tcPr>
          <w:p w14:paraId="2F381667" w14:textId="3E6C9740" w:rsidR="00E924BA" w:rsidRDefault="00E924BA" w:rsidP="00040667">
            <w:r>
              <w:t xml:space="preserve">Nil reduction in gambling harm. </w:t>
            </w:r>
          </w:p>
        </w:tc>
        <w:tc>
          <w:tcPr>
            <w:tcW w:w="3687" w:type="dxa"/>
          </w:tcPr>
          <w:p w14:paraId="15C03C05" w14:textId="021B2ED1" w:rsidR="00E924BA" w:rsidRDefault="00E924BA" w:rsidP="00040667">
            <w:r>
              <w:t xml:space="preserve">Nil additional cost to the Territory or industry. </w:t>
            </w:r>
          </w:p>
        </w:tc>
        <w:tc>
          <w:tcPr>
            <w:tcW w:w="2545" w:type="dxa"/>
          </w:tcPr>
          <w:p w14:paraId="21A6D662" w14:textId="77777777" w:rsidR="00E924BA" w:rsidRDefault="00E924BA" w:rsidP="00040667">
            <w:r>
              <w:t>Nil cost and nil benefit</w:t>
            </w:r>
            <w:r w:rsidR="00BD15E5">
              <w:t xml:space="preserve">. </w:t>
            </w:r>
          </w:p>
          <w:p w14:paraId="0ACB540D" w14:textId="0B7970D7" w:rsidR="00BD15E5" w:rsidRDefault="00BD15E5" w:rsidP="00040667">
            <w:r>
              <w:t xml:space="preserve">Not recommended as no outcome would be pursued. </w:t>
            </w:r>
          </w:p>
        </w:tc>
      </w:tr>
      <w:tr w:rsidR="00BD15E5" w14:paraId="3084116E" w14:textId="77777777" w:rsidTr="113D7F39">
        <w:tc>
          <w:tcPr>
            <w:tcW w:w="850" w:type="dxa"/>
          </w:tcPr>
          <w:p w14:paraId="5F493179" w14:textId="2F53D069" w:rsidR="00E924BA" w:rsidRDefault="00E924BA" w:rsidP="00040667">
            <w:r>
              <w:lastRenderedPageBreak/>
              <w:t>2</w:t>
            </w:r>
          </w:p>
        </w:tc>
        <w:tc>
          <w:tcPr>
            <w:tcW w:w="2547" w:type="dxa"/>
          </w:tcPr>
          <w:p w14:paraId="15FBD83C" w14:textId="799DCCFF" w:rsidR="00E924BA" w:rsidRDefault="3893BC84" w:rsidP="00040667">
            <w:r>
              <w:t>Some reduction in gambling harm is possible, however this is expected to be unpredictable</w:t>
            </w:r>
            <w:r w:rsidR="3266BC34">
              <w:t xml:space="preserve"> and</w:t>
            </w:r>
            <w:r>
              <w:t xml:space="preserve"> inconsistent across venues</w:t>
            </w:r>
            <w:r w:rsidR="00B27A3B">
              <w:t xml:space="preserve">. </w:t>
            </w:r>
          </w:p>
        </w:tc>
        <w:tc>
          <w:tcPr>
            <w:tcW w:w="3687" w:type="dxa"/>
          </w:tcPr>
          <w:p w14:paraId="79A33123" w14:textId="63902084" w:rsidR="00E924BA" w:rsidRDefault="00BD15E5" w:rsidP="00040667">
            <w:r>
              <w:t xml:space="preserve">Some cost to the Territory in terms of reduced EGM tax revenue expected, however extent of this impact is </w:t>
            </w:r>
            <w:r w:rsidR="00B27A3B">
              <w:t>likely</w:t>
            </w:r>
            <w:r>
              <w:t xml:space="preserve"> to be unpredictable. There may be some cost to industry, however, industry is expected to be unlikely to engage in this if it significantly disrupts business operations and revenue.  </w:t>
            </w:r>
          </w:p>
        </w:tc>
        <w:tc>
          <w:tcPr>
            <w:tcW w:w="2545" w:type="dxa"/>
          </w:tcPr>
          <w:p w14:paraId="170BF639" w14:textId="2BB97846" w:rsidR="00BD15E5" w:rsidRDefault="00BD15E5" w:rsidP="00040667">
            <w:r>
              <w:t>Unpredictable cost and benefit</w:t>
            </w:r>
            <w:r w:rsidR="00B27A3B">
              <w:t xml:space="preserve"> are expected</w:t>
            </w:r>
            <w:r>
              <w:t xml:space="preserve">, however, both </w:t>
            </w:r>
            <w:r w:rsidR="00B27A3B">
              <w:t xml:space="preserve">are </w:t>
            </w:r>
            <w:r>
              <w:t>unlikely to be high.</w:t>
            </w:r>
          </w:p>
          <w:p w14:paraId="04A10687" w14:textId="167465D4" w:rsidR="00E924BA" w:rsidRDefault="00BD15E5" w:rsidP="00040667">
            <w:r>
              <w:t xml:space="preserve">Not recommended as outcomes are unpredictable and likely to be inconsistent across the ACT.  </w:t>
            </w:r>
          </w:p>
        </w:tc>
      </w:tr>
      <w:tr w:rsidR="00BD15E5" w14:paraId="18E359FC" w14:textId="77777777" w:rsidTr="113D7F39">
        <w:tc>
          <w:tcPr>
            <w:tcW w:w="850" w:type="dxa"/>
          </w:tcPr>
          <w:p w14:paraId="559D7F21" w14:textId="5412C901" w:rsidR="00E924BA" w:rsidRDefault="00E924BA" w:rsidP="00040667">
            <w:r>
              <w:t>3</w:t>
            </w:r>
          </w:p>
        </w:tc>
        <w:tc>
          <w:tcPr>
            <w:tcW w:w="2547" w:type="dxa"/>
          </w:tcPr>
          <w:p w14:paraId="1622EA7C" w14:textId="175020C8" w:rsidR="00E924BA" w:rsidRDefault="00BD15E5" w:rsidP="00040667">
            <w:r>
              <w:t xml:space="preserve">Significant reduction in gambling harm is expected, noting the shutdown will limit gambling participation consistently across the ACT at a time which evidence demonstrates entails high risk of harm. </w:t>
            </w:r>
          </w:p>
        </w:tc>
        <w:tc>
          <w:tcPr>
            <w:tcW w:w="3687" w:type="dxa"/>
          </w:tcPr>
          <w:p w14:paraId="548A5430" w14:textId="2BCD9893" w:rsidR="00E924BA" w:rsidRDefault="00BD15E5" w:rsidP="00040667">
            <w:r>
              <w:t xml:space="preserve">There will be some cost to the Territory in terms of lost tax revenue and some cost to industry in terms of lost revenue. These costs can be predicted, </w:t>
            </w:r>
            <w:r w:rsidR="00B27A3B">
              <w:t>although with</w:t>
            </w:r>
            <w:r>
              <w:t xml:space="preserve"> some uncertainties around possible downstream offsets in support service expenditure and around business operational responses to the regulation. Cost is expected to be $454k to the Territory and $2.04m across all EGM licensees annually. </w:t>
            </w:r>
          </w:p>
        </w:tc>
        <w:tc>
          <w:tcPr>
            <w:tcW w:w="2545" w:type="dxa"/>
          </w:tcPr>
          <w:p w14:paraId="7257EBB3" w14:textId="77777777" w:rsidR="00E924BA" w:rsidRDefault="00BD15E5" w:rsidP="00040667">
            <w:r>
              <w:t xml:space="preserve">Low cost to Government and industry expected, and high benefit in terms of reduction in gambling harm. </w:t>
            </w:r>
          </w:p>
          <w:p w14:paraId="59CC97AB" w14:textId="16DA06C8" w:rsidR="00BD15E5" w:rsidRDefault="00BD15E5" w:rsidP="00040667">
            <w:r>
              <w:t xml:space="preserve">Recommended option as most likely to achieve an effective balance of cost and benefit. </w:t>
            </w:r>
          </w:p>
        </w:tc>
      </w:tr>
    </w:tbl>
    <w:p w14:paraId="60CE2949" w14:textId="0CC56CB0" w:rsidR="007F4573" w:rsidRDefault="00B27A3B" w:rsidP="00040667">
      <w:pPr>
        <w:rPr>
          <w:rFonts w:cs="Calibri"/>
          <w:szCs w:val="22"/>
        </w:rPr>
      </w:pPr>
      <w:r>
        <w:t xml:space="preserve">Gambling harm impact evidence base </w:t>
      </w:r>
      <w:r w:rsidR="001765B0">
        <w:t>G</w:t>
      </w:r>
      <w:r w:rsidR="00482BB1">
        <w:t xml:space="preserve">ambling harm </w:t>
      </w:r>
      <w:r w:rsidR="0054632C">
        <w:t xml:space="preserve">can include </w:t>
      </w:r>
      <w:r w:rsidR="00482BB1">
        <w:t xml:space="preserve">financial harm </w:t>
      </w:r>
      <w:r w:rsidR="0054632C">
        <w:t xml:space="preserve">and extend </w:t>
      </w:r>
      <w:r w:rsidR="00482BB1">
        <w:t xml:space="preserve">to psychological, emotional, and social harm, both for consumers of gambling products, the people around them, and the broader community. </w:t>
      </w:r>
      <w:r w:rsidR="00482BB1" w:rsidRPr="00482BB1">
        <w:rPr>
          <w:rFonts w:cs="Calibri"/>
          <w:szCs w:val="22"/>
        </w:rPr>
        <w:t xml:space="preserve">Major harms to </w:t>
      </w:r>
      <w:r w:rsidR="0054632C">
        <w:rPr>
          <w:rFonts w:cs="Calibri"/>
          <w:szCs w:val="22"/>
        </w:rPr>
        <w:t xml:space="preserve">individuals using EGMs </w:t>
      </w:r>
      <w:r w:rsidR="00482BB1" w:rsidRPr="00482BB1">
        <w:rPr>
          <w:rFonts w:cs="Calibri"/>
          <w:szCs w:val="22"/>
        </w:rPr>
        <w:t xml:space="preserve">may include relationship and family breakdown, </w:t>
      </w:r>
      <w:r w:rsidR="00CD1A0F">
        <w:rPr>
          <w:rFonts w:cs="Calibri"/>
          <w:szCs w:val="22"/>
        </w:rPr>
        <w:t xml:space="preserve">financial losses </w:t>
      </w:r>
      <w:r w:rsidR="00482BB1" w:rsidRPr="00482BB1">
        <w:rPr>
          <w:rFonts w:cs="Calibri"/>
          <w:szCs w:val="22"/>
        </w:rPr>
        <w:t>and emotional and psychological suffering</w:t>
      </w:r>
      <w:r w:rsidR="00CF5B2F">
        <w:rPr>
          <w:rFonts w:cs="Calibri"/>
          <w:szCs w:val="22"/>
        </w:rPr>
        <w:t xml:space="preserve"> which also extends beyond the person who gambles.</w:t>
      </w:r>
      <w:r w:rsidR="00482BB1" w:rsidRPr="00482BB1">
        <w:rPr>
          <w:rFonts w:cs="Calibri"/>
          <w:szCs w:val="22"/>
        </w:rPr>
        <w:t xml:space="preserve"> </w:t>
      </w:r>
    </w:p>
    <w:p w14:paraId="6E0D7D6B" w14:textId="48D4F07F" w:rsidR="00482BB1" w:rsidRPr="007F4573" w:rsidRDefault="008B6337" w:rsidP="00040667">
      <w:pPr>
        <w:rPr>
          <w:rFonts w:cs="Calibri"/>
          <w:szCs w:val="22"/>
        </w:rPr>
      </w:pPr>
      <w:r>
        <w:t>Impacts such as psychosocial impacts can be challenging to quantify as they generally extend beyond the individual who gambles, including to their families and the wider community</w:t>
      </w:r>
      <w:r w:rsidR="007F4573">
        <w:t>.</w:t>
      </w:r>
      <w:r w:rsidR="007F4573">
        <w:rPr>
          <w:rFonts w:cs="Calibri"/>
          <w:szCs w:val="22"/>
        </w:rPr>
        <w:t xml:space="preserve"> </w:t>
      </w:r>
      <w:r w:rsidR="00B60DDB">
        <w:rPr>
          <w:rFonts w:cs="Calibri"/>
          <w:szCs w:val="22"/>
        </w:rPr>
        <w:t>A</w:t>
      </w:r>
      <w:r w:rsidR="00482BB1">
        <w:rPr>
          <w:rFonts w:cs="Calibri"/>
          <w:szCs w:val="22"/>
        </w:rPr>
        <w:t xml:space="preserve"> 2016 study o</w:t>
      </w:r>
      <w:r w:rsidR="00950EF7">
        <w:rPr>
          <w:rFonts w:cs="Calibri"/>
          <w:szCs w:val="22"/>
        </w:rPr>
        <w:t>n the types of gambling harms and their prevalence in Australia found that h</w:t>
      </w:r>
      <w:r w:rsidR="00950EF7" w:rsidRPr="00950EF7">
        <w:rPr>
          <w:rFonts w:cs="Calibri"/>
          <w:szCs w:val="22"/>
        </w:rPr>
        <w:t>arms to relationships (25%), health (21%), and emotional/psychological wellbeing (19%) accounted for the greatest share of gambling-related harm.</w:t>
      </w:r>
      <w:r w:rsidR="001A4AB2">
        <w:rPr>
          <w:rStyle w:val="FootnoteReference"/>
          <w:rFonts w:cs="Calibri"/>
          <w:szCs w:val="22"/>
        </w:rPr>
        <w:footnoteReference w:id="13"/>
      </w:r>
      <w:r w:rsidR="007F4573">
        <w:rPr>
          <w:rFonts w:cs="Calibri"/>
          <w:szCs w:val="22"/>
        </w:rPr>
        <w:t xml:space="preserve"> </w:t>
      </w:r>
      <w:r w:rsidR="007F50BD">
        <w:rPr>
          <w:rFonts w:cs="Calibri"/>
          <w:szCs w:val="22"/>
        </w:rPr>
        <w:t>Additionally, gambling harm occurs on a spectrum and is not always proportionate to the amount of gambling participation or spending lo</w:t>
      </w:r>
      <w:r w:rsidR="00CD1A0F">
        <w:rPr>
          <w:rFonts w:cs="Calibri"/>
          <w:szCs w:val="22"/>
        </w:rPr>
        <w:t>s</w:t>
      </w:r>
      <w:r w:rsidR="007F50BD">
        <w:rPr>
          <w:rFonts w:cs="Calibri"/>
          <w:szCs w:val="22"/>
        </w:rPr>
        <w:t xml:space="preserve">ses. </w:t>
      </w:r>
    </w:p>
    <w:p w14:paraId="5C86CFDE" w14:textId="494E80FD" w:rsidR="00950EF7" w:rsidRPr="00A708A6" w:rsidRDefault="00D26289" w:rsidP="00040667">
      <w:pPr>
        <w:rPr>
          <w:rFonts w:cs="Calibri"/>
          <w:b/>
          <w:bCs/>
          <w:szCs w:val="22"/>
        </w:rPr>
      </w:pPr>
      <w:r>
        <w:rPr>
          <w:noProof/>
        </w:rPr>
        <w:lastRenderedPageBreak/>
        <w:drawing>
          <wp:anchor distT="0" distB="0" distL="114300" distR="114300" simplePos="0" relativeHeight="251658240" behindDoc="0" locked="0" layoutInCell="1" allowOverlap="1" wp14:anchorId="2F4B954E" wp14:editId="6B8982CD">
            <wp:simplePos x="0" y="0"/>
            <wp:positionH relativeFrom="column">
              <wp:posOffset>414020</wp:posOffset>
            </wp:positionH>
            <wp:positionV relativeFrom="paragraph">
              <wp:posOffset>172085</wp:posOffset>
            </wp:positionV>
            <wp:extent cx="5174174" cy="2794000"/>
            <wp:effectExtent l="0" t="0" r="7620" b="6350"/>
            <wp:wrapSquare wrapText="bothSides"/>
            <wp:docPr id="103418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74174" cy="279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EF7" w:rsidRPr="00A708A6">
        <w:rPr>
          <w:rFonts w:cs="Calibri"/>
          <w:b/>
          <w:bCs/>
          <w:szCs w:val="22"/>
        </w:rPr>
        <w:t xml:space="preserve">Figure </w:t>
      </w:r>
      <w:r w:rsidR="004479A7">
        <w:rPr>
          <w:rFonts w:cs="Calibri"/>
          <w:b/>
          <w:bCs/>
          <w:szCs w:val="22"/>
        </w:rPr>
        <w:t>2</w:t>
      </w:r>
      <w:r w:rsidR="00950EF7" w:rsidRPr="00A708A6">
        <w:rPr>
          <w:rFonts w:cs="Calibri"/>
          <w:b/>
          <w:bCs/>
          <w:szCs w:val="22"/>
        </w:rPr>
        <w:t>: A breakdown of the types of gambling harms and an estimate of their prevalence in Australia</w:t>
      </w:r>
      <w:r w:rsidR="007A7CE6">
        <w:rPr>
          <w:rStyle w:val="FootnoteReference"/>
          <w:rFonts w:cs="Calibri"/>
          <w:b/>
          <w:bCs/>
          <w:szCs w:val="22"/>
        </w:rPr>
        <w:footnoteReference w:id="14"/>
      </w:r>
    </w:p>
    <w:p w14:paraId="2DC99B14" w14:textId="224EEFB4" w:rsidR="00482BB1" w:rsidRDefault="00482BB1" w:rsidP="00040667">
      <w:pPr>
        <w:rPr>
          <w:rFonts w:cs="Calibri"/>
          <w:szCs w:val="22"/>
        </w:rPr>
      </w:pPr>
    </w:p>
    <w:p w14:paraId="5B0DA08E" w14:textId="77777777" w:rsidR="00D26289" w:rsidRDefault="00D26289" w:rsidP="00040667"/>
    <w:p w14:paraId="740AE677" w14:textId="77777777" w:rsidR="00D26289" w:rsidRDefault="00D26289" w:rsidP="00040667"/>
    <w:p w14:paraId="4A3A5748" w14:textId="77777777" w:rsidR="00D26289" w:rsidRDefault="00D26289" w:rsidP="00040667"/>
    <w:p w14:paraId="39212182" w14:textId="77777777" w:rsidR="00D26289" w:rsidRDefault="00D26289" w:rsidP="00040667"/>
    <w:p w14:paraId="2E14B2A8" w14:textId="77777777" w:rsidR="00D26289" w:rsidRDefault="00D26289" w:rsidP="00040667"/>
    <w:p w14:paraId="5DEE6AD1" w14:textId="77777777" w:rsidR="00D26289" w:rsidRDefault="00D26289" w:rsidP="00040667"/>
    <w:p w14:paraId="50176B32" w14:textId="272B62DF" w:rsidR="00D8003A" w:rsidRDefault="00A24DAB" w:rsidP="00040667">
      <w:r>
        <w:t>Screening for gambling harm</w:t>
      </w:r>
      <w:r w:rsidR="002C1FB8">
        <w:t xml:space="preserve"> </w:t>
      </w:r>
      <w:r w:rsidR="007F4573">
        <w:t>using</w:t>
      </w:r>
      <w:r>
        <w:t xml:space="preserve"> questions and scales</w:t>
      </w:r>
      <w:r w:rsidR="002C1FB8">
        <w:t xml:space="preserve"> </w:t>
      </w:r>
      <w:r>
        <w:t>can help identify if someone is experiencing or is at risk of experiencing gambling harm. Such qualitative methods are considered an acceptable strategy for health and community practitioners to determine</w:t>
      </w:r>
      <w:r w:rsidR="00542B55">
        <w:t xml:space="preserve"> if harms are </w:t>
      </w:r>
      <w:r w:rsidR="004B30C7">
        <w:t xml:space="preserve">in fact </w:t>
      </w:r>
      <w:r w:rsidR="00542B55">
        <w:t>gambling related.</w:t>
      </w:r>
      <w:r w:rsidR="00BE174E">
        <w:rPr>
          <w:rStyle w:val="FootnoteReference"/>
        </w:rPr>
        <w:footnoteReference w:id="15"/>
      </w:r>
      <w:r w:rsidR="00542B55">
        <w:t xml:space="preserve"> </w:t>
      </w:r>
      <w:r w:rsidR="00D8003A">
        <w:t xml:space="preserve">The Problem Gambling Severity Index (PGSI) is one commonly utilised assessment tool </w:t>
      </w:r>
      <w:r w:rsidR="00AC092A">
        <w:t xml:space="preserve">for measuring </w:t>
      </w:r>
      <w:r w:rsidR="00D8003A">
        <w:t xml:space="preserve">at-risk gambling behaviours. </w:t>
      </w:r>
      <w:r w:rsidR="002D3382">
        <w:t>The PGSI</w:t>
      </w:r>
      <w:r w:rsidR="00D8003A">
        <w:t xml:space="preserve"> includes 9 questions asking respondents to rate their experiences related to gambling on a scale ranging from </w:t>
      </w:r>
      <w:r w:rsidR="00D8003A" w:rsidRPr="00D8003A">
        <w:t>never (0), sometimes (1), most of the time (2) and almost always (3)</w:t>
      </w:r>
      <w:r w:rsidR="00D8003A">
        <w:t>.</w:t>
      </w:r>
      <w:r w:rsidR="009F6F8A">
        <w:t xml:space="preserve"> Scores are then summed for a total of between 0 and 27 and respondents are grouped into the following categories:</w:t>
      </w:r>
    </w:p>
    <w:p w14:paraId="105C08A8" w14:textId="44420A63" w:rsidR="009F6F8A" w:rsidRPr="009F6F8A" w:rsidRDefault="002C1FB8" w:rsidP="00C22FBE">
      <w:pPr>
        <w:numPr>
          <w:ilvl w:val="0"/>
          <w:numId w:val="43"/>
        </w:numPr>
        <w:spacing w:before="0" w:after="0"/>
      </w:pPr>
      <w:r>
        <w:t>N</w:t>
      </w:r>
      <w:r w:rsidR="009F6F8A" w:rsidRPr="009F6F8A">
        <w:t>on-problem gambling (0)</w:t>
      </w:r>
    </w:p>
    <w:p w14:paraId="35C4E08F" w14:textId="60B7CEC3" w:rsidR="009F6F8A" w:rsidRPr="009F6F8A" w:rsidRDefault="002C1FB8" w:rsidP="00C22FBE">
      <w:pPr>
        <w:numPr>
          <w:ilvl w:val="0"/>
          <w:numId w:val="43"/>
        </w:numPr>
        <w:spacing w:before="0" w:after="0"/>
      </w:pPr>
      <w:r>
        <w:t>L</w:t>
      </w:r>
      <w:r w:rsidR="009F6F8A" w:rsidRPr="009F6F8A">
        <w:t>ow-risk gambling (1</w:t>
      </w:r>
      <w:r w:rsidR="005542A6">
        <w:t>–</w:t>
      </w:r>
      <w:r w:rsidR="009F6F8A" w:rsidRPr="009F6F8A">
        <w:t>2)</w:t>
      </w:r>
    </w:p>
    <w:p w14:paraId="5CE7AB62" w14:textId="11C67BBE" w:rsidR="009F6F8A" w:rsidRPr="009F6F8A" w:rsidRDefault="002C1FB8" w:rsidP="00C22FBE">
      <w:pPr>
        <w:numPr>
          <w:ilvl w:val="0"/>
          <w:numId w:val="43"/>
        </w:numPr>
        <w:spacing w:before="0" w:after="0"/>
      </w:pPr>
      <w:r>
        <w:t>M</w:t>
      </w:r>
      <w:r w:rsidR="009F6F8A" w:rsidRPr="009F6F8A">
        <w:t>oderate-risk gambling (3</w:t>
      </w:r>
      <w:r w:rsidR="005542A6">
        <w:t>–</w:t>
      </w:r>
      <w:r w:rsidR="009F6F8A" w:rsidRPr="009F6F8A">
        <w:t>7)</w:t>
      </w:r>
    </w:p>
    <w:p w14:paraId="3120599F" w14:textId="5939C40C" w:rsidR="007F1404" w:rsidRDefault="002C1FB8" w:rsidP="005A39B6">
      <w:pPr>
        <w:numPr>
          <w:ilvl w:val="0"/>
          <w:numId w:val="43"/>
        </w:numPr>
        <w:spacing w:before="0" w:after="0"/>
      </w:pPr>
      <w:r>
        <w:t>P</w:t>
      </w:r>
      <w:r w:rsidR="009F6F8A" w:rsidRPr="009F6F8A">
        <w:t>roblem gambling (8+).</w:t>
      </w:r>
    </w:p>
    <w:p w14:paraId="24EDA4AC" w14:textId="18F6F931" w:rsidR="007F1404" w:rsidRDefault="007F4573" w:rsidP="00040667">
      <w:r>
        <w:t>R</w:t>
      </w:r>
      <w:r w:rsidR="007F1404">
        <w:t xml:space="preserve">esearch </w:t>
      </w:r>
      <w:r>
        <w:t xml:space="preserve">shows </w:t>
      </w:r>
      <w:r w:rsidR="00D47E3D" w:rsidRPr="00DD211F">
        <w:t xml:space="preserve">that people gambling on EGMs after midnight (and particularly after 2am) are disproportionately at risk of </w:t>
      </w:r>
      <w:r w:rsidR="002C1FB8">
        <w:t>harm from gambling</w:t>
      </w:r>
      <w:r w:rsidR="00D47E3D">
        <w:t>.</w:t>
      </w:r>
      <w:r w:rsidR="00F15059">
        <w:rPr>
          <w:rStyle w:val="FootnoteReference"/>
        </w:rPr>
        <w:footnoteReference w:id="16"/>
      </w:r>
      <w:r w:rsidR="00D47E3D">
        <w:t xml:space="preserve"> One indicator of problem gambling is spending more money in a session</w:t>
      </w:r>
      <w:r w:rsidR="00EB0B2A">
        <w:t xml:space="preserve">. The ACT </w:t>
      </w:r>
      <w:r w:rsidR="005542A6">
        <w:t>g</w:t>
      </w:r>
      <w:r w:rsidR="00EB0B2A">
        <w:t xml:space="preserve">overnment has </w:t>
      </w:r>
      <w:r>
        <w:t>determined</w:t>
      </w:r>
      <w:r w:rsidR="00EB0B2A">
        <w:t xml:space="preserve"> that an exten</w:t>
      </w:r>
      <w:r>
        <w:t>ded</w:t>
      </w:r>
      <w:r w:rsidR="00EB0B2A">
        <w:t xml:space="preserve"> shutdown period of EGMs in the ACT will likely lead to a decrease</w:t>
      </w:r>
      <w:r w:rsidR="00DD2B65">
        <w:t xml:space="preserve"> in spending for players</w:t>
      </w:r>
      <w:r w:rsidR="00EB0B2A">
        <w:t xml:space="preserve"> by risk level</w:t>
      </w:r>
      <w:r w:rsidR="007D6E1E">
        <w:t xml:space="preserve"> and a decrease </w:t>
      </w:r>
      <w:r>
        <w:t>in</w:t>
      </w:r>
      <w:r w:rsidR="007D6E1E">
        <w:t xml:space="preserve"> </w:t>
      </w:r>
      <w:r w:rsidR="001C1C51">
        <w:t>g</w:t>
      </w:r>
      <w:r>
        <w:t xml:space="preserve">ross </w:t>
      </w:r>
      <w:r w:rsidR="001C1C51">
        <w:t>g</w:t>
      </w:r>
      <w:r w:rsidR="00E730E8">
        <w:t xml:space="preserve">aming </w:t>
      </w:r>
      <w:r w:rsidR="001C1C51">
        <w:t>m</w:t>
      </w:r>
      <w:r>
        <w:t xml:space="preserve">achine </w:t>
      </w:r>
      <w:r w:rsidR="001C1C51">
        <w:t>r</w:t>
      </w:r>
      <w:r w:rsidR="00E730E8">
        <w:t xml:space="preserve">evenue </w:t>
      </w:r>
      <w:r w:rsidR="007D6E1E">
        <w:t>for licensees</w:t>
      </w:r>
      <w:r>
        <w:t xml:space="preserve">, and in turn, a decrease in </w:t>
      </w:r>
      <w:r w:rsidR="001C1C51">
        <w:t>g</w:t>
      </w:r>
      <w:r>
        <w:t xml:space="preserve">aming </w:t>
      </w:r>
      <w:r w:rsidR="001C1C51">
        <w:t>m</w:t>
      </w:r>
      <w:r>
        <w:t xml:space="preserve">achine </w:t>
      </w:r>
      <w:r w:rsidR="001C1C51">
        <w:t>t</w:t>
      </w:r>
      <w:r>
        <w:t>ax received by the Territory</w:t>
      </w:r>
      <w:r w:rsidR="005A7789">
        <w:t xml:space="preserve">. The National Gambling Trends Study conducted in 2022 observed that participants considered at risk of gambling harm spent considerably more money on </w:t>
      </w:r>
      <w:r w:rsidR="002C1FB8">
        <w:t xml:space="preserve">electronic </w:t>
      </w:r>
      <w:r w:rsidR="005A7789">
        <w:t>gaming machines per month, $500, when compared to participants not at risk, who spent $125.</w:t>
      </w:r>
      <w:r w:rsidR="00AA36BC">
        <w:rPr>
          <w:rStyle w:val="FootnoteReference"/>
        </w:rPr>
        <w:footnoteReference w:id="17"/>
      </w:r>
      <w:r w:rsidR="00E730E8">
        <w:t xml:space="preserve"> </w:t>
      </w:r>
    </w:p>
    <w:p w14:paraId="17013FD9" w14:textId="25AE0834" w:rsidR="0012391B" w:rsidRDefault="00F83E59" w:rsidP="00040667">
      <w:r>
        <w:lastRenderedPageBreak/>
        <w:t>A</w:t>
      </w:r>
      <w:r w:rsidR="007F4573">
        <w:t>n ACT</w:t>
      </w:r>
      <w:r>
        <w:t xml:space="preserve"> </w:t>
      </w:r>
      <w:r w:rsidR="001C1C51">
        <w:t xml:space="preserve">study </w:t>
      </w:r>
      <w:r>
        <w:t>confirm</w:t>
      </w:r>
      <w:r w:rsidR="001C1C51">
        <w:t>ed</w:t>
      </w:r>
      <w:r>
        <w:t xml:space="preserve"> the national findings</w:t>
      </w:r>
      <w:r w:rsidR="007F4573">
        <w:t xml:space="preserve"> referred to above</w:t>
      </w:r>
      <w:r>
        <w:t xml:space="preserve"> and found that the mean net expenditure on EGMs increased across levels of problem gambling from non-problem (mean $94) to problem ($4,406).</w:t>
      </w:r>
      <w:r w:rsidR="00E57BAD">
        <w:rPr>
          <w:rStyle w:val="FootnoteReference"/>
        </w:rPr>
        <w:footnoteReference w:id="18"/>
      </w:r>
      <w:r>
        <w:t xml:space="preserve"> </w:t>
      </w:r>
      <w:r w:rsidR="0012391B">
        <w:t xml:space="preserve">The table below demonstrates </w:t>
      </w:r>
      <w:r w:rsidR="00BF035A">
        <w:t>that 63.1%</w:t>
      </w:r>
      <w:r w:rsidR="006248AA">
        <w:t xml:space="preserve"> of money lost on EGM</w:t>
      </w:r>
      <w:r w:rsidR="005E30A0">
        <w:t>s c</w:t>
      </w:r>
      <w:r w:rsidR="006248AA">
        <w:t xml:space="preserve">ame </w:t>
      </w:r>
      <w:r w:rsidR="005E30A0">
        <w:t xml:space="preserve">from individuals who </w:t>
      </w:r>
      <w:r w:rsidR="001107CC">
        <w:t xml:space="preserve">had at least some problem gambling </w:t>
      </w:r>
      <w:r w:rsidR="00FF1C6E">
        <w:t xml:space="preserve">behaviours </w:t>
      </w:r>
      <w:r w:rsidR="001107CC">
        <w:t>(</w:t>
      </w:r>
      <w:r w:rsidR="00E3508B">
        <w:t>i.e., scored at least +1 on the PGSI</w:t>
      </w:r>
      <w:r w:rsidR="001107CC">
        <w:t xml:space="preserve">). </w:t>
      </w:r>
    </w:p>
    <w:p w14:paraId="682195D7" w14:textId="77777777" w:rsidR="008C01EC" w:rsidRDefault="008C01EC" w:rsidP="00040667"/>
    <w:p w14:paraId="455B9815" w14:textId="0CE76286" w:rsidR="00A708A6" w:rsidRPr="00A708A6" w:rsidRDefault="00A708A6" w:rsidP="00040667">
      <w:r>
        <w:rPr>
          <w:b/>
          <w:bCs/>
        </w:rPr>
        <w:t>Table</w:t>
      </w:r>
      <w:r w:rsidRPr="00A708A6">
        <w:rPr>
          <w:b/>
          <w:bCs/>
        </w:rPr>
        <w:t xml:space="preserve"> </w:t>
      </w:r>
      <w:r w:rsidR="00E924BA">
        <w:rPr>
          <w:b/>
          <w:bCs/>
        </w:rPr>
        <w:t>2</w:t>
      </w:r>
      <w:r w:rsidRPr="00A708A6">
        <w:rPr>
          <w:b/>
          <w:bCs/>
        </w:rPr>
        <w:t>: Capped net expenditure on EGMs in the last 12 months by level of problem gambling</w:t>
      </w:r>
      <w:r w:rsidR="00F7003B">
        <w:rPr>
          <w:rStyle w:val="FootnoteReference"/>
          <w:b/>
          <w:bCs/>
        </w:rPr>
        <w:footnoteReference w:id="19"/>
      </w:r>
    </w:p>
    <w:p w14:paraId="2EA26885" w14:textId="0645F247" w:rsidR="002E1C34" w:rsidRDefault="002E1C34" w:rsidP="00040667">
      <w:r w:rsidRPr="002E1C34">
        <w:rPr>
          <w:noProof/>
        </w:rPr>
        <w:drawing>
          <wp:inline distT="0" distB="0" distL="0" distR="0" wp14:anchorId="446C31C2" wp14:editId="08A44519">
            <wp:extent cx="6120765" cy="2005965"/>
            <wp:effectExtent l="0" t="0" r="0" b="0"/>
            <wp:docPr id="1750681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81185" name=""/>
                    <pic:cNvPicPr/>
                  </pic:nvPicPr>
                  <pic:blipFill rotWithShape="1">
                    <a:blip r:embed="rId19"/>
                    <a:srcRect t="19802"/>
                    <a:stretch/>
                  </pic:blipFill>
                  <pic:spPr bwMode="auto">
                    <a:xfrm>
                      <a:off x="0" y="0"/>
                      <a:ext cx="6120765" cy="2005965"/>
                    </a:xfrm>
                    <a:prstGeom prst="rect">
                      <a:avLst/>
                    </a:prstGeom>
                    <a:ln>
                      <a:noFill/>
                    </a:ln>
                    <a:extLst>
                      <a:ext uri="{53640926-AAD7-44D8-BBD7-CCE9431645EC}">
                        <a14:shadowObscured xmlns:a14="http://schemas.microsoft.com/office/drawing/2010/main"/>
                      </a:ext>
                    </a:extLst>
                  </pic:spPr>
                </pic:pic>
              </a:graphicData>
            </a:graphic>
          </wp:inline>
        </w:drawing>
      </w:r>
    </w:p>
    <w:p w14:paraId="485903DB" w14:textId="26A3EC21" w:rsidR="003F1392" w:rsidRDefault="00FB2A7D" w:rsidP="00040667">
      <w:r>
        <w:t>A 2024 review of the NSW shutdown hours framework analysed gambling turnover for venues with a shutdown variation (i.e., venues that remain</w:t>
      </w:r>
      <w:r w:rsidR="00F60906">
        <w:t xml:space="preserve">ed </w:t>
      </w:r>
      <w:r>
        <w:t>open during the standard shutdown of 4am to 10am). The analysis found that 97% of gambling turnover was generated outside of the standard shutdown hours.</w:t>
      </w:r>
      <w:r w:rsidR="00D6150A">
        <w:rPr>
          <w:rStyle w:val="FootnoteReference"/>
        </w:rPr>
        <w:footnoteReference w:id="20"/>
      </w:r>
      <w:r>
        <w:t xml:space="preserve"> </w:t>
      </w:r>
      <w:r w:rsidR="00B32203">
        <w:t>More specifically, only 2.6% of gambling turnover was generated between the hours of 4am and 10am.</w:t>
      </w:r>
      <w:r w:rsidR="00D6150A">
        <w:rPr>
          <w:rStyle w:val="FootnoteReference"/>
        </w:rPr>
        <w:footnoteReference w:id="21"/>
      </w:r>
      <w:r w:rsidR="00B32203">
        <w:t xml:space="preserve"> </w:t>
      </w:r>
      <w:r w:rsidR="00F60906">
        <w:t xml:space="preserve">This </w:t>
      </w:r>
      <w:r w:rsidR="00FF1C6E">
        <w:t xml:space="preserve">evidence </w:t>
      </w:r>
      <w:r w:rsidR="00F60906">
        <w:t>provide</w:t>
      </w:r>
      <w:r w:rsidR="00F538B7">
        <w:t>s</w:t>
      </w:r>
      <w:r w:rsidR="00F60906">
        <w:t xml:space="preserve"> important context </w:t>
      </w:r>
      <w:r w:rsidR="00FF1C6E">
        <w:t xml:space="preserve">in relation to </w:t>
      </w:r>
      <w:r w:rsidR="00F60906">
        <w:t xml:space="preserve">the financial implications </w:t>
      </w:r>
      <w:r w:rsidR="00FF1C6E">
        <w:t xml:space="preserve">club </w:t>
      </w:r>
      <w:r w:rsidR="00F60906">
        <w:t>venues in the ACT m</w:t>
      </w:r>
      <w:r w:rsidR="007F4573">
        <w:t>ay</w:t>
      </w:r>
      <w:r w:rsidR="00F60906">
        <w:t xml:space="preserve"> </w:t>
      </w:r>
      <w:r w:rsidR="007F4573">
        <w:t xml:space="preserve">experience </w:t>
      </w:r>
      <w:r w:rsidR="00FF1C6E">
        <w:t xml:space="preserve">due to </w:t>
      </w:r>
      <w:r w:rsidR="00F60906">
        <w:t xml:space="preserve">the </w:t>
      </w:r>
      <w:r w:rsidR="004E23B2">
        <w:t>proposed exten</w:t>
      </w:r>
      <w:r w:rsidR="00FF1C6E">
        <w:t>sion of</w:t>
      </w:r>
      <w:r w:rsidR="004E23B2">
        <w:t xml:space="preserve"> the </w:t>
      </w:r>
      <w:r w:rsidR="00FF1C6E">
        <w:t xml:space="preserve">EGM </w:t>
      </w:r>
      <w:r w:rsidR="004E23B2">
        <w:t>shutdown period</w:t>
      </w:r>
      <w:r w:rsidR="00FF1C6E">
        <w:t>, and the likely reduction in harm it may achieve</w:t>
      </w:r>
      <w:r w:rsidR="00F60906">
        <w:t xml:space="preserve">. </w:t>
      </w:r>
      <w:r w:rsidR="0087397B">
        <w:t>B</w:t>
      </w:r>
      <w:r w:rsidR="002443C3">
        <w:t xml:space="preserve">ased on the </w:t>
      </w:r>
      <w:r w:rsidR="00FF1C6E">
        <w:t xml:space="preserve">NSW </w:t>
      </w:r>
      <w:r w:rsidR="002443C3">
        <w:t>evidence it is likely that in the ACT</w:t>
      </w:r>
      <w:r w:rsidR="004E23B2">
        <w:t xml:space="preserve"> there will be a minor reduction to</w:t>
      </w:r>
      <w:r w:rsidR="002443C3">
        <w:t xml:space="preserve"> </w:t>
      </w:r>
      <w:r w:rsidR="00AD4CBC">
        <w:t>g</w:t>
      </w:r>
      <w:r w:rsidR="004E23B2">
        <w:t xml:space="preserve">ross </w:t>
      </w:r>
      <w:r w:rsidR="00AD4CBC">
        <w:t>g</w:t>
      </w:r>
      <w:r w:rsidR="002443C3">
        <w:t>aming</w:t>
      </w:r>
      <w:r w:rsidR="004E23B2">
        <w:t xml:space="preserve"> </w:t>
      </w:r>
      <w:r w:rsidR="00AD4CBC">
        <w:t>m</w:t>
      </w:r>
      <w:r w:rsidR="004E23B2">
        <w:t xml:space="preserve">achine </w:t>
      </w:r>
      <w:r w:rsidR="00AD4CBC">
        <w:t>r</w:t>
      </w:r>
      <w:r w:rsidR="002443C3">
        <w:t xml:space="preserve">evenue, </w:t>
      </w:r>
      <w:r w:rsidR="004E23B2">
        <w:t xml:space="preserve">and in turn, </w:t>
      </w:r>
      <w:r w:rsidR="002443C3">
        <w:t xml:space="preserve">a minor reduction in </w:t>
      </w:r>
      <w:r w:rsidR="00AD4CBC">
        <w:t>g</w:t>
      </w:r>
      <w:r w:rsidR="002443C3">
        <w:t xml:space="preserve">aming </w:t>
      </w:r>
      <w:r w:rsidR="00C27510">
        <w:t>m</w:t>
      </w:r>
      <w:r w:rsidR="002443C3">
        <w:t xml:space="preserve">achine </w:t>
      </w:r>
      <w:r w:rsidR="00C27510">
        <w:t>t</w:t>
      </w:r>
      <w:r w:rsidR="002443C3">
        <w:t xml:space="preserve">ax </w:t>
      </w:r>
      <w:r w:rsidR="004E23B2">
        <w:t>received by the Territory</w:t>
      </w:r>
      <w:r w:rsidR="002443C3">
        <w:t xml:space="preserve">. Gaming machine tax is payable in relation to the gross revenue from the operation of </w:t>
      </w:r>
      <w:r w:rsidR="002C1FB8">
        <w:t>EGMs.</w:t>
      </w:r>
    </w:p>
    <w:p w14:paraId="1CB18290" w14:textId="57BF9E3E" w:rsidR="003A22D6" w:rsidRDefault="004E23B2" w:rsidP="00040667">
      <w:pPr>
        <w:rPr>
          <w:b/>
          <w:bCs/>
        </w:rPr>
      </w:pPr>
      <w:r>
        <w:t xml:space="preserve">The </w:t>
      </w:r>
      <w:r w:rsidRPr="004E23B2">
        <w:rPr>
          <w:i/>
          <w:iCs/>
        </w:rPr>
        <w:t>Review of the ACT Government’s Harm Minimisation Measures</w:t>
      </w:r>
      <w:r w:rsidRPr="004E23B2">
        <w:t xml:space="preserve"> </w:t>
      </w:r>
      <w:r>
        <w:t>considered the e</w:t>
      </w:r>
      <w:r w:rsidR="00E0690F">
        <w:t xml:space="preserve">ffects of </w:t>
      </w:r>
      <w:r w:rsidR="00B25ECF" w:rsidRPr="00B25ECF">
        <w:t>a mandat</w:t>
      </w:r>
      <w:r w:rsidR="00B25ECF">
        <w:t>ed</w:t>
      </w:r>
      <w:r w:rsidR="00B25ECF" w:rsidRPr="00B25ECF">
        <w:t xml:space="preserve"> </w:t>
      </w:r>
      <w:r w:rsidR="008B6337">
        <w:t>3</w:t>
      </w:r>
      <w:r w:rsidR="008B6337">
        <w:noBreakHyphen/>
      </w:r>
      <w:r w:rsidR="00B25ECF" w:rsidRPr="00B25ECF">
        <w:t xml:space="preserve">hour shutdown of </w:t>
      </w:r>
      <w:r w:rsidR="00B25ECF">
        <w:t xml:space="preserve">EGMs </w:t>
      </w:r>
      <w:r w:rsidR="00B25ECF" w:rsidRPr="00B25ECF">
        <w:t>each day</w:t>
      </w:r>
      <w:r w:rsidR="00B25ECF">
        <w:t xml:space="preserve">. This </w:t>
      </w:r>
      <w:r w:rsidR="00E0690F">
        <w:t>initial shutdown period in the ACT w</w:t>
      </w:r>
      <w:r w:rsidR="00B25ECF">
        <w:t>as</w:t>
      </w:r>
      <w:r w:rsidR="00E0690F">
        <w:t xml:space="preserve"> reviewed in 2005 following its implementation </w:t>
      </w:r>
      <w:r w:rsidR="008B6337">
        <w:t xml:space="preserve">4 </w:t>
      </w:r>
      <w:r w:rsidR="00E0690F">
        <w:t>years prior. Th</w:t>
      </w:r>
      <w:r w:rsidR="00B25ECF">
        <w:t>e</w:t>
      </w:r>
      <w:r w:rsidR="00E0690F">
        <w:t xml:space="preserve"> report highlighted that the majority of shutdown clubs reported impacted their gaming revenue and total revenue, with losses estimated to be ranging from 3-10%.</w:t>
      </w:r>
      <w:r w:rsidR="00515BCC">
        <w:rPr>
          <w:rStyle w:val="FootnoteReference"/>
        </w:rPr>
        <w:footnoteReference w:id="22"/>
      </w:r>
      <w:r w:rsidR="00710B73">
        <w:t xml:space="preserve"> The below table </w:t>
      </w:r>
      <w:r w:rsidR="00F83F7B">
        <w:t>summaris</w:t>
      </w:r>
      <w:r w:rsidR="008B6337">
        <w:t>es</w:t>
      </w:r>
      <w:r w:rsidR="00F83F7B">
        <w:t xml:space="preserve"> </w:t>
      </w:r>
      <w:r w:rsidR="00710B73">
        <w:t>data captured from interviews with club managers</w:t>
      </w:r>
      <w:r w:rsidR="00F83F7B">
        <w:t xml:space="preserve"> from 13 different club venues </w:t>
      </w:r>
      <w:r w:rsidR="008B6337">
        <w:t>a</w:t>
      </w:r>
      <w:r w:rsidR="00F83F7B">
        <w:t>ffected by the shutdown</w:t>
      </w:r>
      <w:r w:rsidR="00710B73">
        <w:t xml:space="preserve">. </w:t>
      </w:r>
      <w:r w:rsidR="00705799">
        <w:t xml:space="preserve">Impacts related to gaming and non-gaming revenue, staffing and other costs and </w:t>
      </w:r>
      <w:r w:rsidR="00705799">
        <w:lastRenderedPageBreak/>
        <w:t>gaming patrons and non-gaming patrons w</w:t>
      </w:r>
      <w:r w:rsidR="00F83F7B">
        <w:t>ere</w:t>
      </w:r>
      <w:r w:rsidR="00705799">
        <w:t xml:space="preserve"> assessed.</w:t>
      </w:r>
      <w:r w:rsidR="00F83F7B">
        <w:t xml:space="preserve"> The biggest impacts seen by club managers w</w:t>
      </w:r>
      <w:r w:rsidR="002A1087">
        <w:t xml:space="preserve">ere </w:t>
      </w:r>
      <w:r w:rsidR="00F83F7B">
        <w:t>a decrease o</w:t>
      </w:r>
      <w:r w:rsidR="008B6337">
        <w:t>f</w:t>
      </w:r>
      <w:r w:rsidR="00F83F7B">
        <w:t xml:space="preserve"> gaming revenue, gaming patrons and non-gaming patrons equally. </w:t>
      </w:r>
    </w:p>
    <w:p w14:paraId="4ACF2672" w14:textId="23BB6634" w:rsidR="008C01EC" w:rsidRPr="00A708A6" w:rsidRDefault="00A708A6" w:rsidP="00040667">
      <w:pPr>
        <w:rPr>
          <w:b/>
          <w:bCs/>
        </w:rPr>
      </w:pPr>
      <w:r w:rsidRPr="00A708A6">
        <w:rPr>
          <w:b/>
          <w:bCs/>
        </w:rPr>
        <w:t xml:space="preserve">Table </w:t>
      </w:r>
      <w:r w:rsidR="00E924BA">
        <w:rPr>
          <w:b/>
          <w:bCs/>
        </w:rPr>
        <w:t>3</w:t>
      </w:r>
      <w:r w:rsidRPr="00A708A6">
        <w:rPr>
          <w:b/>
          <w:bCs/>
        </w:rPr>
        <w:t>: Impacts of the 3-ho</w:t>
      </w:r>
      <w:r w:rsidR="0020148A">
        <w:rPr>
          <w:b/>
          <w:bCs/>
        </w:rPr>
        <w:t>u</w:t>
      </w:r>
      <w:r w:rsidRPr="00A708A6">
        <w:rPr>
          <w:b/>
          <w:bCs/>
        </w:rPr>
        <w:t>r shutdown</w:t>
      </w:r>
      <w:r w:rsidR="00515BCC">
        <w:rPr>
          <w:rStyle w:val="FootnoteReference"/>
          <w:b/>
          <w:bCs/>
        </w:rPr>
        <w:footnoteReference w:id="23"/>
      </w:r>
    </w:p>
    <w:p w14:paraId="75E53D9D" w14:textId="1BE21AF7" w:rsidR="00710B73" w:rsidRDefault="00F83F7B" w:rsidP="00040667">
      <w:r w:rsidRPr="00710B73">
        <w:rPr>
          <w:noProof/>
        </w:rPr>
        <w:drawing>
          <wp:inline distT="0" distB="0" distL="0" distR="0" wp14:anchorId="4C314322" wp14:editId="3C83DED6">
            <wp:extent cx="5608320" cy="2967990"/>
            <wp:effectExtent l="0" t="0" r="0" b="3810"/>
            <wp:docPr id="1442051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51430" name=""/>
                    <pic:cNvPicPr/>
                  </pic:nvPicPr>
                  <pic:blipFill rotWithShape="1">
                    <a:blip r:embed="rId20"/>
                    <a:srcRect t="6594"/>
                    <a:stretch/>
                  </pic:blipFill>
                  <pic:spPr bwMode="auto">
                    <a:xfrm>
                      <a:off x="0" y="0"/>
                      <a:ext cx="5608806" cy="2968247"/>
                    </a:xfrm>
                    <a:prstGeom prst="rect">
                      <a:avLst/>
                    </a:prstGeom>
                    <a:ln>
                      <a:noFill/>
                    </a:ln>
                    <a:extLst>
                      <a:ext uri="{53640926-AAD7-44D8-BBD7-CCE9431645EC}">
                        <a14:shadowObscured xmlns:a14="http://schemas.microsoft.com/office/drawing/2010/main"/>
                      </a:ext>
                    </a:extLst>
                  </pic:spPr>
                </pic:pic>
              </a:graphicData>
            </a:graphic>
          </wp:inline>
        </w:drawing>
      </w:r>
    </w:p>
    <w:p w14:paraId="69374636" w14:textId="6679741A" w:rsidR="00BF4B3B" w:rsidRDefault="00BF4B3B" w:rsidP="00BF4B3B">
      <w:r>
        <w:t>The evidence presented above</w:t>
      </w:r>
      <w:r w:rsidR="00B25ECF">
        <w:t xml:space="preserve"> </w:t>
      </w:r>
      <w:r>
        <w:t>provides a clear indicator of the likely impacts</w:t>
      </w:r>
      <w:r w:rsidR="008B6337">
        <w:t xml:space="preserve"> to club licensees</w:t>
      </w:r>
      <w:r>
        <w:t xml:space="preserve"> </w:t>
      </w:r>
      <w:r w:rsidR="00B25ECF">
        <w:t xml:space="preserve">from the proposed change to </w:t>
      </w:r>
      <w:r>
        <w:t>extend the shutdown period of EGMs</w:t>
      </w:r>
      <w:r w:rsidR="00B25ECF">
        <w:t>.</w:t>
      </w:r>
      <w:r>
        <w:t xml:space="preserve"> </w:t>
      </w:r>
    </w:p>
    <w:p w14:paraId="086DD69B" w14:textId="1519F47C" w:rsidR="00333123" w:rsidRDefault="00333123" w:rsidP="00333123">
      <w:pPr>
        <w:pStyle w:val="Heading1"/>
      </w:pPr>
      <w:bookmarkStart w:id="24" w:name="_Toc228796204"/>
      <w:r>
        <w:t>Post implementation review of regulation</w:t>
      </w:r>
      <w:bookmarkEnd w:id="24"/>
    </w:p>
    <w:p w14:paraId="27BAD51F" w14:textId="0486C935" w:rsidR="00EF64C5" w:rsidRDefault="00333123" w:rsidP="00552695">
      <w:r>
        <w:t>Th</w:t>
      </w:r>
      <w:r w:rsidR="00772F69">
        <w:t>e</w:t>
      </w:r>
      <w:r>
        <w:t xml:space="preserve"> </w:t>
      </w:r>
      <w:r w:rsidR="00772F69">
        <w:t xml:space="preserve">proposed change to </w:t>
      </w:r>
      <w:r w:rsidR="00AC68FD">
        <w:t xml:space="preserve">clubs’ EGM operating hours </w:t>
      </w:r>
      <w:r w:rsidR="00AD4CBC">
        <w:t>will</w:t>
      </w:r>
      <w:r w:rsidR="00772F69">
        <w:t xml:space="preserve"> be monitored </w:t>
      </w:r>
      <w:r w:rsidR="008B6337">
        <w:t xml:space="preserve">by </w:t>
      </w:r>
      <w:r w:rsidR="00772F69">
        <w:t>Access Canberra’s compliance monitoring program</w:t>
      </w:r>
      <w:r w:rsidR="00AC68FD">
        <w:t>.</w:t>
      </w:r>
      <w:r w:rsidR="008B6337">
        <w:t xml:space="preserve"> </w:t>
      </w:r>
      <w:r w:rsidR="00772F69">
        <w:t>A</w:t>
      </w:r>
      <w:r>
        <w:t xml:space="preserve">dditional compliance activities </w:t>
      </w:r>
      <w:r w:rsidR="00D657DB">
        <w:t>by</w:t>
      </w:r>
      <w:r>
        <w:t xml:space="preserve"> </w:t>
      </w:r>
      <w:r w:rsidR="00772F69">
        <w:t xml:space="preserve">Access Canberra </w:t>
      </w:r>
      <w:r>
        <w:t>such as</w:t>
      </w:r>
      <w:r w:rsidR="00577B4F">
        <w:t xml:space="preserve"> monitor</w:t>
      </w:r>
      <w:r w:rsidR="00151C74">
        <w:t>ing</w:t>
      </w:r>
      <w:r w:rsidR="004610D6">
        <w:t xml:space="preserve"> licensee</w:t>
      </w:r>
      <w:r>
        <w:t xml:space="preserve"> implementation of </w:t>
      </w:r>
      <w:r w:rsidR="00772F69">
        <w:t xml:space="preserve">and adherence to </w:t>
      </w:r>
      <w:r>
        <w:t xml:space="preserve">the </w:t>
      </w:r>
      <w:r w:rsidR="00EF64C5">
        <w:t xml:space="preserve">extended shutdown </w:t>
      </w:r>
      <w:r w:rsidR="00D73059">
        <w:t>is not expected to</w:t>
      </w:r>
      <w:r w:rsidR="00772F69">
        <w:t xml:space="preserve"> </w:t>
      </w:r>
      <w:r w:rsidR="00151C74">
        <w:t xml:space="preserve">have a resourcing impact to </w:t>
      </w:r>
      <w:r>
        <w:t>Access Canberra.</w:t>
      </w:r>
    </w:p>
    <w:p w14:paraId="0C190213" w14:textId="4A4A990B" w:rsidR="00552695" w:rsidRDefault="00333123" w:rsidP="00552695">
      <w:r>
        <w:t>JACS will work with Access Canberra on the timing of implementation</w:t>
      </w:r>
      <w:r w:rsidR="009D5DBF">
        <w:t xml:space="preserve"> of the extended shutdown period</w:t>
      </w:r>
      <w:r w:rsidR="00FC04B0">
        <w:t xml:space="preserve">. </w:t>
      </w:r>
      <w:r w:rsidR="00FC04B0" w:rsidRPr="00FC04B0">
        <w:t xml:space="preserve">The ACT </w:t>
      </w:r>
      <w:r w:rsidR="00D73059">
        <w:t>G</w:t>
      </w:r>
      <w:r w:rsidR="00FC04B0" w:rsidRPr="00FC04B0">
        <w:t xml:space="preserve">overnment will develop </w:t>
      </w:r>
      <w:r w:rsidR="00893EE7">
        <w:t>a</w:t>
      </w:r>
      <w:r w:rsidR="00FC04B0" w:rsidRPr="00FC04B0">
        <w:t xml:space="preserve"> compliance </w:t>
      </w:r>
      <w:r w:rsidR="00FC04B0">
        <w:t>review</w:t>
      </w:r>
      <w:r w:rsidR="00FC04B0" w:rsidRPr="00FC04B0">
        <w:t xml:space="preserve"> </w:t>
      </w:r>
      <w:r w:rsidR="000D7040">
        <w:t xml:space="preserve">framework </w:t>
      </w:r>
      <w:r w:rsidR="00FC04B0" w:rsidRPr="00FC04B0">
        <w:t xml:space="preserve">to </w:t>
      </w:r>
      <w:r w:rsidR="00AD4CBC">
        <w:t>monitor</w:t>
      </w:r>
      <w:r w:rsidR="00AD4CBC" w:rsidRPr="00FC04B0">
        <w:t xml:space="preserve"> </w:t>
      </w:r>
      <w:r w:rsidR="00893EE7">
        <w:t>compliance</w:t>
      </w:r>
      <w:r w:rsidR="000D7040">
        <w:t>.</w:t>
      </w:r>
      <w:r w:rsidR="00EF64C5">
        <w:t xml:space="preserve"> </w:t>
      </w:r>
      <w:r w:rsidR="00FC04B0">
        <w:t xml:space="preserve">The </w:t>
      </w:r>
      <w:r w:rsidR="00893EE7">
        <w:t xml:space="preserve">compliance </w:t>
      </w:r>
      <w:r w:rsidR="00A11A19">
        <w:t>review</w:t>
      </w:r>
      <w:r w:rsidR="00FC04B0">
        <w:t xml:space="preserve"> </w:t>
      </w:r>
      <w:r w:rsidR="00AD4CBC">
        <w:t xml:space="preserve">framework may </w:t>
      </w:r>
      <w:r w:rsidR="00662E1A">
        <w:t>involve</w:t>
      </w:r>
      <w:r w:rsidR="00155956">
        <w:t xml:space="preserve"> </w:t>
      </w:r>
      <w:r w:rsidR="00FC04B0">
        <w:t>enforcement activities</w:t>
      </w:r>
      <w:r w:rsidR="00893EE7">
        <w:t>,</w:t>
      </w:r>
      <w:r w:rsidR="00EF64C5">
        <w:t xml:space="preserve"> </w:t>
      </w:r>
      <w:r w:rsidR="00FC04B0">
        <w:t>long-term monitoring strategies</w:t>
      </w:r>
      <w:r w:rsidR="00893EE7">
        <w:t xml:space="preserve"> and evaluation of licensee</w:t>
      </w:r>
      <w:r w:rsidR="00EF64C5">
        <w:t xml:space="preserve"> </w:t>
      </w:r>
      <w:r w:rsidR="00893EE7">
        <w:t>compliance with the reform</w:t>
      </w:r>
      <w:r w:rsidR="00FC04B0">
        <w:t xml:space="preserve">. </w:t>
      </w:r>
    </w:p>
    <w:p w14:paraId="68488D7B" w14:textId="77EAABA7" w:rsidR="00021404" w:rsidRDefault="00021404" w:rsidP="00021404">
      <w:pPr>
        <w:spacing w:before="0" w:after="160" w:line="259" w:lineRule="auto"/>
      </w:pPr>
      <w:r>
        <w:t>Financial i</w:t>
      </w:r>
      <w:r w:rsidR="00AC68FD">
        <w:t xml:space="preserve">mpacts will be monitored through </w:t>
      </w:r>
      <w:r>
        <w:t xml:space="preserve">EGM gross </w:t>
      </w:r>
      <w:r w:rsidR="00AC68FD">
        <w:t xml:space="preserve">gaming machine revenue reported by clubs. </w:t>
      </w:r>
      <w:r>
        <w:t xml:space="preserve">The regulation change should be classified as a contributing factor rather than a causal factor of any difference in gross gaming machine revenue and gaming machine tax.  </w:t>
      </w:r>
    </w:p>
    <w:p w14:paraId="359F5BBA" w14:textId="4A5D663B" w:rsidR="00AC68FD" w:rsidRDefault="00021404" w:rsidP="00AC68FD">
      <w:pPr>
        <w:spacing w:before="0" w:after="160" w:line="259" w:lineRule="auto"/>
      </w:pPr>
      <w:r>
        <w:t xml:space="preserve">As mentioned in this impact assessment, the full health and social impact of this regulation is difficult to quantify due to the complex nature and effects of gambling harm, however there is substantial evidence indicating that limiting access to EGMs </w:t>
      </w:r>
      <w:r w:rsidRPr="001A7947">
        <w:t>reduces problem gambling risk</w:t>
      </w:r>
      <w:r w:rsidRPr="00AC68FD">
        <w:t>.</w:t>
      </w:r>
      <w:r>
        <w:t xml:space="preserve"> Impacts in reduction of gambling harm could be measured through the ACT Gambling Survey. </w:t>
      </w:r>
      <w:r w:rsidR="00AC68FD">
        <w:t xml:space="preserve">The survey provides data such as </w:t>
      </w:r>
      <w:r w:rsidR="00AC68FD" w:rsidRPr="005846F4">
        <w:t>spend</w:t>
      </w:r>
      <w:r w:rsidR="00AC68FD">
        <w:t xml:space="preserve">ing </w:t>
      </w:r>
      <w:r w:rsidR="00AC68FD" w:rsidRPr="005846F4">
        <w:t xml:space="preserve">by </w:t>
      </w:r>
      <w:r w:rsidR="00AC68FD" w:rsidRPr="005846F4">
        <w:lastRenderedPageBreak/>
        <w:t>risk level</w:t>
      </w:r>
      <w:r w:rsidR="00AC68FD">
        <w:t xml:space="preserve"> and other quantitative data relevant for analysis of impacts of EGM gambling harm. The survey is conducted approximately every 5 years, with the next survey anticipated in 2029. Additional data could also be sought through ACT </w:t>
      </w:r>
      <w:r w:rsidR="00AC68FD" w:rsidRPr="005846F4">
        <w:t xml:space="preserve">gambling harm </w:t>
      </w:r>
      <w:r w:rsidR="00AC68FD">
        <w:t>support services.</w:t>
      </w:r>
    </w:p>
    <w:p w14:paraId="57A152D9" w14:textId="79EF66A6" w:rsidR="005846F4" w:rsidRDefault="000D396D" w:rsidP="005846F4">
      <w:pPr>
        <w:spacing w:before="0" w:after="160" w:line="259" w:lineRule="auto"/>
      </w:pPr>
      <w:r>
        <w:t>E</w:t>
      </w:r>
      <w:r w:rsidR="00552695">
        <w:t xml:space="preserve">xternal factors </w:t>
      </w:r>
      <w:r w:rsidR="007F76BB">
        <w:t xml:space="preserve">such as licensee </w:t>
      </w:r>
      <w:r w:rsidR="000A7320">
        <w:t>planning and development</w:t>
      </w:r>
      <w:r w:rsidR="006C0E6C">
        <w:t xml:space="preserve"> projects</w:t>
      </w:r>
      <w:r w:rsidR="00E700DF">
        <w:t xml:space="preserve">, </w:t>
      </w:r>
      <w:r w:rsidR="000923C8">
        <w:t>surrender and trade of</w:t>
      </w:r>
      <w:r w:rsidR="007F76BB">
        <w:t xml:space="preserve"> EGMs</w:t>
      </w:r>
      <w:r w:rsidR="00E700DF">
        <w:t xml:space="preserve">, </w:t>
      </w:r>
      <w:r w:rsidR="000D7040">
        <w:t xml:space="preserve">and </w:t>
      </w:r>
      <w:r w:rsidR="00685471">
        <w:t xml:space="preserve">social </w:t>
      </w:r>
      <w:r w:rsidR="00E700DF">
        <w:t>attitudinal shifts</w:t>
      </w:r>
      <w:r w:rsidR="00577B4F">
        <w:t xml:space="preserve"> towards gambling</w:t>
      </w:r>
      <w:r w:rsidR="007F76BB">
        <w:t xml:space="preserve"> may </w:t>
      </w:r>
      <w:r>
        <w:t xml:space="preserve">also </w:t>
      </w:r>
      <w:r w:rsidR="007F76BB">
        <w:t>influence EGM use</w:t>
      </w:r>
      <w:r w:rsidR="00021404">
        <w:t>,</w:t>
      </w:r>
      <w:r>
        <w:t xml:space="preserve"> revenue</w:t>
      </w:r>
      <w:r w:rsidR="00021404">
        <w:t xml:space="preserve"> and changes in levels of gambling harm</w:t>
      </w:r>
      <w:r w:rsidR="007F76BB">
        <w:t xml:space="preserve">. Additionally, a number of gambling harm minimisation measures are </w:t>
      </w:r>
      <w:r w:rsidR="006F1468">
        <w:t xml:space="preserve">expected to </w:t>
      </w:r>
      <w:r w:rsidR="007F76BB">
        <w:t xml:space="preserve">be introduced which may impact </w:t>
      </w:r>
      <w:r w:rsidR="006F1468">
        <w:t xml:space="preserve">EGM </w:t>
      </w:r>
      <w:r>
        <w:t xml:space="preserve">usage and </w:t>
      </w:r>
      <w:r w:rsidR="007F76BB">
        <w:t xml:space="preserve">revenue, for example, mandatory reduction </w:t>
      </w:r>
      <w:r>
        <w:t>of</w:t>
      </w:r>
      <w:r w:rsidR="007F76BB">
        <w:t xml:space="preserve"> the number of EGM authorisations in the Territory and the introduction of </w:t>
      </w:r>
      <w:r w:rsidR="006F1468">
        <w:t xml:space="preserve">mandatory </w:t>
      </w:r>
      <w:r w:rsidR="007F76BB">
        <w:t>account-based gaming</w:t>
      </w:r>
      <w:r>
        <w:t xml:space="preserve"> in all venues which operate EGMs</w:t>
      </w:r>
      <w:r w:rsidR="007F76BB">
        <w:t xml:space="preserve">.  </w:t>
      </w:r>
      <w:r w:rsidR="00190041">
        <w:t xml:space="preserve"> </w:t>
      </w:r>
    </w:p>
    <w:p w14:paraId="68F76DD1" w14:textId="77777777" w:rsidR="00EB3B9B" w:rsidRDefault="00EB3B9B" w:rsidP="005846F4">
      <w:pPr>
        <w:spacing w:before="0" w:after="160" w:line="259" w:lineRule="auto"/>
      </w:pPr>
    </w:p>
    <w:p w14:paraId="29156752" w14:textId="1D7AA437" w:rsidR="00EB3B9B" w:rsidRPr="005846F4" w:rsidRDefault="00EB3B9B" w:rsidP="005846F4">
      <w:pPr>
        <w:spacing w:before="0" w:after="160" w:line="259" w:lineRule="auto"/>
      </w:pPr>
      <w:bookmarkStart w:id="25" w:name="_Toc41575597"/>
      <w:bookmarkEnd w:id="25"/>
    </w:p>
    <w:p w14:paraId="3E7FE204" w14:textId="23A93EF5" w:rsidR="00662E1A" w:rsidRPr="001B3BD0" w:rsidRDefault="00662E1A" w:rsidP="00040667"/>
    <w:sectPr w:rsidR="00662E1A" w:rsidRPr="001B3BD0" w:rsidSect="00F91C4B">
      <w:type w:val="continuous"/>
      <w:pgSz w:w="11907" w:h="16840" w:code="9"/>
      <w:pgMar w:top="1134" w:right="1134" w:bottom="1701" w:left="1134" w:header="340" w:footer="2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AA61" w14:textId="77777777" w:rsidR="002965D9" w:rsidRDefault="002965D9">
      <w:pPr>
        <w:spacing w:before="0" w:after="0"/>
      </w:pPr>
      <w:r>
        <w:separator/>
      </w:r>
    </w:p>
    <w:p w14:paraId="76C02D8B" w14:textId="77777777" w:rsidR="002965D9" w:rsidRDefault="002965D9"/>
  </w:endnote>
  <w:endnote w:type="continuationSeparator" w:id="0">
    <w:p w14:paraId="29122B4C" w14:textId="77777777" w:rsidR="002965D9" w:rsidRDefault="002965D9">
      <w:pPr>
        <w:spacing w:before="0" w:after="0"/>
      </w:pPr>
      <w:r>
        <w:continuationSeparator/>
      </w:r>
    </w:p>
    <w:p w14:paraId="3913DBC6" w14:textId="77777777" w:rsidR="002965D9" w:rsidRDefault="002965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tham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008B3D6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27192">
          <w:rPr>
            <w:rStyle w:val="PageNumber"/>
            <w:noProof/>
          </w:rPr>
          <w:t>1</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637A915C" w:rsidR="000459F7" w:rsidRDefault="00F91C4B" w:rsidP="004D749A">
    <w:pPr>
      <w:pStyle w:val="Footer"/>
      <w:rPr>
        <w:b/>
      </w:rPr>
    </w:pPr>
    <w:r>
      <w:rPr>
        <w:noProof/>
      </w:rPr>
      <w:drawing>
        <wp:anchor distT="0" distB="0" distL="114300" distR="114300" simplePos="0" relativeHeight="251657728" behindDoc="1" locked="0" layoutInCell="1" allowOverlap="1" wp14:anchorId="702752A8" wp14:editId="6729D734">
          <wp:simplePos x="0" y="0"/>
          <wp:positionH relativeFrom="column">
            <wp:posOffset>-361950</wp:posOffset>
          </wp:positionH>
          <wp:positionV relativeFrom="paragraph">
            <wp:posOffset>-47625</wp:posOffset>
          </wp:positionV>
          <wp:extent cx="6883200" cy="252000"/>
          <wp:effectExtent l="0" t="0" r="0" b="0"/>
          <wp:wrapNone/>
          <wp:docPr id="1869239770"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910537">
      <w:rPr>
        <w:noProof/>
      </w:rPr>
      <w:t>JUSTICE AND COMMUNITY SAFETY DIRECTORATE</w:t>
    </w:r>
    <w:r w:rsidR="00A50ACF" w:rsidRPr="00723F5C">
      <w:rPr>
        <w:noProof/>
      </w:rPr>
      <w:t xml:space="preserve"> </w:t>
    </w:r>
    <w:r w:rsidR="00723F5C">
      <w:rPr>
        <w:noProof/>
      </w:rPr>
      <w:tab/>
    </w:r>
    <w:r w:rsidR="0062148A">
      <w:rPr>
        <w:noProof/>
      </w:rPr>
      <w:tab/>
    </w:r>
    <w:r w:rsidR="004D749A">
      <w:rPr>
        <w:noProof/>
      </w:rPr>
      <w:tab/>
    </w:r>
    <w:r w:rsidR="004D749A">
      <w:rPr>
        <w:noProof/>
      </w:rPr>
      <w:tab/>
    </w:r>
    <w:r w:rsidR="00910537">
      <w:rPr>
        <w:b/>
      </w:rPr>
      <w:t>REGULATORY IMPACT ASSESSMENT</w:t>
    </w:r>
  </w:p>
  <w:p w14:paraId="52526F8A" w14:textId="4B2A2F10" w:rsidR="00F91C4B" w:rsidRPr="0085223F" w:rsidRDefault="0085223F" w:rsidP="0085223F">
    <w:pPr>
      <w:pStyle w:val="Footer"/>
      <w:spacing w:before="0" w:after="0"/>
      <w:jc w:val="center"/>
      <w:rPr>
        <w:rFonts w:ascii="Arial" w:hAnsi="Arial" w:cs="Arial"/>
        <w:bCs/>
        <w:color w:val="auto"/>
        <w:sz w:val="14"/>
      </w:rPr>
    </w:pPr>
    <w:r w:rsidRPr="0085223F">
      <w:rPr>
        <w:rFonts w:ascii="Arial" w:hAnsi="Arial" w:cs="Arial"/>
        <w:bCs/>
        <w:color w:val="auto"/>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83896" w14:textId="476D678C" w:rsidR="00F91C4B" w:rsidRPr="0085223F" w:rsidRDefault="0085223F" w:rsidP="0085223F">
    <w:pPr>
      <w:pStyle w:val="Footer"/>
      <w:spacing w:before="0" w:after="0"/>
      <w:jc w:val="center"/>
      <w:rPr>
        <w:rFonts w:ascii="Arial" w:hAnsi="Arial" w:cs="Arial"/>
        <w:color w:val="auto"/>
        <w:sz w:val="14"/>
      </w:rPr>
    </w:pPr>
    <w:r w:rsidRPr="0085223F">
      <w:rPr>
        <w:rFonts w:ascii="Arial" w:hAnsi="Arial" w:cs="Arial"/>
        <w:color w:val="auto"/>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6D8F3" w14:textId="77777777" w:rsidR="002965D9" w:rsidRDefault="002965D9" w:rsidP="001723F7">
      <w:pPr>
        <w:spacing w:before="0" w:after="0"/>
      </w:pPr>
      <w:r>
        <w:separator/>
      </w:r>
    </w:p>
  </w:footnote>
  <w:footnote w:type="continuationSeparator" w:id="0">
    <w:p w14:paraId="59DEBB8D" w14:textId="77777777" w:rsidR="002965D9" w:rsidRDefault="002965D9">
      <w:pPr>
        <w:spacing w:before="0" w:after="0"/>
      </w:pPr>
      <w:r>
        <w:continuationSeparator/>
      </w:r>
    </w:p>
    <w:p w14:paraId="50CDF5C0" w14:textId="77777777" w:rsidR="002965D9" w:rsidRDefault="002965D9"/>
  </w:footnote>
  <w:footnote w:id="1">
    <w:p w14:paraId="38AE522F" w14:textId="77777777" w:rsidR="00B81BA7" w:rsidRDefault="00B81BA7" w:rsidP="00B81BA7">
      <w:pPr>
        <w:pStyle w:val="FootnoteText"/>
      </w:pPr>
      <w:r>
        <w:rPr>
          <w:rStyle w:val="FootnoteReference"/>
        </w:rPr>
        <w:footnoteRef/>
      </w:r>
      <w:r>
        <w:t xml:space="preserve"> </w:t>
      </w:r>
      <w:r w:rsidRPr="00552062">
        <w:rPr>
          <w:i/>
          <w:iCs/>
          <w:sz w:val="18"/>
          <w:szCs w:val="18"/>
        </w:rPr>
        <w:t>Gambling and Racing Control (Code of Practice) Regulation 2002</w:t>
      </w:r>
      <w:r>
        <w:rPr>
          <w:i/>
          <w:iCs/>
          <w:sz w:val="18"/>
          <w:szCs w:val="18"/>
        </w:rPr>
        <w:t xml:space="preserve"> </w:t>
      </w:r>
      <w:r w:rsidRPr="000C6761">
        <w:rPr>
          <w:sz w:val="18"/>
          <w:szCs w:val="18"/>
        </w:rPr>
        <w:t>(ACT)</w:t>
      </w:r>
      <w:r>
        <w:rPr>
          <w:sz w:val="18"/>
          <w:szCs w:val="18"/>
        </w:rPr>
        <w:t xml:space="preserve"> s 1.27B</w:t>
      </w:r>
      <w:r w:rsidRPr="000C6761">
        <w:rPr>
          <w:sz w:val="18"/>
          <w:szCs w:val="18"/>
        </w:rPr>
        <w:t>.</w:t>
      </w:r>
    </w:p>
  </w:footnote>
  <w:footnote w:id="2">
    <w:p w14:paraId="414E7870" w14:textId="77777777" w:rsidR="00220024" w:rsidRDefault="00220024" w:rsidP="00220024">
      <w:pPr>
        <w:pStyle w:val="FootnoteText"/>
      </w:pPr>
      <w:r>
        <w:rPr>
          <w:rStyle w:val="FootnoteReference"/>
        </w:rPr>
        <w:footnoteRef/>
      </w:r>
      <w:r>
        <w:t xml:space="preserve"> </w:t>
      </w:r>
      <w:r w:rsidRPr="00552062">
        <w:rPr>
          <w:sz w:val="18"/>
          <w:szCs w:val="18"/>
        </w:rPr>
        <w:t xml:space="preserve">Explanatory Statement, </w:t>
      </w:r>
      <w:r w:rsidRPr="00552062">
        <w:rPr>
          <w:i/>
          <w:iCs/>
          <w:sz w:val="18"/>
          <w:szCs w:val="18"/>
        </w:rPr>
        <w:t>Gaming Machine Regulations 2004</w:t>
      </w:r>
      <w:r>
        <w:rPr>
          <w:sz w:val="18"/>
          <w:szCs w:val="18"/>
        </w:rPr>
        <w:t xml:space="preserve"> (ACT).</w:t>
      </w:r>
      <w:r w:rsidRPr="00552062">
        <w:rPr>
          <w:sz w:val="18"/>
          <w:szCs w:val="18"/>
        </w:rPr>
        <w:t xml:space="preserve"> &lt;</w:t>
      </w:r>
      <w:hyperlink r:id="rId1" w:history="1">
        <w:r w:rsidRPr="00552062">
          <w:rPr>
            <w:rStyle w:val="Hyperlink"/>
            <w:sz w:val="18"/>
            <w:szCs w:val="18"/>
          </w:rPr>
          <w:t>https://www.legislation.act.gov.au/View/GetHTMLFile/es/db_13774/20040730-15656/html/db_13774.html</w:t>
        </w:r>
      </w:hyperlink>
      <w:r w:rsidRPr="00552062">
        <w:rPr>
          <w:sz w:val="18"/>
          <w:szCs w:val="18"/>
        </w:rPr>
        <w:t>&gt;.</w:t>
      </w:r>
    </w:p>
  </w:footnote>
  <w:footnote w:id="3">
    <w:p w14:paraId="54389BC1" w14:textId="77777777" w:rsidR="00BF5F5A" w:rsidRDefault="00BF5F5A" w:rsidP="00BF5F5A">
      <w:pPr>
        <w:pStyle w:val="FootnoteText"/>
      </w:pPr>
      <w:r>
        <w:rPr>
          <w:rStyle w:val="FootnoteReference"/>
        </w:rPr>
        <w:footnoteRef/>
      </w:r>
      <w:r>
        <w:t xml:space="preserve"> </w:t>
      </w:r>
      <w:r w:rsidRPr="002B5C92">
        <w:rPr>
          <w:sz w:val="18"/>
          <w:szCs w:val="18"/>
        </w:rPr>
        <w:t xml:space="preserve">Russell AMT, Browne M, Hing N, Rockloff M, Newall P, Dowling NA, Merkouris S, King DL, Stevens M, Salonen AH, Breen H, Greer N, Thorne HB, Visintin T, Rawat V, Woo L. </w:t>
      </w:r>
      <w:r w:rsidRPr="002B5C92">
        <w:rPr>
          <w:i/>
          <w:iCs/>
          <w:sz w:val="18"/>
          <w:szCs w:val="18"/>
        </w:rPr>
        <w:t xml:space="preserve">Electronic gaming machine accessibility and gambling problems: A natural policy experiment. </w:t>
      </w:r>
      <w:r w:rsidRPr="002B5C92">
        <w:rPr>
          <w:sz w:val="18"/>
          <w:szCs w:val="18"/>
        </w:rPr>
        <w:t>J Behav Addict. 2023 Aug 18;12(3):721-732. doi: 10.1556/2006.2023.00044. PMID: 37594879; PMCID: PMC10562817.</w:t>
      </w:r>
    </w:p>
  </w:footnote>
  <w:footnote w:id="4">
    <w:p w14:paraId="39363E5C" w14:textId="3D306589" w:rsidR="00DD211F" w:rsidRPr="00771665" w:rsidRDefault="00DD211F" w:rsidP="00DD211F">
      <w:pPr>
        <w:pStyle w:val="FootnoteText"/>
        <w:rPr>
          <w:i/>
          <w:iCs/>
          <w:sz w:val="18"/>
          <w:szCs w:val="18"/>
        </w:rPr>
      </w:pPr>
      <w:r w:rsidRPr="006D1042">
        <w:rPr>
          <w:rStyle w:val="FootnoteReference"/>
          <w:sz w:val="18"/>
          <w:szCs w:val="18"/>
        </w:rPr>
        <w:footnoteRef/>
      </w:r>
      <w:r w:rsidRPr="006D1042">
        <w:rPr>
          <w:sz w:val="18"/>
          <w:szCs w:val="18"/>
        </w:rPr>
        <w:t xml:space="preserve"> M Stevens and Roy Morgan Research, </w:t>
      </w:r>
      <w:r w:rsidRPr="006D1042">
        <w:rPr>
          <w:i/>
          <w:iCs/>
          <w:sz w:val="18"/>
          <w:szCs w:val="18"/>
        </w:rPr>
        <w:t>Impact of electronic gaming machine (EGM)</w:t>
      </w:r>
      <w:r w:rsidR="00771665">
        <w:rPr>
          <w:i/>
          <w:iCs/>
          <w:sz w:val="18"/>
          <w:szCs w:val="18"/>
        </w:rPr>
        <w:t xml:space="preserve"> </w:t>
      </w:r>
      <w:r w:rsidRPr="006D1042">
        <w:rPr>
          <w:i/>
          <w:iCs/>
          <w:sz w:val="18"/>
          <w:szCs w:val="18"/>
        </w:rPr>
        <w:t xml:space="preserve">late night play on EGM player behaviours </w:t>
      </w:r>
      <w:r w:rsidRPr="006D1042">
        <w:rPr>
          <w:sz w:val="18"/>
          <w:szCs w:val="18"/>
        </w:rPr>
        <w:t xml:space="preserve">(Report, Commissioned by the NSW Responsible Gambling </w:t>
      </w:r>
    </w:p>
    <w:p w14:paraId="710328CF" w14:textId="77777777" w:rsidR="00DD211F" w:rsidRPr="006D1042" w:rsidRDefault="00DD211F" w:rsidP="00DD211F">
      <w:pPr>
        <w:pStyle w:val="FootnoteText"/>
        <w:rPr>
          <w:sz w:val="18"/>
          <w:szCs w:val="18"/>
        </w:rPr>
      </w:pPr>
      <w:r w:rsidRPr="006D1042">
        <w:rPr>
          <w:sz w:val="18"/>
          <w:szCs w:val="18"/>
        </w:rPr>
        <w:t>Fund, February 2023) &lt;</w:t>
      </w:r>
      <w:hyperlink r:id="rId2" w:history="1">
        <w:r w:rsidRPr="006D1042">
          <w:rPr>
            <w:rStyle w:val="Hyperlink"/>
            <w:sz w:val="18"/>
            <w:szCs w:val="18"/>
          </w:rPr>
          <w:t>https://www.liquorandgaming.nsw.gov.au/__data/assets/pdf_file/0016/1140037/impact-of-electronic-gaming-machine-late-night-play-on-egm-player-behaviours-may-2023.pdf</w:t>
        </w:r>
      </w:hyperlink>
      <w:r w:rsidRPr="006D1042">
        <w:rPr>
          <w:sz w:val="18"/>
          <w:szCs w:val="18"/>
        </w:rPr>
        <w:t>&gt;</w:t>
      </w:r>
      <w:r>
        <w:rPr>
          <w:sz w:val="18"/>
          <w:szCs w:val="18"/>
        </w:rPr>
        <w:t>.</w:t>
      </w:r>
      <w:r w:rsidRPr="006D1042">
        <w:rPr>
          <w:sz w:val="18"/>
          <w:szCs w:val="18"/>
        </w:rPr>
        <w:t xml:space="preserve"> </w:t>
      </w:r>
    </w:p>
    <w:p w14:paraId="214181CA" w14:textId="77777777" w:rsidR="00DD211F" w:rsidRPr="006D1042" w:rsidRDefault="00DD211F" w:rsidP="00DD211F">
      <w:pPr>
        <w:pStyle w:val="FootnoteText"/>
        <w:rPr>
          <w:sz w:val="18"/>
          <w:szCs w:val="18"/>
        </w:rPr>
      </w:pPr>
      <w:r w:rsidRPr="006D1042">
        <w:rPr>
          <w:sz w:val="18"/>
          <w:szCs w:val="18"/>
        </w:rPr>
        <w:t>The broad aims of the study were to investigate the impact of EGM late-night gambling on gambling behaviours, associations with problem gambling risk and harms, and characterise the profile of those engaging in late-night play to better inform decision making and policy development. The study surveyed 625 participants and carried out statistical analyses (weighted to the age, sex, late-night worker status and problem gambling profile of the population who use EGMs).</w:t>
      </w:r>
    </w:p>
  </w:footnote>
  <w:footnote w:id="5">
    <w:p w14:paraId="691CEE22" w14:textId="77777777" w:rsidR="00DD211F" w:rsidRDefault="00DD211F" w:rsidP="00DD211F">
      <w:pPr>
        <w:pStyle w:val="FootnoteText"/>
      </w:pPr>
      <w:r w:rsidRPr="006D1042">
        <w:rPr>
          <w:rStyle w:val="FootnoteReference"/>
          <w:sz w:val="18"/>
          <w:szCs w:val="18"/>
        </w:rPr>
        <w:footnoteRef/>
      </w:r>
      <w:r w:rsidRPr="006D1042">
        <w:rPr>
          <w:sz w:val="18"/>
          <w:szCs w:val="18"/>
        </w:rPr>
        <w:t xml:space="preserve"> </w:t>
      </w:r>
      <w:r>
        <w:rPr>
          <w:sz w:val="18"/>
          <w:szCs w:val="18"/>
        </w:rPr>
        <w:t xml:space="preserve">Ibid. </w:t>
      </w:r>
    </w:p>
  </w:footnote>
  <w:footnote w:id="6">
    <w:p w14:paraId="15E880B2" w14:textId="77777777" w:rsidR="00DD211F" w:rsidRDefault="00DD211F" w:rsidP="00DD211F">
      <w:pPr>
        <w:pStyle w:val="FootnoteText"/>
      </w:pPr>
      <w:r>
        <w:rPr>
          <w:rStyle w:val="FootnoteReference"/>
        </w:rPr>
        <w:footnoteRef/>
      </w:r>
      <w:r>
        <w:t xml:space="preserve"> </w:t>
      </w:r>
      <w:r w:rsidRPr="00302BA9">
        <w:rPr>
          <w:sz w:val="18"/>
          <w:szCs w:val="18"/>
        </w:rPr>
        <w:t>Ibid 17.</w:t>
      </w:r>
    </w:p>
  </w:footnote>
  <w:footnote w:id="7">
    <w:p w14:paraId="139DE730" w14:textId="77777777" w:rsidR="00DD211F" w:rsidRDefault="00DD211F" w:rsidP="00DD211F">
      <w:pPr>
        <w:pStyle w:val="FootnoteText"/>
      </w:pPr>
      <w:r>
        <w:rPr>
          <w:rStyle w:val="FootnoteReference"/>
        </w:rPr>
        <w:footnoteRef/>
      </w:r>
      <w:r>
        <w:t xml:space="preserve"> </w:t>
      </w:r>
      <w:r w:rsidRPr="00302BA9">
        <w:rPr>
          <w:sz w:val="18"/>
          <w:szCs w:val="18"/>
        </w:rPr>
        <w:t xml:space="preserve">Ibid 17, 18. </w:t>
      </w:r>
    </w:p>
  </w:footnote>
  <w:footnote w:id="8">
    <w:p w14:paraId="2BBACA98" w14:textId="77777777" w:rsidR="00DD211F" w:rsidRDefault="00DD211F" w:rsidP="00DD211F">
      <w:pPr>
        <w:pStyle w:val="FootnoteText"/>
      </w:pPr>
      <w:r>
        <w:rPr>
          <w:rStyle w:val="FootnoteReference"/>
        </w:rPr>
        <w:footnoteRef/>
      </w:r>
      <w:r>
        <w:t xml:space="preserve"> </w:t>
      </w:r>
      <w:r w:rsidRPr="00296283">
        <w:rPr>
          <w:sz w:val="18"/>
          <w:szCs w:val="18"/>
        </w:rPr>
        <w:t xml:space="preserve">Ibid 18. </w:t>
      </w:r>
    </w:p>
  </w:footnote>
  <w:footnote w:id="9">
    <w:p w14:paraId="74AF3BA3" w14:textId="3E97A31D" w:rsidR="007C282B" w:rsidRDefault="007C282B">
      <w:pPr>
        <w:pStyle w:val="FootnoteText"/>
      </w:pPr>
      <w:r>
        <w:rPr>
          <w:rStyle w:val="FootnoteReference"/>
        </w:rPr>
        <w:footnoteRef/>
      </w:r>
      <w:r>
        <w:t xml:space="preserve"> </w:t>
      </w:r>
      <w:r w:rsidRPr="007C282B">
        <w:rPr>
          <w:sz w:val="18"/>
          <w:szCs w:val="18"/>
        </w:rPr>
        <w:t xml:space="preserve">Ibid 13. </w:t>
      </w:r>
    </w:p>
  </w:footnote>
  <w:footnote w:id="10">
    <w:p w14:paraId="37FAFEDD" w14:textId="77777777" w:rsidR="00DD211F" w:rsidRDefault="00DD211F" w:rsidP="00DD211F">
      <w:pPr>
        <w:pStyle w:val="FootnoteText"/>
      </w:pPr>
      <w:r>
        <w:rPr>
          <w:rStyle w:val="FootnoteReference"/>
        </w:rPr>
        <w:footnoteRef/>
      </w:r>
      <w:r>
        <w:t xml:space="preserve"> </w:t>
      </w:r>
      <w:r w:rsidRPr="00C259B7">
        <w:rPr>
          <w:sz w:val="18"/>
          <w:szCs w:val="18"/>
        </w:rPr>
        <w:t>Ibid 13.</w:t>
      </w:r>
    </w:p>
  </w:footnote>
  <w:footnote w:id="11">
    <w:p w14:paraId="33102F5D" w14:textId="77777777" w:rsidR="00DD211F" w:rsidRDefault="00DD211F" w:rsidP="00DD211F">
      <w:pPr>
        <w:pStyle w:val="FootnoteText"/>
      </w:pPr>
      <w:r>
        <w:rPr>
          <w:rStyle w:val="FootnoteReference"/>
        </w:rPr>
        <w:footnoteRef/>
      </w:r>
      <w:r>
        <w:t xml:space="preserve"> </w:t>
      </w:r>
      <w:r w:rsidRPr="004310AD">
        <w:rPr>
          <w:sz w:val="18"/>
          <w:szCs w:val="18"/>
        </w:rPr>
        <w:t>Ibid 68, 69.</w:t>
      </w:r>
    </w:p>
  </w:footnote>
  <w:footnote w:id="12">
    <w:p w14:paraId="30E69176" w14:textId="77777777" w:rsidR="004278A5" w:rsidRDefault="004278A5" w:rsidP="004278A5">
      <w:pPr>
        <w:pStyle w:val="FootnoteText"/>
      </w:pPr>
      <w:r>
        <w:rPr>
          <w:rStyle w:val="FootnoteReference"/>
        </w:rPr>
        <w:footnoteRef/>
      </w:r>
      <w:r>
        <w:t xml:space="preserve"> </w:t>
      </w:r>
      <w:r w:rsidRPr="005B08B6">
        <w:rPr>
          <w:sz w:val="18"/>
          <w:szCs w:val="18"/>
        </w:rPr>
        <w:t>Liquor &amp; Gaming NSW</w:t>
      </w:r>
      <w:r>
        <w:rPr>
          <w:sz w:val="18"/>
          <w:szCs w:val="18"/>
        </w:rPr>
        <w:t xml:space="preserve">, </w:t>
      </w:r>
      <w:r w:rsidRPr="0027506F">
        <w:rPr>
          <w:i/>
          <w:iCs/>
          <w:sz w:val="18"/>
          <w:szCs w:val="18"/>
        </w:rPr>
        <w:t>Review of Gaming Machine Shutdown Hours Framework</w:t>
      </w:r>
      <w:r>
        <w:rPr>
          <w:sz w:val="18"/>
          <w:szCs w:val="18"/>
        </w:rPr>
        <w:t xml:space="preserve"> (Report, August 2024) 19. </w:t>
      </w:r>
      <w:r w:rsidRPr="005B08B6">
        <w:rPr>
          <w:sz w:val="18"/>
          <w:szCs w:val="18"/>
        </w:rPr>
        <w:t>&lt;</w:t>
      </w:r>
      <w:hyperlink r:id="rId3" w:history="1">
        <w:r w:rsidRPr="005B08B6">
          <w:rPr>
            <w:rStyle w:val="Hyperlink"/>
            <w:sz w:val="18"/>
            <w:szCs w:val="18"/>
          </w:rPr>
          <w:t>https://www.liquorandgaming.nsw.gov.au/__data/assets/pdf_file/0008/1350647/review-of-gaming-machine-shutdown-hours-framework-report.pdf</w:t>
        </w:r>
      </w:hyperlink>
      <w:r w:rsidRPr="005B08B6">
        <w:rPr>
          <w:sz w:val="18"/>
          <w:szCs w:val="18"/>
        </w:rPr>
        <w:t>&gt;.</w:t>
      </w:r>
    </w:p>
  </w:footnote>
  <w:footnote w:id="13">
    <w:p w14:paraId="06188E1E" w14:textId="69EBD0BB" w:rsidR="001A4AB2" w:rsidRPr="00F7003B" w:rsidRDefault="001A4AB2">
      <w:pPr>
        <w:pStyle w:val="FootnoteText"/>
        <w:rPr>
          <w:sz w:val="18"/>
          <w:szCs w:val="18"/>
        </w:rPr>
      </w:pPr>
      <w:r w:rsidRPr="00F7003B">
        <w:rPr>
          <w:rStyle w:val="FootnoteReference"/>
          <w:sz w:val="18"/>
          <w:szCs w:val="18"/>
        </w:rPr>
        <w:footnoteRef/>
      </w:r>
      <w:r w:rsidRPr="00F7003B">
        <w:rPr>
          <w:sz w:val="18"/>
          <w:szCs w:val="18"/>
        </w:rPr>
        <w:t xml:space="preserve"> </w:t>
      </w:r>
      <w:r w:rsidR="001F3B46" w:rsidRPr="00F7003B">
        <w:rPr>
          <w:sz w:val="18"/>
          <w:szCs w:val="18"/>
        </w:rPr>
        <w:t>M</w:t>
      </w:r>
      <w:r w:rsidR="00AA579D" w:rsidRPr="00F7003B">
        <w:rPr>
          <w:sz w:val="18"/>
          <w:szCs w:val="18"/>
        </w:rPr>
        <w:t xml:space="preserve"> Browne</w:t>
      </w:r>
      <w:r w:rsidR="00AA1065">
        <w:rPr>
          <w:sz w:val="18"/>
          <w:szCs w:val="18"/>
        </w:rPr>
        <w:t xml:space="preserve"> </w:t>
      </w:r>
      <w:r w:rsidR="00AA579D" w:rsidRPr="00F7003B">
        <w:rPr>
          <w:sz w:val="18"/>
          <w:szCs w:val="18"/>
        </w:rPr>
        <w:t xml:space="preserve">et al, </w:t>
      </w:r>
      <w:r w:rsidR="00AA579D" w:rsidRPr="00F7003B">
        <w:rPr>
          <w:i/>
          <w:iCs/>
          <w:sz w:val="18"/>
          <w:szCs w:val="18"/>
        </w:rPr>
        <w:t xml:space="preserve">Assessing gambling-related harm in Victoria: A public health perspective </w:t>
      </w:r>
      <w:r w:rsidR="00AA579D" w:rsidRPr="00F7003B">
        <w:rPr>
          <w:sz w:val="18"/>
          <w:szCs w:val="18"/>
        </w:rPr>
        <w:t>(Report, Melbourne: Victorian Responsible Gambling Foundation, 2016)</w:t>
      </w:r>
      <w:r w:rsidR="004D46E2" w:rsidRPr="00F7003B">
        <w:rPr>
          <w:sz w:val="18"/>
          <w:szCs w:val="18"/>
        </w:rPr>
        <w:t xml:space="preserve"> &lt;</w:t>
      </w:r>
      <w:hyperlink r:id="rId4" w:history="1">
        <w:r w:rsidR="004D46E2" w:rsidRPr="00F7003B">
          <w:rPr>
            <w:rStyle w:val="Hyperlink"/>
            <w:sz w:val="18"/>
            <w:szCs w:val="18"/>
          </w:rPr>
          <w:t>https://responsiblegambling.vic.gov.au/resources/publications/assessing-gambling-related-harm-in-victoria-a-public-health-perspective-69/</w:t>
        </w:r>
      </w:hyperlink>
      <w:r w:rsidR="004D46E2" w:rsidRPr="00F7003B">
        <w:rPr>
          <w:sz w:val="18"/>
          <w:szCs w:val="18"/>
        </w:rPr>
        <w:t>&gt;.</w:t>
      </w:r>
    </w:p>
  </w:footnote>
  <w:footnote w:id="14">
    <w:p w14:paraId="2407B6E1" w14:textId="50F4DA9A" w:rsidR="007A7CE6" w:rsidRPr="00F7003B" w:rsidRDefault="007A7CE6">
      <w:pPr>
        <w:pStyle w:val="FootnoteText"/>
        <w:rPr>
          <w:sz w:val="18"/>
          <w:szCs w:val="18"/>
        </w:rPr>
      </w:pPr>
      <w:r w:rsidRPr="00F7003B">
        <w:rPr>
          <w:rStyle w:val="FootnoteReference"/>
          <w:sz w:val="18"/>
          <w:szCs w:val="18"/>
        </w:rPr>
        <w:footnoteRef/>
      </w:r>
      <w:r w:rsidRPr="00F7003B">
        <w:rPr>
          <w:sz w:val="18"/>
          <w:szCs w:val="18"/>
        </w:rPr>
        <w:t xml:space="preserve"> Ibid 136.</w:t>
      </w:r>
    </w:p>
  </w:footnote>
  <w:footnote w:id="15">
    <w:p w14:paraId="2D324B17" w14:textId="1FA63A44" w:rsidR="00BE174E" w:rsidRPr="00824821" w:rsidRDefault="00BE174E">
      <w:pPr>
        <w:pStyle w:val="FootnoteText"/>
        <w:rPr>
          <w:sz w:val="18"/>
          <w:szCs w:val="18"/>
        </w:rPr>
      </w:pPr>
      <w:r w:rsidRPr="00F7003B">
        <w:rPr>
          <w:rStyle w:val="FootnoteReference"/>
          <w:sz w:val="18"/>
          <w:szCs w:val="18"/>
        </w:rPr>
        <w:footnoteRef/>
      </w:r>
      <w:r w:rsidR="00D80F30" w:rsidRPr="00F7003B">
        <w:rPr>
          <w:sz w:val="18"/>
          <w:szCs w:val="18"/>
        </w:rPr>
        <w:t xml:space="preserve"> L Blank</w:t>
      </w:r>
      <w:r w:rsidR="00AA1065">
        <w:rPr>
          <w:sz w:val="18"/>
          <w:szCs w:val="18"/>
        </w:rPr>
        <w:t xml:space="preserve"> et al</w:t>
      </w:r>
      <w:r w:rsidR="00D80F30" w:rsidRPr="00F7003B">
        <w:rPr>
          <w:sz w:val="18"/>
          <w:szCs w:val="18"/>
        </w:rPr>
        <w:t>, ‘Should screening for risk of gambling-related harm be undertaken in health, care and support settings? A systematic review of the international evidence’ (Research Paper 16:35/2021, Addiction Science and Clinical Practice) &lt;doi:10.1186/s13722-021-00243-9&gt;.</w:t>
      </w:r>
    </w:p>
  </w:footnote>
  <w:footnote w:id="16">
    <w:p w14:paraId="26AB8DD2" w14:textId="77777777" w:rsidR="00F15059" w:rsidRPr="006D1042" w:rsidRDefault="00F15059" w:rsidP="00F15059">
      <w:pPr>
        <w:pStyle w:val="FootnoteText"/>
        <w:rPr>
          <w:i/>
          <w:iCs/>
          <w:sz w:val="18"/>
          <w:szCs w:val="18"/>
        </w:rPr>
      </w:pPr>
      <w:r>
        <w:rPr>
          <w:rStyle w:val="FootnoteReference"/>
        </w:rPr>
        <w:footnoteRef/>
      </w:r>
      <w:r>
        <w:t xml:space="preserve"> </w:t>
      </w:r>
      <w:r w:rsidRPr="006D1042">
        <w:rPr>
          <w:sz w:val="18"/>
          <w:szCs w:val="18"/>
        </w:rPr>
        <w:t xml:space="preserve">M Stevens and Roy Morgan Research, </w:t>
      </w:r>
      <w:r w:rsidRPr="006D1042">
        <w:rPr>
          <w:i/>
          <w:iCs/>
          <w:sz w:val="18"/>
          <w:szCs w:val="18"/>
        </w:rPr>
        <w:t xml:space="preserve">Impact of electronic gaming machine (EGM) </w:t>
      </w:r>
    </w:p>
    <w:p w14:paraId="1E6C746D" w14:textId="77777777" w:rsidR="00F15059" w:rsidRPr="006D1042" w:rsidRDefault="00F15059" w:rsidP="00F15059">
      <w:pPr>
        <w:pStyle w:val="FootnoteText"/>
        <w:rPr>
          <w:sz w:val="18"/>
          <w:szCs w:val="18"/>
        </w:rPr>
      </w:pPr>
      <w:r w:rsidRPr="006D1042">
        <w:rPr>
          <w:i/>
          <w:iCs/>
          <w:sz w:val="18"/>
          <w:szCs w:val="18"/>
        </w:rPr>
        <w:t xml:space="preserve">late night play on EGM player behaviours </w:t>
      </w:r>
      <w:r w:rsidRPr="006D1042">
        <w:rPr>
          <w:sz w:val="18"/>
          <w:szCs w:val="18"/>
        </w:rPr>
        <w:t xml:space="preserve">(Report, Commissioned by the NSW Responsible Gambling </w:t>
      </w:r>
    </w:p>
    <w:p w14:paraId="1A59F124" w14:textId="5798FBA7" w:rsidR="00F15059" w:rsidRPr="009E5EAD" w:rsidRDefault="00F15059">
      <w:pPr>
        <w:pStyle w:val="FootnoteText"/>
        <w:rPr>
          <w:sz w:val="18"/>
          <w:szCs w:val="18"/>
        </w:rPr>
      </w:pPr>
      <w:r w:rsidRPr="006D1042">
        <w:rPr>
          <w:sz w:val="18"/>
          <w:szCs w:val="18"/>
        </w:rPr>
        <w:t>Fund, February 2023) &lt;</w:t>
      </w:r>
      <w:hyperlink r:id="rId5" w:history="1">
        <w:r w:rsidRPr="006D1042">
          <w:rPr>
            <w:rStyle w:val="Hyperlink"/>
            <w:sz w:val="18"/>
            <w:szCs w:val="18"/>
          </w:rPr>
          <w:t>https://www.liquorandgaming.nsw.gov.au/__data/assets/pdf_file/0016/1140037/impact-of-electronic-gaming-machine-late-night-play-on-egm-player-behaviours-may-2023.pdf</w:t>
        </w:r>
      </w:hyperlink>
      <w:r w:rsidRPr="006D1042">
        <w:rPr>
          <w:sz w:val="18"/>
          <w:szCs w:val="18"/>
        </w:rPr>
        <w:t>&gt;</w:t>
      </w:r>
      <w:r>
        <w:rPr>
          <w:sz w:val="18"/>
          <w:szCs w:val="18"/>
        </w:rPr>
        <w:t>.</w:t>
      </w:r>
      <w:r w:rsidRPr="006D1042">
        <w:rPr>
          <w:sz w:val="18"/>
          <w:szCs w:val="18"/>
        </w:rPr>
        <w:t xml:space="preserve"> </w:t>
      </w:r>
    </w:p>
  </w:footnote>
  <w:footnote w:id="17">
    <w:p w14:paraId="2574F6BF" w14:textId="790FD2EA" w:rsidR="00AA36BC" w:rsidRDefault="00AA36BC">
      <w:pPr>
        <w:pStyle w:val="FootnoteText"/>
      </w:pPr>
      <w:r>
        <w:rPr>
          <w:rStyle w:val="FootnoteReference"/>
        </w:rPr>
        <w:footnoteRef/>
      </w:r>
      <w:r>
        <w:t xml:space="preserve"> </w:t>
      </w:r>
      <w:r w:rsidRPr="007655DC">
        <w:rPr>
          <w:sz w:val="18"/>
          <w:szCs w:val="18"/>
        </w:rPr>
        <w:t>N Greer</w:t>
      </w:r>
      <w:r w:rsidR="00AA1065">
        <w:rPr>
          <w:sz w:val="18"/>
          <w:szCs w:val="18"/>
        </w:rPr>
        <w:t xml:space="preserve"> et al</w:t>
      </w:r>
      <w:r w:rsidRPr="007655DC">
        <w:rPr>
          <w:sz w:val="18"/>
          <w:szCs w:val="18"/>
        </w:rPr>
        <w:t>, R</w:t>
      </w:r>
      <w:r w:rsidRPr="007655DC">
        <w:rPr>
          <w:i/>
          <w:iCs/>
          <w:sz w:val="18"/>
          <w:szCs w:val="18"/>
        </w:rPr>
        <w:t>egular pokies gambling in Australia, 2022</w:t>
      </w:r>
      <w:r w:rsidR="007655DC" w:rsidRPr="007655DC">
        <w:rPr>
          <w:i/>
          <w:iCs/>
          <w:sz w:val="18"/>
          <w:szCs w:val="18"/>
        </w:rPr>
        <w:t xml:space="preserve">: </w:t>
      </w:r>
      <w:r w:rsidRPr="007655DC">
        <w:rPr>
          <w:i/>
          <w:iCs/>
          <w:sz w:val="18"/>
          <w:szCs w:val="18"/>
        </w:rPr>
        <w:t>National Gambling Trends</w:t>
      </w:r>
      <w:r w:rsidR="007655DC" w:rsidRPr="007655DC">
        <w:rPr>
          <w:i/>
          <w:iCs/>
          <w:sz w:val="18"/>
          <w:szCs w:val="18"/>
        </w:rPr>
        <w:t xml:space="preserve"> </w:t>
      </w:r>
      <w:r w:rsidRPr="007655DC">
        <w:rPr>
          <w:i/>
          <w:iCs/>
          <w:sz w:val="18"/>
          <w:szCs w:val="18"/>
        </w:rPr>
        <w:t>Study</w:t>
      </w:r>
      <w:r w:rsidRPr="007655DC">
        <w:rPr>
          <w:sz w:val="18"/>
          <w:szCs w:val="18"/>
        </w:rPr>
        <w:t xml:space="preserve"> </w:t>
      </w:r>
      <w:r w:rsidR="007655DC">
        <w:rPr>
          <w:sz w:val="18"/>
          <w:szCs w:val="18"/>
        </w:rPr>
        <w:t>(Report, Australian Gambling Research Centre, Australian Institute of Family Studies, 2023) &lt;ISBN:</w:t>
      </w:r>
      <w:r w:rsidR="007655DC" w:rsidRPr="007655DC">
        <w:rPr>
          <w:sz w:val="18"/>
          <w:szCs w:val="18"/>
        </w:rPr>
        <w:t>978-1-76016-297-9</w:t>
      </w:r>
      <w:r w:rsidR="007655DC">
        <w:rPr>
          <w:sz w:val="18"/>
          <w:szCs w:val="18"/>
        </w:rPr>
        <w:t>&gt;.</w:t>
      </w:r>
    </w:p>
  </w:footnote>
  <w:footnote w:id="18">
    <w:p w14:paraId="2E319522" w14:textId="6DF007A5" w:rsidR="00E57BAD" w:rsidRDefault="00E57BAD">
      <w:pPr>
        <w:pStyle w:val="FootnoteText"/>
      </w:pPr>
      <w:r>
        <w:rPr>
          <w:rStyle w:val="FootnoteReference"/>
        </w:rPr>
        <w:footnoteRef/>
      </w:r>
      <w:r>
        <w:t xml:space="preserve"> </w:t>
      </w:r>
      <w:r w:rsidR="00D63A5D" w:rsidRPr="00E01E45">
        <w:rPr>
          <w:sz w:val="18"/>
          <w:szCs w:val="18"/>
        </w:rPr>
        <w:t>T Davidson</w:t>
      </w:r>
      <w:r w:rsidR="00AA1065">
        <w:rPr>
          <w:sz w:val="18"/>
          <w:szCs w:val="18"/>
        </w:rPr>
        <w:t xml:space="preserve"> et al</w:t>
      </w:r>
      <w:r w:rsidR="00D63A5D" w:rsidRPr="00E01E45">
        <w:rPr>
          <w:sz w:val="18"/>
          <w:szCs w:val="18"/>
        </w:rPr>
        <w:t>, Gambling Expenditure in the ACT (2014): By level of problem gambling, type of activity, and socioeconomic and demographic characteristics, (Report, Commission by the ACT Gambling and Racing Commission, June 2026) 27</w:t>
      </w:r>
      <w:r w:rsidR="00E01E45">
        <w:rPr>
          <w:sz w:val="18"/>
          <w:szCs w:val="18"/>
        </w:rPr>
        <w:t>-</w:t>
      </w:r>
      <w:r w:rsidR="00D63A5D" w:rsidRPr="00E01E45">
        <w:rPr>
          <w:sz w:val="18"/>
          <w:szCs w:val="18"/>
        </w:rPr>
        <w:t>28</w:t>
      </w:r>
      <w:r w:rsidR="00E01E45" w:rsidRPr="00E01E45">
        <w:rPr>
          <w:sz w:val="18"/>
          <w:szCs w:val="18"/>
        </w:rPr>
        <w:t xml:space="preserve"> &lt;</w:t>
      </w:r>
      <w:r w:rsidR="00E01E45" w:rsidRPr="00E01E45">
        <w:rPr>
          <w:szCs w:val="18"/>
        </w:rPr>
        <w:t xml:space="preserve"> </w:t>
      </w:r>
      <w:hyperlink r:id="rId6" w:history="1">
        <w:r w:rsidR="00E01E45">
          <w:rPr>
            <w:rStyle w:val="Hyperlink"/>
            <w:sz w:val="18"/>
            <w:szCs w:val="18"/>
          </w:rPr>
          <w:t>https://www.gamblingandracing.act.gov.au/__data/assets/pdf_file/0010/982774/2014-Gambling-Expenditure.pdf</w:t>
        </w:r>
      </w:hyperlink>
      <w:r w:rsidR="00E01E45" w:rsidRPr="00E01E45">
        <w:rPr>
          <w:sz w:val="18"/>
          <w:szCs w:val="18"/>
        </w:rPr>
        <w:t xml:space="preserve">&gt; </w:t>
      </w:r>
    </w:p>
  </w:footnote>
  <w:footnote w:id="19">
    <w:p w14:paraId="6E7C55D3" w14:textId="0F23E119" w:rsidR="00F7003B" w:rsidRDefault="00F7003B">
      <w:pPr>
        <w:pStyle w:val="FootnoteText"/>
      </w:pPr>
      <w:r>
        <w:rPr>
          <w:rStyle w:val="FootnoteReference"/>
        </w:rPr>
        <w:footnoteRef/>
      </w:r>
      <w:r>
        <w:t xml:space="preserve"> </w:t>
      </w:r>
      <w:r w:rsidRPr="00F7003B">
        <w:rPr>
          <w:sz w:val="18"/>
          <w:szCs w:val="18"/>
        </w:rPr>
        <w:t>Ibid 28.</w:t>
      </w:r>
    </w:p>
  </w:footnote>
  <w:footnote w:id="20">
    <w:p w14:paraId="1A795CAD" w14:textId="690B35BF" w:rsidR="00D6150A" w:rsidRDefault="00D6150A">
      <w:pPr>
        <w:pStyle w:val="FootnoteText"/>
      </w:pPr>
      <w:r>
        <w:rPr>
          <w:rStyle w:val="FootnoteReference"/>
        </w:rPr>
        <w:footnoteRef/>
      </w:r>
      <w:r>
        <w:t xml:space="preserve"> </w:t>
      </w:r>
      <w:r w:rsidRPr="005B08B6">
        <w:rPr>
          <w:sz w:val="18"/>
          <w:szCs w:val="18"/>
        </w:rPr>
        <w:t>Liquor &amp; Gaming NSW</w:t>
      </w:r>
      <w:r>
        <w:rPr>
          <w:sz w:val="18"/>
          <w:szCs w:val="18"/>
        </w:rPr>
        <w:t xml:space="preserve">, </w:t>
      </w:r>
      <w:r w:rsidRPr="0027506F">
        <w:rPr>
          <w:i/>
          <w:iCs/>
          <w:sz w:val="18"/>
          <w:szCs w:val="18"/>
        </w:rPr>
        <w:t>Review of Gaming Machine Shutdown Hours Framework</w:t>
      </w:r>
      <w:r>
        <w:rPr>
          <w:sz w:val="18"/>
          <w:szCs w:val="18"/>
        </w:rPr>
        <w:t xml:space="preserve"> (Report, August 2024) 15. </w:t>
      </w:r>
      <w:r w:rsidRPr="005B08B6">
        <w:rPr>
          <w:sz w:val="18"/>
          <w:szCs w:val="18"/>
        </w:rPr>
        <w:t>&lt;</w:t>
      </w:r>
      <w:hyperlink r:id="rId7" w:history="1">
        <w:r w:rsidRPr="005B08B6">
          <w:rPr>
            <w:rStyle w:val="Hyperlink"/>
            <w:sz w:val="18"/>
            <w:szCs w:val="18"/>
          </w:rPr>
          <w:t>https://www.liquorandgaming.nsw.gov.au/__data/assets/pdf_file/0008/1350647/review-of-gaming-machine-shutdown-hours-framework-report.pdf</w:t>
        </w:r>
      </w:hyperlink>
      <w:r w:rsidRPr="005B08B6">
        <w:rPr>
          <w:sz w:val="18"/>
          <w:szCs w:val="18"/>
        </w:rPr>
        <w:t>&gt;.</w:t>
      </w:r>
    </w:p>
  </w:footnote>
  <w:footnote w:id="21">
    <w:p w14:paraId="705CC2F3" w14:textId="0CB46E34" w:rsidR="00D6150A" w:rsidRDefault="00D6150A">
      <w:pPr>
        <w:pStyle w:val="FootnoteText"/>
      </w:pPr>
      <w:r>
        <w:rPr>
          <w:rStyle w:val="FootnoteReference"/>
        </w:rPr>
        <w:footnoteRef/>
      </w:r>
      <w:r>
        <w:t xml:space="preserve"> </w:t>
      </w:r>
      <w:r w:rsidRPr="00D6150A">
        <w:rPr>
          <w:sz w:val="18"/>
          <w:szCs w:val="18"/>
        </w:rPr>
        <w:t>Ibid.</w:t>
      </w:r>
    </w:p>
  </w:footnote>
  <w:footnote w:id="22">
    <w:p w14:paraId="3E91E374" w14:textId="3898FCC6" w:rsidR="00515BCC" w:rsidRDefault="00515BCC">
      <w:pPr>
        <w:pStyle w:val="FootnoteText"/>
      </w:pPr>
      <w:r>
        <w:rPr>
          <w:rStyle w:val="FootnoteReference"/>
        </w:rPr>
        <w:footnoteRef/>
      </w:r>
      <w:r>
        <w:t xml:space="preserve"> </w:t>
      </w:r>
      <w:bookmarkStart w:id="23" w:name="_Hlk191972470"/>
      <w:r>
        <w:rPr>
          <w:sz w:val="18"/>
          <w:szCs w:val="18"/>
        </w:rPr>
        <w:t xml:space="preserve">J McMillen and S Pitt, </w:t>
      </w:r>
      <w:r w:rsidRPr="0027506F">
        <w:rPr>
          <w:i/>
          <w:iCs/>
          <w:sz w:val="18"/>
          <w:szCs w:val="18"/>
        </w:rPr>
        <w:t>Review of the ACT’s Government’s Harm Minimisation Measures</w:t>
      </w:r>
      <w:r>
        <w:rPr>
          <w:sz w:val="18"/>
          <w:szCs w:val="18"/>
        </w:rPr>
        <w:t xml:space="preserve"> (Report, ANU Centre for Gambling Research, </w:t>
      </w:r>
      <w:r w:rsidRPr="005B08B6">
        <w:rPr>
          <w:sz w:val="18"/>
          <w:szCs w:val="18"/>
        </w:rPr>
        <w:t>Commissioned by the ACT Gambling and Racing Commission</w:t>
      </w:r>
      <w:r>
        <w:rPr>
          <w:sz w:val="18"/>
          <w:szCs w:val="18"/>
        </w:rPr>
        <w:t xml:space="preserve">, March 2005) </w:t>
      </w:r>
      <w:r w:rsidRPr="005B08B6">
        <w:rPr>
          <w:sz w:val="18"/>
          <w:szCs w:val="18"/>
        </w:rPr>
        <w:t>&lt;</w:t>
      </w:r>
      <w:hyperlink r:id="rId8" w:history="1">
        <w:r w:rsidRPr="005B08B6">
          <w:rPr>
            <w:rStyle w:val="Hyperlink"/>
            <w:sz w:val="18"/>
            <w:szCs w:val="18"/>
          </w:rPr>
          <w:t>https://www.gamblingandracing.act.gov.au/__data/assets/pdf_file/0003/745059/Review-of-the-ACT-Governments-Harm-Minimisation-Measures.pdf</w:t>
        </w:r>
      </w:hyperlink>
      <w:r w:rsidRPr="005B08B6">
        <w:rPr>
          <w:sz w:val="18"/>
          <w:szCs w:val="18"/>
        </w:rPr>
        <w:t>&gt;.</w:t>
      </w:r>
      <w:bookmarkEnd w:id="23"/>
    </w:p>
  </w:footnote>
  <w:footnote w:id="23">
    <w:p w14:paraId="3C71EAC1" w14:textId="0BF40218" w:rsidR="00515BCC" w:rsidRDefault="00515BCC">
      <w:pPr>
        <w:pStyle w:val="FootnoteText"/>
      </w:pPr>
      <w:r>
        <w:rPr>
          <w:rStyle w:val="FootnoteReference"/>
        </w:rPr>
        <w:footnoteRef/>
      </w:r>
      <w:r>
        <w:t xml:space="preserve"> Ibid 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09AF" w14:textId="5FCD792B" w:rsidR="00E61BB1" w:rsidRDefault="002965D9">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7728;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85BD" w14:textId="77777777" w:rsidR="0085223F" w:rsidRDefault="00852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E2F" w14:textId="52AB0808" w:rsidR="00937A95" w:rsidRDefault="00F91C4B">
    <w:pPr>
      <w:pStyle w:val="Header"/>
    </w:pPr>
    <w:r>
      <w:rPr>
        <w:noProof/>
      </w:rPr>
      <w:drawing>
        <wp:anchor distT="0" distB="0" distL="114300" distR="114300" simplePos="0" relativeHeight="251656704" behindDoc="1" locked="0" layoutInCell="1" allowOverlap="1" wp14:anchorId="065FEE75" wp14:editId="56940BF3">
          <wp:simplePos x="0" y="0"/>
          <wp:positionH relativeFrom="column">
            <wp:posOffset>-710565</wp:posOffset>
          </wp:positionH>
          <wp:positionV relativeFrom="paragraph">
            <wp:posOffset>-350520</wp:posOffset>
          </wp:positionV>
          <wp:extent cx="7543800" cy="10001250"/>
          <wp:effectExtent l="0" t="0" r="0" b="0"/>
          <wp:wrapNone/>
          <wp:docPr id="260917436" name="Picture 2609174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7543800" cy="10001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485"/>
    <w:multiLevelType w:val="hybridMultilevel"/>
    <w:tmpl w:val="906AAF0A"/>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 w15:restartNumberingAfterBreak="0">
    <w:nsid w:val="02576E9E"/>
    <w:multiLevelType w:val="multilevel"/>
    <w:tmpl w:val="402E7EF2"/>
    <w:numStyleLink w:val="AppendixNumbers"/>
  </w:abstractNum>
  <w:abstractNum w:abstractNumId="2"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B422E1"/>
    <w:multiLevelType w:val="multilevel"/>
    <w:tmpl w:val="B70A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005B84"/>
    <w:multiLevelType w:val="hybridMultilevel"/>
    <w:tmpl w:val="93025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8"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0E5E40"/>
    <w:multiLevelType w:val="hybridMultilevel"/>
    <w:tmpl w:val="2A929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220580"/>
    <w:multiLevelType w:val="hybridMultilevel"/>
    <w:tmpl w:val="78282382"/>
    <w:lvl w:ilvl="0" w:tplc="0C090003">
      <w:start w:val="1"/>
      <w:numFmt w:val="bullet"/>
      <w:lvlText w:val="o"/>
      <w:lvlJc w:val="left"/>
      <w:pPr>
        <w:ind w:left="1636" w:hanging="360"/>
      </w:pPr>
      <w:rPr>
        <w:rFonts w:ascii="Courier New" w:hAnsi="Courier New" w:cs="Courier New" w:hint="default"/>
      </w:rPr>
    </w:lvl>
    <w:lvl w:ilvl="1" w:tplc="0C090003" w:tentative="1">
      <w:start w:val="1"/>
      <w:numFmt w:val="bullet"/>
      <w:lvlText w:val="o"/>
      <w:lvlJc w:val="left"/>
      <w:pPr>
        <w:ind w:left="2356" w:hanging="360"/>
      </w:pPr>
      <w:rPr>
        <w:rFonts w:ascii="Courier New" w:hAnsi="Courier New" w:cs="Courier New" w:hint="default"/>
      </w:rPr>
    </w:lvl>
    <w:lvl w:ilvl="2" w:tplc="0C090005" w:tentative="1">
      <w:start w:val="1"/>
      <w:numFmt w:val="bullet"/>
      <w:lvlText w:val=""/>
      <w:lvlJc w:val="left"/>
      <w:pPr>
        <w:ind w:left="3076" w:hanging="360"/>
      </w:pPr>
      <w:rPr>
        <w:rFonts w:ascii="Wingdings" w:hAnsi="Wingdings" w:hint="default"/>
      </w:rPr>
    </w:lvl>
    <w:lvl w:ilvl="3" w:tplc="0C090001" w:tentative="1">
      <w:start w:val="1"/>
      <w:numFmt w:val="bullet"/>
      <w:lvlText w:val=""/>
      <w:lvlJc w:val="left"/>
      <w:pPr>
        <w:ind w:left="3796" w:hanging="360"/>
      </w:pPr>
      <w:rPr>
        <w:rFonts w:ascii="Symbol" w:hAnsi="Symbol" w:hint="default"/>
      </w:rPr>
    </w:lvl>
    <w:lvl w:ilvl="4" w:tplc="0C090003" w:tentative="1">
      <w:start w:val="1"/>
      <w:numFmt w:val="bullet"/>
      <w:lvlText w:val="o"/>
      <w:lvlJc w:val="left"/>
      <w:pPr>
        <w:ind w:left="4516" w:hanging="360"/>
      </w:pPr>
      <w:rPr>
        <w:rFonts w:ascii="Courier New" w:hAnsi="Courier New" w:cs="Courier New" w:hint="default"/>
      </w:rPr>
    </w:lvl>
    <w:lvl w:ilvl="5" w:tplc="0C090005" w:tentative="1">
      <w:start w:val="1"/>
      <w:numFmt w:val="bullet"/>
      <w:lvlText w:val=""/>
      <w:lvlJc w:val="left"/>
      <w:pPr>
        <w:ind w:left="5236" w:hanging="360"/>
      </w:pPr>
      <w:rPr>
        <w:rFonts w:ascii="Wingdings" w:hAnsi="Wingdings" w:hint="default"/>
      </w:rPr>
    </w:lvl>
    <w:lvl w:ilvl="6" w:tplc="0C090001" w:tentative="1">
      <w:start w:val="1"/>
      <w:numFmt w:val="bullet"/>
      <w:lvlText w:val=""/>
      <w:lvlJc w:val="left"/>
      <w:pPr>
        <w:ind w:left="5956" w:hanging="360"/>
      </w:pPr>
      <w:rPr>
        <w:rFonts w:ascii="Symbol" w:hAnsi="Symbol" w:hint="default"/>
      </w:rPr>
    </w:lvl>
    <w:lvl w:ilvl="7" w:tplc="0C090003" w:tentative="1">
      <w:start w:val="1"/>
      <w:numFmt w:val="bullet"/>
      <w:lvlText w:val="o"/>
      <w:lvlJc w:val="left"/>
      <w:pPr>
        <w:ind w:left="6676" w:hanging="360"/>
      </w:pPr>
      <w:rPr>
        <w:rFonts w:ascii="Courier New" w:hAnsi="Courier New" w:cs="Courier New" w:hint="default"/>
      </w:rPr>
    </w:lvl>
    <w:lvl w:ilvl="8" w:tplc="0C090005" w:tentative="1">
      <w:start w:val="1"/>
      <w:numFmt w:val="bullet"/>
      <w:lvlText w:val=""/>
      <w:lvlJc w:val="left"/>
      <w:pPr>
        <w:ind w:left="7396" w:hanging="360"/>
      </w:pPr>
      <w:rPr>
        <w:rFonts w:ascii="Wingdings" w:hAnsi="Wingdings" w:hint="default"/>
      </w:rPr>
    </w:lvl>
  </w:abstractNum>
  <w:abstractNum w:abstractNumId="12"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7" w15:restartNumberingAfterBreak="0">
    <w:nsid w:val="31751DA8"/>
    <w:multiLevelType w:val="hybridMultilevel"/>
    <w:tmpl w:val="E788D2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9"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1"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4" w15:restartNumberingAfterBreak="0">
    <w:nsid w:val="4F8C73CF"/>
    <w:multiLevelType w:val="multilevel"/>
    <w:tmpl w:val="97A0454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50517343"/>
    <w:multiLevelType w:val="multilevel"/>
    <w:tmpl w:val="131EEC6C"/>
    <w:numStyleLink w:val="TableNumbers"/>
  </w:abstractNum>
  <w:abstractNum w:abstractNumId="26" w15:restartNumberingAfterBreak="0">
    <w:nsid w:val="50E12008"/>
    <w:multiLevelType w:val="multilevel"/>
    <w:tmpl w:val="57D26A18"/>
    <w:numStyleLink w:val="KCBullets"/>
  </w:abstractNum>
  <w:abstractNum w:abstractNumId="27"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4657C25"/>
    <w:multiLevelType w:val="hybridMultilevel"/>
    <w:tmpl w:val="F8E40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63048B"/>
    <w:multiLevelType w:val="multilevel"/>
    <w:tmpl w:val="C284D0B0"/>
    <w:numStyleLink w:val="FigureNumbers"/>
  </w:abstractNum>
  <w:abstractNum w:abstractNumId="33"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4"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AA718B"/>
    <w:multiLevelType w:val="multilevel"/>
    <w:tmpl w:val="97A0454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60115B"/>
    <w:multiLevelType w:val="hybridMultilevel"/>
    <w:tmpl w:val="8E329C16"/>
    <w:lvl w:ilvl="0" w:tplc="48543536">
      <w:numFmt w:val="bullet"/>
      <w:lvlText w:val="•"/>
      <w:lvlJc w:val="left"/>
      <w:pPr>
        <w:ind w:left="360" w:hanging="360"/>
      </w:pPr>
      <w:rPr>
        <w:rFonts w:ascii="Calibri" w:eastAsiaTheme="minorHAnsi" w:hAnsi="Calibri" w:cs="Calibri" w:hint="default"/>
        <w:color w:val="auto"/>
      </w:rPr>
    </w:lvl>
    <w:lvl w:ilvl="1" w:tplc="5B1E1AF8">
      <w:start w:val="1"/>
      <w:numFmt w:val="bullet"/>
      <w:lvlText w:val="o"/>
      <w:lvlJc w:val="left"/>
      <w:pPr>
        <w:ind w:left="1681" w:hanging="360"/>
      </w:pPr>
      <w:rPr>
        <w:rFonts w:ascii="Courier New" w:hAnsi="Courier New" w:cs="Courier New" w:hint="default"/>
        <w:color w:val="595959" w:themeColor="text1" w:themeTint="A6"/>
        <w:sz w:val="18"/>
        <w:szCs w:val="18"/>
      </w:rPr>
    </w:lvl>
    <w:lvl w:ilvl="2" w:tplc="0C090005">
      <w:start w:val="1"/>
      <w:numFmt w:val="bullet"/>
      <w:lvlText w:val=""/>
      <w:lvlJc w:val="left"/>
      <w:pPr>
        <w:ind w:left="2401" w:hanging="360"/>
      </w:pPr>
      <w:rPr>
        <w:rFonts w:ascii="Wingdings" w:hAnsi="Wingdings" w:hint="default"/>
      </w:rPr>
    </w:lvl>
    <w:lvl w:ilvl="3" w:tplc="0C090001" w:tentative="1">
      <w:start w:val="1"/>
      <w:numFmt w:val="bullet"/>
      <w:lvlText w:val=""/>
      <w:lvlJc w:val="left"/>
      <w:pPr>
        <w:ind w:left="3121" w:hanging="360"/>
      </w:pPr>
      <w:rPr>
        <w:rFonts w:ascii="Symbol" w:hAnsi="Symbol" w:hint="default"/>
      </w:rPr>
    </w:lvl>
    <w:lvl w:ilvl="4" w:tplc="0C090003" w:tentative="1">
      <w:start w:val="1"/>
      <w:numFmt w:val="bullet"/>
      <w:lvlText w:val="o"/>
      <w:lvlJc w:val="left"/>
      <w:pPr>
        <w:ind w:left="3841" w:hanging="360"/>
      </w:pPr>
      <w:rPr>
        <w:rFonts w:ascii="Courier New" w:hAnsi="Courier New" w:cs="Courier New" w:hint="default"/>
      </w:rPr>
    </w:lvl>
    <w:lvl w:ilvl="5" w:tplc="0C090005" w:tentative="1">
      <w:start w:val="1"/>
      <w:numFmt w:val="bullet"/>
      <w:lvlText w:val=""/>
      <w:lvlJc w:val="left"/>
      <w:pPr>
        <w:ind w:left="4561" w:hanging="360"/>
      </w:pPr>
      <w:rPr>
        <w:rFonts w:ascii="Wingdings" w:hAnsi="Wingdings" w:hint="default"/>
      </w:rPr>
    </w:lvl>
    <w:lvl w:ilvl="6" w:tplc="0C090001" w:tentative="1">
      <w:start w:val="1"/>
      <w:numFmt w:val="bullet"/>
      <w:lvlText w:val=""/>
      <w:lvlJc w:val="left"/>
      <w:pPr>
        <w:ind w:left="5281" w:hanging="360"/>
      </w:pPr>
      <w:rPr>
        <w:rFonts w:ascii="Symbol" w:hAnsi="Symbol" w:hint="default"/>
      </w:rPr>
    </w:lvl>
    <w:lvl w:ilvl="7" w:tplc="0C090003" w:tentative="1">
      <w:start w:val="1"/>
      <w:numFmt w:val="bullet"/>
      <w:lvlText w:val="o"/>
      <w:lvlJc w:val="left"/>
      <w:pPr>
        <w:ind w:left="6001" w:hanging="360"/>
      </w:pPr>
      <w:rPr>
        <w:rFonts w:ascii="Courier New" w:hAnsi="Courier New" w:cs="Courier New" w:hint="default"/>
      </w:rPr>
    </w:lvl>
    <w:lvl w:ilvl="8" w:tplc="0C090005" w:tentative="1">
      <w:start w:val="1"/>
      <w:numFmt w:val="bullet"/>
      <w:lvlText w:val=""/>
      <w:lvlJc w:val="left"/>
      <w:pPr>
        <w:ind w:left="6721" w:hanging="360"/>
      </w:pPr>
      <w:rPr>
        <w:rFonts w:ascii="Wingdings" w:hAnsi="Wingdings" w:hint="default"/>
      </w:rPr>
    </w:lvl>
  </w:abstractNum>
  <w:abstractNum w:abstractNumId="38"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84B63D4"/>
    <w:multiLevelType w:val="hybridMultilevel"/>
    <w:tmpl w:val="F3C8D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8AF3E1E"/>
    <w:multiLevelType w:val="hybridMultilevel"/>
    <w:tmpl w:val="E788D2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BFE30DB"/>
    <w:multiLevelType w:val="multilevel"/>
    <w:tmpl w:val="F918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44C4C45"/>
    <w:multiLevelType w:val="hybridMultilevel"/>
    <w:tmpl w:val="51FCA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90B67C4"/>
    <w:multiLevelType w:val="multilevel"/>
    <w:tmpl w:val="FE688822"/>
    <w:numStyleLink w:val="BoxedBullets"/>
  </w:abstractNum>
  <w:abstractNum w:abstractNumId="46"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24668679">
    <w:abstractNumId w:val="38"/>
  </w:num>
  <w:num w:numId="2" w16cid:durableId="32654751">
    <w:abstractNumId w:val="33"/>
  </w:num>
  <w:num w:numId="3" w16cid:durableId="979111286">
    <w:abstractNumId w:val="15"/>
  </w:num>
  <w:num w:numId="4" w16cid:durableId="624122357">
    <w:abstractNumId w:val="21"/>
  </w:num>
  <w:num w:numId="5" w16cid:durableId="1305547621">
    <w:abstractNumId w:val="28"/>
  </w:num>
  <w:num w:numId="6" w16cid:durableId="941953301">
    <w:abstractNumId w:val="44"/>
  </w:num>
  <w:num w:numId="7" w16cid:durableId="483199948">
    <w:abstractNumId w:val="46"/>
  </w:num>
  <w:num w:numId="8" w16cid:durableId="1158498186">
    <w:abstractNumId w:val="42"/>
  </w:num>
  <w:num w:numId="9" w16cid:durableId="1532960818">
    <w:abstractNumId w:val="47"/>
  </w:num>
  <w:num w:numId="10" w16cid:durableId="552470070">
    <w:abstractNumId w:val="6"/>
  </w:num>
  <w:num w:numId="11" w16cid:durableId="611396820">
    <w:abstractNumId w:val="26"/>
  </w:num>
  <w:num w:numId="12" w16cid:durableId="404570024">
    <w:abstractNumId w:val="22"/>
  </w:num>
  <w:num w:numId="13" w16cid:durableId="1146051722">
    <w:abstractNumId w:val="19"/>
  </w:num>
  <w:num w:numId="14" w16cid:durableId="1241332359">
    <w:abstractNumId w:val="45"/>
  </w:num>
  <w:num w:numId="15" w16cid:durableId="1911385974">
    <w:abstractNumId w:val="20"/>
  </w:num>
  <w:num w:numId="16" w16cid:durableId="1516848563">
    <w:abstractNumId w:val="8"/>
  </w:num>
  <w:num w:numId="17" w16cid:durableId="1699962891">
    <w:abstractNumId w:val="4"/>
  </w:num>
  <w:num w:numId="18" w16cid:durableId="147866753">
    <w:abstractNumId w:val="27"/>
  </w:num>
  <w:num w:numId="19" w16cid:durableId="1466852107">
    <w:abstractNumId w:val="14"/>
  </w:num>
  <w:num w:numId="20" w16cid:durableId="1419139231">
    <w:abstractNumId w:val="2"/>
  </w:num>
  <w:num w:numId="21" w16cid:durableId="691340400">
    <w:abstractNumId w:val="34"/>
  </w:num>
  <w:num w:numId="22" w16cid:durableId="146287623">
    <w:abstractNumId w:val="9"/>
  </w:num>
  <w:num w:numId="23" w16cid:durableId="456097330">
    <w:abstractNumId w:val="32"/>
  </w:num>
  <w:num w:numId="24" w16cid:durableId="1181697863">
    <w:abstractNumId w:val="16"/>
  </w:num>
  <w:num w:numId="25" w16cid:durableId="1943611697">
    <w:abstractNumId w:val="7"/>
  </w:num>
  <w:num w:numId="26" w16cid:durableId="222719881">
    <w:abstractNumId w:val="18"/>
  </w:num>
  <w:num w:numId="27" w16cid:durableId="1180238210">
    <w:abstractNumId w:val="13"/>
  </w:num>
  <w:num w:numId="28" w16cid:durableId="594635628">
    <w:abstractNumId w:val="23"/>
  </w:num>
  <w:num w:numId="29" w16cid:durableId="540555259">
    <w:abstractNumId w:val="36"/>
  </w:num>
  <w:num w:numId="30" w16cid:durableId="1135489105">
    <w:abstractNumId w:val="30"/>
  </w:num>
  <w:num w:numId="31" w16cid:durableId="557402120">
    <w:abstractNumId w:val="12"/>
  </w:num>
  <w:num w:numId="32" w16cid:durableId="2081054892">
    <w:abstractNumId w:val="25"/>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1"/>
  </w:num>
  <w:num w:numId="34" w16cid:durableId="647906734">
    <w:abstractNumId w:val="29"/>
  </w:num>
  <w:num w:numId="35" w16cid:durableId="1475827560">
    <w:abstractNumId w:val="0"/>
  </w:num>
  <w:num w:numId="36" w16cid:durableId="59838612">
    <w:abstractNumId w:val="11"/>
  </w:num>
  <w:num w:numId="37" w16cid:durableId="695273575">
    <w:abstractNumId w:val="24"/>
  </w:num>
  <w:num w:numId="38" w16cid:durableId="1214394030">
    <w:abstractNumId w:val="40"/>
  </w:num>
  <w:num w:numId="39" w16cid:durableId="1588927356">
    <w:abstractNumId w:val="10"/>
  </w:num>
  <w:num w:numId="40" w16cid:durableId="1751730716">
    <w:abstractNumId w:val="39"/>
  </w:num>
  <w:num w:numId="41" w16cid:durableId="1106316171">
    <w:abstractNumId w:val="43"/>
  </w:num>
  <w:num w:numId="42" w16cid:durableId="1958641100">
    <w:abstractNumId w:val="31"/>
  </w:num>
  <w:num w:numId="43" w16cid:durableId="2003002870">
    <w:abstractNumId w:val="3"/>
  </w:num>
  <w:num w:numId="44" w16cid:durableId="918709197">
    <w:abstractNumId w:val="35"/>
  </w:num>
  <w:num w:numId="45" w16cid:durableId="1038777789">
    <w:abstractNumId w:val="37"/>
  </w:num>
  <w:num w:numId="46" w16cid:durableId="2092119515">
    <w:abstractNumId w:val="17"/>
  </w:num>
  <w:num w:numId="47" w16cid:durableId="1019235829">
    <w:abstractNumId w:val="5"/>
  </w:num>
  <w:num w:numId="48" w16cid:durableId="68767886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067A6"/>
    <w:rsid w:val="0001033F"/>
    <w:rsid w:val="00011180"/>
    <w:rsid w:val="00014723"/>
    <w:rsid w:val="000148A1"/>
    <w:rsid w:val="000166E2"/>
    <w:rsid w:val="00020A78"/>
    <w:rsid w:val="00021404"/>
    <w:rsid w:val="00024DB8"/>
    <w:rsid w:val="00030646"/>
    <w:rsid w:val="00030F0F"/>
    <w:rsid w:val="00033095"/>
    <w:rsid w:val="00033B8B"/>
    <w:rsid w:val="00034451"/>
    <w:rsid w:val="000372FB"/>
    <w:rsid w:val="00040667"/>
    <w:rsid w:val="000409CC"/>
    <w:rsid w:val="00041229"/>
    <w:rsid w:val="0004195E"/>
    <w:rsid w:val="00041F2C"/>
    <w:rsid w:val="00042315"/>
    <w:rsid w:val="0004541D"/>
    <w:rsid w:val="000459F7"/>
    <w:rsid w:val="00045FEE"/>
    <w:rsid w:val="000468A5"/>
    <w:rsid w:val="00046C7E"/>
    <w:rsid w:val="00047A2F"/>
    <w:rsid w:val="0005202D"/>
    <w:rsid w:val="00052CE2"/>
    <w:rsid w:val="0005427C"/>
    <w:rsid w:val="000565C9"/>
    <w:rsid w:val="00060626"/>
    <w:rsid w:val="00060883"/>
    <w:rsid w:val="00061209"/>
    <w:rsid w:val="00061CB7"/>
    <w:rsid w:val="00062FC3"/>
    <w:rsid w:val="00063F53"/>
    <w:rsid w:val="00067AB9"/>
    <w:rsid w:val="00067E3F"/>
    <w:rsid w:val="00067F06"/>
    <w:rsid w:val="00070137"/>
    <w:rsid w:val="00070B47"/>
    <w:rsid w:val="00070C45"/>
    <w:rsid w:val="000772E8"/>
    <w:rsid w:val="00080696"/>
    <w:rsid w:val="00080A08"/>
    <w:rsid w:val="000815FE"/>
    <w:rsid w:val="000824A1"/>
    <w:rsid w:val="00083026"/>
    <w:rsid w:val="00084C58"/>
    <w:rsid w:val="00085C4E"/>
    <w:rsid w:val="00086EE0"/>
    <w:rsid w:val="000923C8"/>
    <w:rsid w:val="00093948"/>
    <w:rsid w:val="000945E9"/>
    <w:rsid w:val="000945FC"/>
    <w:rsid w:val="000977F2"/>
    <w:rsid w:val="000A1179"/>
    <w:rsid w:val="000A2753"/>
    <w:rsid w:val="000A31F3"/>
    <w:rsid w:val="000A5858"/>
    <w:rsid w:val="000A5BAE"/>
    <w:rsid w:val="000A6EBF"/>
    <w:rsid w:val="000A6F7E"/>
    <w:rsid w:val="000A7320"/>
    <w:rsid w:val="000B170B"/>
    <w:rsid w:val="000B192F"/>
    <w:rsid w:val="000B357A"/>
    <w:rsid w:val="000B416C"/>
    <w:rsid w:val="000B582A"/>
    <w:rsid w:val="000B5A89"/>
    <w:rsid w:val="000C124F"/>
    <w:rsid w:val="000C439D"/>
    <w:rsid w:val="000C6307"/>
    <w:rsid w:val="000C72B5"/>
    <w:rsid w:val="000C746A"/>
    <w:rsid w:val="000D3642"/>
    <w:rsid w:val="000D396D"/>
    <w:rsid w:val="000D3DE7"/>
    <w:rsid w:val="000D473E"/>
    <w:rsid w:val="000D511B"/>
    <w:rsid w:val="000D5635"/>
    <w:rsid w:val="000D638C"/>
    <w:rsid w:val="000D64AA"/>
    <w:rsid w:val="000D7040"/>
    <w:rsid w:val="000D7B2A"/>
    <w:rsid w:val="000E01B8"/>
    <w:rsid w:val="000E11E7"/>
    <w:rsid w:val="000E2D5E"/>
    <w:rsid w:val="000E35A9"/>
    <w:rsid w:val="000F1369"/>
    <w:rsid w:val="000F31C2"/>
    <w:rsid w:val="000F489D"/>
    <w:rsid w:val="000F7076"/>
    <w:rsid w:val="00101514"/>
    <w:rsid w:val="00101A9D"/>
    <w:rsid w:val="00103C68"/>
    <w:rsid w:val="0010655A"/>
    <w:rsid w:val="00110704"/>
    <w:rsid w:val="001107CC"/>
    <w:rsid w:val="0011082B"/>
    <w:rsid w:val="00113337"/>
    <w:rsid w:val="00113360"/>
    <w:rsid w:val="00116649"/>
    <w:rsid w:val="00116A4B"/>
    <w:rsid w:val="001202BC"/>
    <w:rsid w:val="00120DB6"/>
    <w:rsid w:val="00122B4D"/>
    <w:rsid w:val="0012391B"/>
    <w:rsid w:val="00125E59"/>
    <w:rsid w:val="001262EC"/>
    <w:rsid w:val="00126A84"/>
    <w:rsid w:val="001274ED"/>
    <w:rsid w:val="001354AE"/>
    <w:rsid w:val="001367E8"/>
    <w:rsid w:val="00137F41"/>
    <w:rsid w:val="00140E63"/>
    <w:rsid w:val="001411B2"/>
    <w:rsid w:val="00142729"/>
    <w:rsid w:val="001448E3"/>
    <w:rsid w:val="001456B1"/>
    <w:rsid w:val="00146D8C"/>
    <w:rsid w:val="00147183"/>
    <w:rsid w:val="00147648"/>
    <w:rsid w:val="00147A4B"/>
    <w:rsid w:val="001509FD"/>
    <w:rsid w:val="00151C74"/>
    <w:rsid w:val="001544C3"/>
    <w:rsid w:val="00154C2A"/>
    <w:rsid w:val="00155956"/>
    <w:rsid w:val="001576F8"/>
    <w:rsid w:val="001579A4"/>
    <w:rsid w:val="001620DA"/>
    <w:rsid w:val="001628EB"/>
    <w:rsid w:val="0016372E"/>
    <w:rsid w:val="001643C2"/>
    <w:rsid w:val="001659C3"/>
    <w:rsid w:val="00165D31"/>
    <w:rsid w:val="001673BD"/>
    <w:rsid w:val="001723F7"/>
    <w:rsid w:val="00173FB3"/>
    <w:rsid w:val="001765B0"/>
    <w:rsid w:val="0017785C"/>
    <w:rsid w:val="0018132B"/>
    <w:rsid w:val="00182264"/>
    <w:rsid w:val="00182F29"/>
    <w:rsid w:val="00183FC6"/>
    <w:rsid w:val="00185AB9"/>
    <w:rsid w:val="00185CCE"/>
    <w:rsid w:val="00186490"/>
    <w:rsid w:val="001868B5"/>
    <w:rsid w:val="00190041"/>
    <w:rsid w:val="001901D9"/>
    <w:rsid w:val="0019032A"/>
    <w:rsid w:val="00190528"/>
    <w:rsid w:val="001A4AB2"/>
    <w:rsid w:val="001A6487"/>
    <w:rsid w:val="001A6C37"/>
    <w:rsid w:val="001A7172"/>
    <w:rsid w:val="001A7D21"/>
    <w:rsid w:val="001A7FF9"/>
    <w:rsid w:val="001B0D99"/>
    <w:rsid w:val="001B3BD0"/>
    <w:rsid w:val="001B5152"/>
    <w:rsid w:val="001B5B9D"/>
    <w:rsid w:val="001B6B20"/>
    <w:rsid w:val="001C0BA4"/>
    <w:rsid w:val="001C1C51"/>
    <w:rsid w:val="001C385C"/>
    <w:rsid w:val="001C5AA7"/>
    <w:rsid w:val="001C6397"/>
    <w:rsid w:val="001D0003"/>
    <w:rsid w:val="001D0206"/>
    <w:rsid w:val="001D0215"/>
    <w:rsid w:val="001D03E6"/>
    <w:rsid w:val="001D44E5"/>
    <w:rsid w:val="001D47FB"/>
    <w:rsid w:val="001E00FC"/>
    <w:rsid w:val="001E0980"/>
    <w:rsid w:val="001E0C4D"/>
    <w:rsid w:val="001E0F16"/>
    <w:rsid w:val="001E174B"/>
    <w:rsid w:val="001E2685"/>
    <w:rsid w:val="001E536F"/>
    <w:rsid w:val="001E5A1E"/>
    <w:rsid w:val="001E6D0F"/>
    <w:rsid w:val="001E7C75"/>
    <w:rsid w:val="001F14CD"/>
    <w:rsid w:val="001F3B46"/>
    <w:rsid w:val="001F5368"/>
    <w:rsid w:val="001F5A1E"/>
    <w:rsid w:val="00200493"/>
    <w:rsid w:val="0020148A"/>
    <w:rsid w:val="00206AF0"/>
    <w:rsid w:val="00207295"/>
    <w:rsid w:val="002141AF"/>
    <w:rsid w:val="00214621"/>
    <w:rsid w:val="002151D4"/>
    <w:rsid w:val="00220024"/>
    <w:rsid w:val="002220C0"/>
    <w:rsid w:val="00222C35"/>
    <w:rsid w:val="002246A4"/>
    <w:rsid w:val="00225168"/>
    <w:rsid w:val="00225C1C"/>
    <w:rsid w:val="00225D81"/>
    <w:rsid w:val="00226A00"/>
    <w:rsid w:val="00226D92"/>
    <w:rsid w:val="00227DEA"/>
    <w:rsid w:val="00232D72"/>
    <w:rsid w:val="0023511F"/>
    <w:rsid w:val="0024306A"/>
    <w:rsid w:val="002443C3"/>
    <w:rsid w:val="00244DFA"/>
    <w:rsid w:val="002456B4"/>
    <w:rsid w:val="00247904"/>
    <w:rsid w:val="002514AC"/>
    <w:rsid w:val="002519BD"/>
    <w:rsid w:val="0025290F"/>
    <w:rsid w:val="00254EE3"/>
    <w:rsid w:val="00254FEE"/>
    <w:rsid w:val="0025564E"/>
    <w:rsid w:val="00257E4B"/>
    <w:rsid w:val="00263D19"/>
    <w:rsid w:val="00264497"/>
    <w:rsid w:val="00266AAD"/>
    <w:rsid w:val="00272038"/>
    <w:rsid w:val="00272E11"/>
    <w:rsid w:val="00273FD1"/>
    <w:rsid w:val="0027591A"/>
    <w:rsid w:val="00276F37"/>
    <w:rsid w:val="00277AF5"/>
    <w:rsid w:val="0028052C"/>
    <w:rsid w:val="00284B1E"/>
    <w:rsid w:val="0028772E"/>
    <w:rsid w:val="002901DC"/>
    <w:rsid w:val="002903A5"/>
    <w:rsid w:val="00290922"/>
    <w:rsid w:val="00291337"/>
    <w:rsid w:val="00291845"/>
    <w:rsid w:val="00292832"/>
    <w:rsid w:val="002965D9"/>
    <w:rsid w:val="002A0931"/>
    <w:rsid w:val="002A1087"/>
    <w:rsid w:val="002A3C2D"/>
    <w:rsid w:val="002A47C5"/>
    <w:rsid w:val="002A47F8"/>
    <w:rsid w:val="002B1430"/>
    <w:rsid w:val="002B27C8"/>
    <w:rsid w:val="002B3A89"/>
    <w:rsid w:val="002B4201"/>
    <w:rsid w:val="002B4919"/>
    <w:rsid w:val="002B5C92"/>
    <w:rsid w:val="002B6770"/>
    <w:rsid w:val="002B67C0"/>
    <w:rsid w:val="002C10D6"/>
    <w:rsid w:val="002C1FB8"/>
    <w:rsid w:val="002C27A4"/>
    <w:rsid w:val="002C494E"/>
    <w:rsid w:val="002C4BD6"/>
    <w:rsid w:val="002C5185"/>
    <w:rsid w:val="002D0C44"/>
    <w:rsid w:val="002D26CB"/>
    <w:rsid w:val="002D3382"/>
    <w:rsid w:val="002D3D10"/>
    <w:rsid w:val="002D5D9C"/>
    <w:rsid w:val="002D741F"/>
    <w:rsid w:val="002D7A6B"/>
    <w:rsid w:val="002D7E91"/>
    <w:rsid w:val="002E0C4D"/>
    <w:rsid w:val="002E15CE"/>
    <w:rsid w:val="002E17DD"/>
    <w:rsid w:val="002E1C34"/>
    <w:rsid w:val="002E35D9"/>
    <w:rsid w:val="002E54EC"/>
    <w:rsid w:val="002E78EF"/>
    <w:rsid w:val="002F14F6"/>
    <w:rsid w:val="002F187D"/>
    <w:rsid w:val="002F361F"/>
    <w:rsid w:val="002F4845"/>
    <w:rsid w:val="002F6459"/>
    <w:rsid w:val="002F7ECB"/>
    <w:rsid w:val="00300683"/>
    <w:rsid w:val="00300CCC"/>
    <w:rsid w:val="003018D5"/>
    <w:rsid w:val="003035F1"/>
    <w:rsid w:val="00305D6A"/>
    <w:rsid w:val="0031221A"/>
    <w:rsid w:val="0031298B"/>
    <w:rsid w:val="0031406F"/>
    <w:rsid w:val="003143A5"/>
    <w:rsid w:val="003144A1"/>
    <w:rsid w:val="00315442"/>
    <w:rsid w:val="003212F6"/>
    <w:rsid w:val="003215EA"/>
    <w:rsid w:val="00324A54"/>
    <w:rsid w:val="00325416"/>
    <w:rsid w:val="00325808"/>
    <w:rsid w:val="0032718E"/>
    <w:rsid w:val="00327C98"/>
    <w:rsid w:val="00333123"/>
    <w:rsid w:val="00334042"/>
    <w:rsid w:val="0033488F"/>
    <w:rsid w:val="0033542A"/>
    <w:rsid w:val="003355AA"/>
    <w:rsid w:val="00340363"/>
    <w:rsid w:val="003418BE"/>
    <w:rsid w:val="003435A9"/>
    <w:rsid w:val="00345C58"/>
    <w:rsid w:val="00350A19"/>
    <w:rsid w:val="00350BBA"/>
    <w:rsid w:val="003512DE"/>
    <w:rsid w:val="00352DEB"/>
    <w:rsid w:val="00356554"/>
    <w:rsid w:val="00360481"/>
    <w:rsid w:val="0036268E"/>
    <w:rsid w:val="003633D4"/>
    <w:rsid w:val="003647B0"/>
    <w:rsid w:val="00365625"/>
    <w:rsid w:val="003677B1"/>
    <w:rsid w:val="00370197"/>
    <w:rsid w:val="00371114"/>
    <w:rsid w:val="00371DB7"/>
    <w:rsid w:val="00373693"/>
    <w:rsid w:val="00375519"/>
    <w:rsid w:val="00375E05"/>
    <w:rsid w:val="00376982"/>
    <w:rsid w:val="00382B24"/>
    <w:rsid w:val="00382CED"/>
    <w:rsid w:val="0038419E"/>
    <w:rsid w:val="00386324"/>
    <w:rsid w:val="00387136"/>
    <w:rsid w:val="0039075C"/>
    <w:rsid w:val="003908E5"/>
    <w:rsid w:val="00390C4F"/>
    <w:rsid w:val="00391887"/>
    <w:rsid w:val="00396F98"/>
    <w:rsid w:val="003A0A1A"/>
    <w:rsid w:val="003A12EE"/>
    <w:rsid w:val="003A148A"/>
    <w:rsid w:val="003A1497"/>
    <w:rsid w:val="003A2050"/>
    <w:rsid w:val="003A22D6"/>
    <w:rsid w:val="003A4765"/>
    <w:rsid w:val="003A5449"/>
    <w:rsid w:val="003A5E33"/>
    <w:rsid w:val="003A74DD"/>
    <w:rsid w:val="003B0811"/>
    <w:rsid w:val="003B0EE9"/>
    <w:rsid w:val="003B1840"/>
    <w:rsid w:val="003B4079"/>
    <w:rsid w:val="003B42E5"/>
    <w:rsid w:val="003B6B5B"/>
    <w:rsid w:val="003B7C85"/>
    <w:rsid w:val="003B7CE2"/>
    <w:rsid w:val="003C0B38"/>
    <w:rsid w:val="003C23FB"/>
    <w:rsid w:val="003C2BC2"/>
    <w:rsid w:val="003C3BAF"/>
    <w:rsid w:val="003C3D01"/>
    <w:rsid w:val="003C4D86"/>
    <w:rsid w:val="003C5CA1"/>
    <w:rsid w:val="003C7046"/>
    <w:rsid w:val="003C7E6C"/>
    <w:rsid w:val="003D08D0"/>
    <w:rsid w:val="003D22DE"/>
    <w:rsid w:val="003D3519"/>
    <w:rsid w:val="003D4137"/>
    <w:rsid w:val="003D6B00"/>
    <w:rsid w:val="003D7968"/>
    <w:rsid w:val="003E232D"/>
    <w:rsid w:val="003E255A"/>
    <w:rsid w:val="003E2C49"/>
    <w:rsid w:val="003E42E0"/>
    <w:rsid w:val="003E45FA"/>
    <w:rsid w:val="003E4738"/>
    <w:rsid w:val="003E59C2"/>
    <w:rsid w:val="003E72DF"/>
    <w:rsid w:val="003F02C8"/>
    <w:rsid w:val="003F1392"/>
    <w:rsid w:val="003F440B"/>
    <w:rsid w:val="003F6C33"/>
    <w:rsid w:val="003F702C"/>
    <w:rsid w:val="003F7835"/>
    <w:rsid w:val="00401DFD"/>
    <w:rsid w:val="004020B1"/>
    <w:rsid w:val="00402516"/>
    <w:rsid w:val="00402C25"/>
    <w:rsid w:val="00403623"/>
    <w:rsid w:val="00405778"/>
    <w:rsid w:val="0041086B"/>
    <w:rsid w:val="00410DB1"/>
    <w:rsid w:val="004133C3"/>
    <w:rsid w:val="00416498"/>
    <w:rsid w:val="004170C2"/>
    <w:rsid w:val="00417870"/>
    <w:rsid w:val="00420A2A"/>
    <w:rsid w:val="004212A4"/>
    <w:rsid w:val="00421836"/>
    <w:rsid w:val="004218B2"/>
    <w:rsid w:val="00423CA3"/>
    <w:rsid w:val="00425FF0"/>
    <w:rsid w:val="004276DF"/>
    <w:rsid w:val="004278A5"/>
    <w:rsid w:val="00430486"/>
    <w:rsid w:val="00430784"/>
    <w:rsid w:val="00430E72"/>
    <w:rsid w:val="00435884"/>
    <w:rsid w:val="00435E6A"/>
    <w:rsid w:val="00441160"/>
    <w:rsid w:val="00441D11"/>
    <w:rsid w:val="0044254C"/>
    <w:rsid w:val="00442B9C"/>
    <w:rsid w:val="00443784"/>
    <w:rsid w:val="00444579"/>
    <w:rsid w:val="00445E35"/>
    <w:rsid w:val="004479A7"/>
    <w:rsid w:val="00453C62"/>
    <w:rsid w:val="00454420"/>
    <w:rsid w:val="0045442E"/>
    <w:rsid w:val="00455401"/>
    <w:rsid w:val="00455C12"/>
    <w:rsid w:val="00457A95"/>
    <w:rsid w:val="00457D97"/>
    <w:rsid w:val="00460520"/>
    <w:rsid w:val="00460B3B"/>
    <w:rsid w:val="004610D6"/>
    <w:rsid w:val="00462830"/>
    <w:rsid w:val="004670B2"/>
    <w:rsid w:val="0046797D"/>
    <w:rsid w:val="00470DB3"/>
    <w:rsid w:val="00473ED1"/>
    <w:rsid w:val="00476729"/>
    <w:rsid w:val="004779EA"/>
    <w:rsid w:val="00480801"/>
    <w:rsid w:val="004808D1"/>
    <w:rsid w:val="00481CB2"/>
    <w:rsid w:val="00482BB1"/>
    <w:rsid w:val="0048305D"/>
    <w:rsid w:val="00483345"/>
    <w:rsid w:val="00483F8D"/>
    <w:rsid w:val="0048597E"/>
    <w:rsid w:val="00493D80"/>
    <w:rsid w:val="00495309"/>
    <w:rsid w:val="004955BD"/>
    <w:rsid w:val="00495C6A"/>
    <w:rsid w:val="004978BE"/>
    <w:rsid w:val="004A003A"/>
    <w:rsid w:val="004A226B"/>
    <w:rsid w:val="004A4DD8"/>
    <w:rsid w:val="004A5A93"/>
    <w:rsid w:val="004A6470"/>
    <w:rsid w:val="004B03AD"/>
    <w:rsid w:val="004B30C7"/>
    <w:rsid w:val="004B3A54"/>
    <w:rsid w:val="004B44FE"/>
    <w:rsid w:val="004B7F23"/>
    <w:rsid w:val="004C59F7"/>
    <w:rsid w:val="004D3988"/>
    <w:rsid w:val="004D46E2"/>
    <w:rsid w:val="004D749A"/>
    <w:rsid w:val="004E0E9F"/>
    <w:rsid w:val="004E1BE7"/>
    <w:rsid w:val="004E23B2"/>
    <w:rsid w:val="004E2BAD"/>
    <w:rsid w:val="004E2EA5"/>
    <w:rsid w:val="004E3BF4"/>
    <w:rsid w:val="004E4E46"/>
    <w:rsid w:val="004E501E"/>
    <w:rsid w:val="004E5B32"/>
    <w:rsid w:val="004E7C4D"/>
    <w:rsid w:val="004F3F45"/>
    <w:rsid w:val="004F4A94"/>
    <w:rsid w:val="004F65EA"/>
    <w:rsid w:val="0050206A"/>
    <w:rsid w:val="00502CE0"/>
    <w:rsid w:val="00504E29"/>
    <w:rsid w:val="0050515B"/>
    <w:rsid w:val="00510DEA"/>
    <w:rsid w:val="00511720"/>
    <w:rsid w:val="00513BE5"/>
    <w:rsid w:val="00513CD6"/>
    <w:rsid w:val="00514C3A"/>
    <w:rsid w:val="00515BCC"/>
    <w:rsid w:val="00515C14"/>
    <w:rsid w:val="00517864"/>
    <w:rsid w:val="00524F2B"/>
    <w:rsid w:val="00525465"/>
    <w:rsid w:val="005257EC"/>
    <w:rsid w:val="005258A9"/>
    <w:rsid w:val="005271D6"/>
    <w:rsid w:val="005301DE"/>
    <w:rsid w:val="00530E7E"/>
    <w:rsid w:val="0053124A"/>
    <w:rsid w:val="00531F17"/>
    <w:rsid w:val="005326DC"/>
    <w:rsid w:val="00532BAF"/>
    <w:rsid w:val="005331E2"/>
    <w:rsid w:val="00534CCC"/>
    <w:rsid w:val="00536956"/>
    <w:rsid w:val="00537763"/>
    <w:rsid w:val="00541AB8"/>
    <w:rsid w:val="00542B55"/>
    <w:rsid w:val="00544D0B"/>
    <w:rsid w:val="0054632C"/>
    <w:rsid w:val="00550867"/>
    <w:rsid w:val="005510D1"/>
    <w:rsid w:val="005524B3"/>
    <w:rsid w:val="00552695"/>
    <w:rsid w:val="0055278D"/>
    <w:rsid w:val="00552F33"/>
    <w:rsid w:val="005542A6"/>
    <w:rsid w:val="00555ED7"/>
    <w:rsid w:val="005561B3"/>
    <w:rsid w:val="00557502"/>
    <w:rsid w:val="00561006"/>
    <w:rsid w:val="00561662"/>
    <w:rsid w:val="005624D6"/>
    <w:rsid w:val="00564033"/>
    <w:rsid w:val="00564C40"/>
    <w:rsid w:val="00564F5C"/>
    <w:rsid w:val="00565FB4"/>
    <w:rsid w:val="00566404"/>
    <w:rsid w:val="00567695"/>
    <w:rsid w:val="00572530"/>
    <w:rsid w:val="00574417"/>
    <w:rsid w:val="00577972"/>
    <w:rsid w:val="00577B4F"/>
    <w:rsid w:val="0058033B"/>
    <w:rsid w:val="00581703"/>
    <w:rsid w:val="0058437E"/>
    <w:rsid w:val="005846F4"/>
    <w:rsid w:val="0058476B"/>
    <w:rsid w:val="00586F3A"/>
    <w:rsid w:val="00587343"/>
    <w:rsid w:val="00587E63"/>
    <w:rsid w:val="00587F73"/>
    <w:rsid w:val="005908CE"/>
    <w:rsid w:val="00590F62"/>
    <w:rsid w:val="005929CA"/>
    <w:rsid w:val="00593F35"/>
    <w:rsid w:val="005951BD"/>
    <w:rsid w:val="00595552"/>
    <w:rsid w:val="00595F63"/>
    <w:rsid w:val="005970FF"/>
    <w:rsid w:val="00597F91"/>
    <w:rsid w:val="005A1F27"/>
    <w:rsid w:val="005A358B"/>
    <w:rsid w:val="005A39B6"/>
    <w:rsid w:val="005A4883"/>
    <w:rsid w:val="005A4F2B"/>
    <w:rsid w:val="005A5869"/>
    <w:rsid w:val="005A7789"/>
    <w:rsid w:val="005B157D"/>
    <w:rsid w:val="005B19FE"/>
    <w:rsid w:val="005B1F3C"/>
    <w:rsid w:val="005B6770"/>
    <w:rsid w:val="005B6A1E"/>
    <w:rsid w:val="005B6FCE"/>
    <w:rsid w:val="005C2E51"/>
    <w:rsid w:val="005C7451"/>
    <w:rsid w:val="005D23F2"/>
    <w:rsid w:val="005D314B"/>
    <w:rsid w:val="005D37BD"/>
    <w:rsid w:val="005D3F6F"/>
    <w:rsid w:val="005D4BEB"/>
    <w:rsid w:val="005D5137"/>
    <w:rsid w:val="005D5A3F"/>
    <w:rsid w:val="005D5ABB"/>
    <w:rsid w:val="005E1406"/>
    <w:rsid w:val="005E238A"/>
    <w:rsid w:val="005E30A0"/>
    <w:rsid w:val="005E35C3"/>
    <w:rsid w:val="005E69BD"/>
    <w:rsid w:val="005F0068"/>
    <w:rsid w:val="005F083E"/>
    <w:rsid w:val="005F1EC8"/>
    <w:rsid w:val="005F4078"/>
    <w:rsid w:val="005F70C4"/>
    <w:rsid w:val="0060051C"/>
    <w:rsid w:val="006017C1"/>
    <w:rsid w:val="00602987"/>
    <w:rsid w:val="006032ED"/>
    <w:rsid w:val="006033B8"/>
    <w:rsid w:val="006044D5"/>
    <w:rsid w:val="00606296"/>
    <w:rsid w:val="006062A7"/>
    <w:rsid w:val="006073A7"/>
    <w:rsid w:val="00612A84"/>
    <w:rsid w:val="00613213"/>
    <w:rsid w:val="00613831"/>
    <w:rsid w:val="0061416F"/>
    <w:rsid w:val="0061514F"/>
    <w:rsid w:val="00615621"/>
    <w:rsid w:val="0062146F"/>
    <w:rsid w:val="0062148A"/>
    <w:rsid w:val="0062157D"/>
    <w:rsid w:val="006248AA"/>
    <w:rsid w:val="0062637E"/>
    <w:rsid w:val="00627192"/>
    <w:rsid w:val="006325DA"/>
    <w:rsid w:val="00633886"/>
    <w:rsid w:val="006358B9"/>
    <w:rsid w:val="006361AE"/>
    <w:rsid w:val="00636612"/>
    <w:rsid w:val="00641454"/>
    <w:rsid w:val="00642335"/>
    <w:rsid w:val="006438A7"/>
    <w:rsid w:val="00647CA7"/>
    <w:rsid w:val="00650E29"/>
    <w:rsid w:val="0065359F"/>
    <w:rsid w:val="00654372"/>
    <w:rsid w:val="00654D09"/>
    <w:rsid w:val="006571D9"/>
    <w:rsid w:val="00657B12"/>
    <w:rsid w:val="006600BC"/>
    <w:rsid w:val="00662E1A"/>
    <w:rsid w:val="00665C3D"/>
    <w:rsid w:val="00667B0C"/>
    <w:rsid w:val="00670023"/>
    <w:rsid w:val="0067060B"/>
    <w:rsid w:val="00670AB7"/>
    <w:rsid w:val="00671FF8"/>
    <w:rsid w:val="006744F8"/>
    <w:rsid w:val="00675563"/>
    <w:rsid w:val="00675B96"/>
    <w:rsid w:val="00685471"/>
    <w:rsid w:val="00686739"/>
    <w:rsid w:val="00691BCF"/>
    <w:rsid w:val="0069252D"/>
    <w:rsid w:val="0069467D"/>
    <w:rsid w:val="00695160"/>
    <w:rsid w:val="00697374"/>
    <w:rsid w:val="006A00BD"/>
    <w:rsid w:val="006A0434"/>
    <w:rsid w:val="006A1CA9"/>
    <w:rsid w:val="006A5C38"/>
    <w:rsid w:val="006A6532"/>
    <w:rsid w:val="006A686B"/>
    <w:rsid w:val="006B0E38"/>
    <w:rsid w:val="006B4600"/>
    <w:rsid w:val="006B4D3E"/>
    <w:rsid w:val="006B56AA"/>
    <w:rsid w:val="006B5879"/>
    <w:rsid w:val="006C0E6C"/>
    <w:rsid w:val="006C3AC5"/>
    <w:rsid w:val="006C6D9F"/>
    <w:rsid w:val="006C793D"/>
    <w:rsid w:val="006D10C4"/>
    <w:rsid w:val="006D2061"/>
    <w:rsid w:val="006D6502"/>
    <w:rsid w:val="006E167F"/>
    <w:rsid w:val="006E2503"/>
    <w:rsid w:val="006E3F17"/>
    <w:rsid w:val="006E752D"/>
    <w:rsid w:val="006F0145"/>
    <w:rsid w:val="006F1468"/>
    <w:rsid w:val="006F2FC6"/>
    <w:rsid w:val="006F348A"/>
    <w:rsid w:val="006F36BA"/>
    <w:rsid w:val="006F3AD6"/>
    <w:rsid w:val="006F651C"/>
    <w:rsid w:val="006F7B65"/>
    <w:rsid w:val="006F7F07"/>
    <w:rsid w:val="00700913"/>
    <w:rsid w:val="0070145C"/>
    <w:rsid w:val="00705236"/>
    <w:rsid w:val="00705358"/>
    <w:rsid w:val="00705799"/>
    <w:rsid w:val="007069E3"/>
    <w:rsid w:val="00707C50"/>
    <w:rsid w:val="00710B73"/>
    <w:rsid w:val="00711988"/>
    <w:rsid w:val="007127C2"/>
    <w:rsid w:val="007136CE"/>
    <w:rsid w:val="00713BF5"/>
    <w:rsid w:val="007145ED"/>
    <w:rsid w:val="00715866"/>
    <w:rsid w:val="00716175"/>
    <w:rsid w:val="00716CFA"/>
    <w:rsid w:val="00717F17"/>
    <w:rsid w:val="007227F0"/>
    <w:rsid w:val="00723F5C"/>
    <w:rsid w:val="007245BD"/>
    <w:rsid w:val="00726A29"/>
    <w:rsid w:val="00726EB6"/>
    <w:rsid w:val="00727119"/>
    <w:rsid w:val="00730294"/>
    <w:rsid w:val="00730630"/>
    <w:rsid w:val="00731BA1"/>
    <w:rsid w:val="00733974"/>
    <w:rsid w:val="00736191"/>
    <w:rsid w:val="00736290"/>
    <w:rsid w:val="007413E4"/>
    <w:rsid w:val="007428F1"/>
    <w:rsid w:val="00744D15"/>
    <w:rsid w:val="00744F16"/>
    <w:rsid w:val="00750412"/>
    <w:rsid w:val="00751C91"/>
    <w:rsid w:val="0075320F"/>
    <w:rsid w:val="00756957"/>
    <w:rsid w:val="00757931"/>
    <w:rsid w:val="00760F11"/>
    <w:rsid w:val="0076133C"/>
    <w:rsid w:val="007621B2"/>
    <w:rsid w:val="00762978"/>
    <w:rsid w:val="00764ADB"/>
    <w:rsid w:val="007655DC"/>
    <w:rsid w:val="0076584A"/>
    <w:rsid w:val="00765CD6"/>
    <w:rsid w:val="00765E05"/>
    <w:rsid w:val="00765EBA"/>
    <w:rsid w:val="007668A8"/>
    <w:rsid w:val="00766DB2"/>
    <w:rsid w:val="00770344"/>
    <w:rsid w:val="00770635"/>
    <w:rsid w:val="00771665"/>
    <w:rsid w:val="007723A0"/>
    <w:rsid w:val="007723F5"/>
    <w:rsid w:val="007728C4"/>
    <w:rsid w:val="00772F69"/>
    <w:rsid w:val="00774390"/>
    <w:rsid w:val="00774CA2"/>
    <w:rsid w:val="00775410"/>
    <w:rsid w:val="00775E72"/>
    <w:rsid w:val="007763D8"/>
    <w:rsid w:val="007770D2"/>
    <w:rsid w:val="007805E2"/>
    <w:rsid w:val="007811EC"/>
    <w:rsid w:val="00781C6C"/>
    <w:rsid w:val="00783E48"/>
    <w:rsid w:val="007847B1"/>
    <w:rsid w:val="00785D24"/>
    <w:rsid w:val="0079173B"/>
    <w:rsid w:val="007923F5"/>
    <w:rsid w:val="00792C68"/>
    <w:rsid w:val="00793117"/>
    <w:rsid w:val="007931DD"/>
    <w:rsid w:val="00796814"/>
    <w:rsid w:val="0079704B"/>
    <w:rsid w:val="007A1203"/>
    <w:rsid w:val="007A2454"/>
    <w:rsid w:val="007A2F11"/>
    <w:rsid w:val="007A346C"/>
    <w:rsid w:val="007A3729"/>
    <w:rsid w:val="007A4328"/>
    <w:rsid w:val="007A4806"/>
    <w:rsid w:val="007A7CE6"/>
    <w:rsid w:val="007B0885"/>
    <w:rsid w:val="007B2131"/>
    <w:rsid w:val="007B550A"/>
    <w:rsid w:val="007B7F17"/>
    <w:rsid w:val="007C282B"/>
    <w:rsid w:val="007C31FD"/>
    <w:rsid w:val="007C3FE1"/>
    <w:rsid w:val="007C6075"/>
    <w:rsid w:val="007C65A3"/>
    <w:rsid w:val="007C762F"/>
    <w:rsid w:val="007D1067"/>
    <w:rsid w:val="007D1854"/>
    <w:rsid w:val="007D31D0"/>
    <w:rsid w:val="007D37ED"/>
    <w:rsid w:val="007D3BAE"/>
    <w:rsid w:val="007D4374"/>
    <w:rsid w:val="007D6B26"/>
    <w:rsid w:val="007D6E1E"/>
    <w:rsid w:val="007D6E91"/>
    <w:rsid w:val="007D7624"/>
    <w:rsid w:val="007E09A7"/>
    <w:rsid w:val="007E0C22"/>
    <w:rsid w:val="007E150A"/>
    <w:rsid w:val="007E1ADF"/>
    <w:rsid w:val="007E35FF"/>
    <w:rsid w:val="007E5050"/>
    <w:rsid w:val="007F1404"/>
    <w:rsid w:val="007F1E33"/>
    <w:rsid w:val="007F4573"/>
    <w:rsid w:val="007F49E9"/>
    <w:rsid w:val="007F50BD"/>
    <w:rsid w:val="007F50EF"/>
    <w:rsid w:val="007F686E"/>
    <w:rsid w:val="007F71AD"/>
    <w:rsid w:val="007F76BB"/>
    <w:rsid w:val="00804089"/>
    <w:rsid w:val="00805FD8"/>
    <w:rsid w:val="008069F5"/>
    <w:rsid w:val="00807B4A"/>
    <w:rsid w:val="00807F6A"/>
    <w:rsid w:val="00810AF1"/>
    <w:rsid w:val="00810C5B"/>
    <w:rsid w:val="00813D10"/>
    <w:rsid w:val="00814AEE"/>
    <w:rsid w:val="00814D89"/>
    <w:rsid w:val="008150D6"/>
    <w:rsid w:val="008154C6"/>
    <w:rsid w:val="00816E21"/>
    <w:rsid w:val="00820049"/>
    <w:rsid w:val="0082320C"/>
    <w:rsid w:val="00823A16"/>
    <w:rsid w:val="00824821"/>
    <w:rsid w:val="00824F4C"/>
    <w:rsid w:val="008253F9"/>
    <w:rsid w:val="00825C83"/>
    <w:rsid w:val="0083178E"/>
    <w:rsid w:val="0083203F"/>
    <w:rsid w:val="00832706"/>
    <w:rsid w:val="008329AB"/>
    <w:rsid w:val="00832E86"/>
    <w:rsid w:val="008336F6"/>
    <w:rsid w:val="00834610"/>
    <w:rsid w:val="00837CE2"/>
    <w:rsid w:val="00837E94"/>
    <w:rsid w:val="00841DA8"/>
    <w:rsid w:val="00842844"/>
    <w:rsid w:val="00844A05"/>
    <w:rsid w:val="00846EFE"/>
    <w:rsid w:val="00850058"/>
    <w:rsid w:val="00850953"/>
    <w:rsid w:val="00851091"/>
    <w:rsid w:val="0085223F"/>
    <w:rsid w:val="00852E60"/>
    <w:rsid w:val="008536EB"/>
    <w:rsid w:val="00853876"/>
    <w:rsid w:val="00853C2F"/>
    <w:rsid w:val="00854DDA"/>
    <w:rsid w:val="00855415"/>
    <w:rsid w:val="008556AD"/>
    <w:rsid w:val="008612EB"/>
    <w:rsid w:val="008618D2"/>
    <w:rsid w:val="00861E0D"/>
    <w:rsid w:val="00863874"/>
    <w:rsid w:val="00864104"/>
    <w:rsid w:val="008643E6"/>
    <w:rsid w:val="00864883"/>
    <w:rsid w:val="00867213"/>
    <w:rsid w:val="008677BA"/>
    <w:rsid w:val="00867EA4"/>
    <w:rsid w:val="00870043"/>
    <w:rsid w:val="0087397B"/>
    <w:rsid w:val="0087638C"/>
    <w:rsid w:val="00881506"/>
    <w:rsid w:val="0088195F"/>
    <w:rsid w:val="00885484"/>
    <w:rsid w:val="00886F0C"/>
    <w:rsid w:val="00887730"/>
    <w:rsid w:val="008878D6"/>
    <w:rsid w:val="00893EE7"/>
    <w:rsid w:val="008958D2"/>
    <w:rsid w:val="00896247"/>
    <w:rsid w:val="008A0404"/>
    <w:rsid w:val="008A251E"/>
    <w:rsid w:val="008A25A5"/>
    <w:rsid w:val="008A2A78"/>
    <w:rsid w:val="008A46A8"/>
    <w:rsid w:val="008A555D"/>
    <w:rsid w:val="008B1C45"/>
    <w:rsid w:val="008B2FCB"/>
    <w:rsid w:val="008B6337"/>
    <w:rsid w:val="008C01EC"/>
    <w:rsid w:val="008C081A"/>
    <w:rsid w:val="008C1A20"/>
    <w:rsid w:val="008C3BB7"/>
    <w:rsid w:val="008C5418"/>
    <w:rsid w:val="008C60FB"/>
    <w:rsid w:val="008C7FD2"/>
    <w:rsid w:val="008D0602"/>
    <w:rsid w:val="008D5EAC"/>
    <w:rsid w:val="008D6BB7"/>
    <w:rsid w:val="008E07C5"/>
    <w:rsid w:val="008E13EE"/>
    <w:rsid w:val="008E3B95"/>
    <w:rsid w:val="008E4779"/>
    <w:rsid w:val="008E62A6"/>
    <w:rsid w:val="008E7958"/>
    <w:rsid w:val="008E7C31"/>
    <w:rsid w:val="008F068E"/>
    <w:rsid w:val="008F4C1C"/>
    <w:rsid w:val="008F679E"/>
    <w:rsid w:val="008F70AD"/>
    <w:rsid w:val="009051C5"/>
    <w:rsid w:val="00905992"/>
    <w:rsid w:val="00910537"/>
    <w:rsid w:val="00911A17"/>
    <w:rsid w:val="009169D8"/>
    <w:rsid w:val="009171D8"/>
    <w:rsid w:val="00917D52"/>
    <w:rsid w:val="00922A2F"/>
    <w:rsid w:val="009266DD"/>
    <w:rsid w:val="009273A3"/>
    <w:rsid w:val="0093265F"/>
    <w:rsid w:val="00934578"/>
    <w:rsid w:val="00936B0E"/>
    <w:rsid w:val="00936FBC"/>
    <w:rsid w:val="00937A95"/>
    <w:rsid w:val="00940E2C"/>
    <w:rsid w:val="00941ABD"/>
    <w:rsid w:val="00944865"/>
    <w:rsid w:val="0094593A"/>
    <w:rsid w:val="00945946"/>
    <w:rsid w:val="00945A13"/>
    <w:rsid w:val="00945B17"/>
    <w:rsid w:val="00946B84"/>
    <w:rsid w:val="00950EF7"/>
    <w:rsid w:val="00951E03"/>
    <w:rsid w:val="00953B18"/>
    <w:rsid w:val="00954623"/>
    <w:rsid w:val="00961E86"/>
    <w:rsid w:val="00962518"/>
    <w:rsid w:val="00962CDD"/>
    <w:rsid w:val="00964BB7"/>
    <w:rsid w:val="0096521B"/>
    <w:rsid w:val="009712C4"/>
    <w:rsid w:val="009716EC"/>
    <w:rsid w:val="00975187"/>
    <w:rsid w:val="00975E18"/>
    <w:rsid w:val="00975EA9"/>
    <w:rsid w:val="00981E36"/>
    <w:rsid w:val="00982D0B"/>
    <w:rsid w:val="0098420B"/>
    <w:rsid w:val="00986223"/>
    <w:rsid w:val="00986C8D"/>
    <w:rsid w:val="009876C6"/>
    <w:rsid w:val="009905E7"/>
    <w:rsid w:val="0099204C"/>
    <w:rsid w:val="0099573F"/>
    <w:rsid w:val="0099597A"/>
    <w:rsid w:val="00996003"/>
    <w:rsid w:val="00996406"/>
    <w:rsid w:val="009A2F21"/>
    <w:rsid w:val="009A4EFC"/>
    <w:rsid w:val="009A5B2A"/>
    <w:rsid w:val="009A6119"/>
    <w:rsid w:val="009A7D27"/>
    <w:rsid w:val="009C1DAA"/>
    <w:rsid w:val="009C6EF0"/>
    <w:rsid w:val="009D1D56"/>
    <w:rsid w:val="009D2444"/>
    <w:rsid w:val="009D2514"/>
    <w:rsid w:val="009D34F3"/>
    <w:rsid w:val="009D3931"/>
    <w:rsid w:val="009D3D0A"/>
    <w:rsid w:val="009D5769"/>
    <w:rsid w:val="009D5DBF"/>
    <w:rsid w:val="009E0A13"/>
    <w:rsid w:val="009E5EAD"/>
    <w:rsid w:val="009E6741"/>
    <w:rsid w:val="009E7231"/>
    <w:rsid w:val="009F1345"/>
    <w:rsid w:val="009F1A2F"/>
    <w:rsid w:val="009F35B2"/>
    <w:rsid w:val="009F4D46"/>
    <w:rsid w:val="009F6F8A"/>
    <w:rsid w:val="009F7240"/>
    <w:rsid w:val="00A0120A"/>
    <w:rsid w:val="00A0335D"/>
    <w:rsid w:val="00A06137"/>
    <w:rsid w:val="00A061B8"/>
    <w:rsid w:val="00A070FE"/>
    <w:rsid w:val="00A074EE"/>
    <w:rsid w:val="00A07E1A"/>
    <w:rsid w:val="00A10BAB"/>
    <w:rsid w:val="00A11191"/>
    <w:rsid w:val="00A11A19"/>
    <w:rsid w:val="00A11E39"/>
    <w:rsid w:val="00A1203B"/>
    <w:rsid w:val="00A1237C"/>
    <w:rsid w:val="00A14766"/>
    <w:rsid w:val="00A14B51"/>
    <w:rsid w:val="00A20793"/>
    <w:rsid w:val="00A225E8"/>
    <w:rsid w:val="00A23149"/>
    <w:rsid w:val="00A24DAB"/>
    <w:rsid w:val="00A2632E"/>
    <w:rsid w:val="00A31721"/>
    <w:rsid w:val="00A31BA5"/>
    <w:rsid w:val="00A32A2F"/>
    <w:rsid w:val="00A42E9A"/>
    <w:rsid w:val="00A47788"/>
    <w:rsid w:val="00A47E3D"/>
    <w:rsid w:val="00A50ACF"/>
    <w:rsid w:val="00A51A6D"/>
    <w:rsid w:val="00A51A91"/>
    <w:rsid w:val="00A52C0F"/>
    <w:rsid w:val="00A53C78"/>
    <w:rsid w:val="00A53D59"/>
    <w:rsid w:val="00A54FBD"/>
    <w:rsid w:val="00A5763E"/>
    <w:rsid w:val="00A614ED"/>
    <w:rsid w:val="00A615E0"/>
    <w:rsid w:val="00A64EF8"/>
    <w:rsid w:val="00A663F3"/>
    <w:rsid w:val="00A66AC5"/>
    <w:rsid w:val="00A6761B"/>
    <w:rsid w:val="00A708A6"/>
    <w:rsid w:val="00A72D81"/>
    <w:rsid w:val="00A72F08"/>
    <w:rsid w:val="00A74F68"/>
    <w:rsid w:val="00A754BB"/>
    <w:rsid w:val="00A75733"/>
    <w:rsid w:val="00A75F42"/>
    <w:rsid w:val="00A767D7"/>
    <w:rsid w:val="00A77EA4"/>
    <w:rsid w:val="00A817FB"/>
    <w:rsid w:val="00A8523A"/>
    <w:rsid w:val="00A85C1B"/>
    <w:rsid w:val="00A92730"/>
    <w:rsid w:val="00A972E9"/>
    <w:rsid w:val="00A97C2A"/>
    <w:rsid w:val="00AA1065"/>
    <w:rsid w:val="00AA36BC"/>
    <w:rsid w:val="00AA51A2"/>
    <w:rsid w:val="00AA579D"/>
    <w:rsid w:val="00AA658C"/>
    <w:rsid w:val="00AA7C1A"/>
    <w:rsid w:val="00AB4664"/>
    <w:rsid w:val="00AB4FF0"/>
    <w:rsid w:val="00AB55B3"/>
    <w:rsid w:val="00AB6329"/>
    <w:rsid w:val="00AB661A"/>
    <w:rsid w:val="00AC0226"/>
    <w:rsid w:val="00AC092A"/>
    <w:rsid w:val="00AC12C3"/>
    <w:rsid w:val="00AC2187"/>
    <w:rsid w:val="00AC267D"/>
    <w:rsid w:val="00AC4601"/>
    <w:rsid w:val="00AC5AF0"/>
    <w:rsid w:val="00AC64F8"/>
    <w:rsid w:val="00AC68FD"/>
    <w:rsid w:val="00AD146A"/>
    <w:rsid w:val="00AD32E7"/>
    <w:rsid w:val="00AD3F82"/>
    <w:rsid w:val="00AD4CBC"/>
    <w:rsid w:val="00AD559E"/>
    <w:rsid w:val="00AE3061"/>
    <w:rsid w:val="00AE52FA"/>
    <w:rsid w:val="00AE7D36"/>
    <w:rsid w:val="00AF3BA5"/>
    <w:rsid w:val="00AF6218"/>
    <w:rsid w:val="00B003A4"/>
    <w:rsid w:val="00B00C37"/>
    <w:rsid w:val="00B02572"/>
    <w:rsid w:val="00B028FA"/>
    <w:rsid w:val="00B02B1E"/>
    <w:rsid w:val="00B102B6"/>
    <w:rsid w:val="00B1096B"/>
    <w:rsid w:val="00B12782"/>
    <w:rsid w:val="00B12EB8"/>
    <w:rsid w:val="00B1430D"/>
    <w:rsid w:val="00B16CCF"/>
    <w:rsid w:val="00B178AD"/>
    <w:rsid w:val="00B21EF6"/>
    <w:rsid w:val="00B21FDE"/>
    <w:rsid w:val="00B23573"/>
    <w:rsid w:val="00B248D7"/>
    <w:rsid w:val="00B257F4"/>
    <w:rsid w:val="00B2580E"/>
    <w:rsid w:val="00B25ECF"/>
    <w:rsid w:val="00B27A3B"/>
    <w:rsid w:val="00B27B59"/>
    <w:rsid w:val="00B303AF"/>
    <w:rsid w:val="00B32203"/>
    <w:rsid w:val="00B358EC"/>
    <w:rsid w:val="00B40632"/>
    <w:rsid w:val="00B40ECE"/>
    <w:rsid w:val="00B4239B"/>
    <w:rsid w:val="00B42B61"/>
    <w:rsid w:val="00B44538"/>
    <w:rsid w:val="00B4507C"/>
    <w:rsid w:val="00B455B9"/>
    <w:rsid w:val="00B46596"/>
    <w:rsid w:val="00B46B29"/>
    <w:rsid w:val="00B514E3"/>
    <w:rsid w:val="00B5293F"/>
    <w:rsid w:val="00B52C44"/>
    <w:rsid w:val="00B54D08"/>
    <w:rsid w:val="00B5537D"/>
    <w:rsid w:val="00B5739F"/>
    <w:rsid w:val="00B60DDB"/>
    <w:rsid w:val="00B621B9"/>
    <w:rsid w:val="00B62D1F"/>
    <w:rsid w:val="00B6389F"/>
    <w:rsid w:val="00B64B07"/>
    <w:rsid w:val="00B6567A"/>
    <w:rsid w:val="00B6647F"/>
    <w:rsid w:val="00B67C5D"/>
    <w:rsid w:val="00B70C11"/>
    <w:rsid w:val="00B71A70"/>
    <w:rsid w:val="00B71BB4"/>
    <w:rsid w:val="00B76680"/>
    <w:rsid w:val="00B77263"/>
    <w:rsid w:val="00B81BA7"/>
    <w:rsid w:val="00B8281D"/>
    <w:rsid w:val="00B83969"/>
    <w:rsid w:val="00B83F53"/>
    <w:rsid w:val="00B84CC3"/>
    <w:rsid w:val="00B85096"/>
    <w:rsid w:val="00B93780"/>
    <w:rsid w:val="00B95D27"/>
    <w:rsid w:val="00B96CC2"/>
    <w:rsid w:val="00BA2960"/>
    <w:rsid w:val="00BA55C8"/>
    <w:rsid w:val="00BA7CDA"/>
    <w:rsid w:val="00BB01A1"/>
    <w:rsid w:val="00BB1E95"/>
    <w:rsid w:val="00BB2F88"/>
    <w:rsid w:val="00BB49AE"/>
    <w:rsid w:val="00BB5317"/>
    <w:rsid w:val="00BB5395"/>
    <w:rsid w:val="00BC0D5F"/>
    <w:rsid w:val="00BC2705"/>
    <w:rsid w:val="00BC2E77"/>
    <w:rsid w:val="00BC4261"/>
    <w:rsid w:val="00BC531E"/>
    <w:rsid w:val="00BC673B"/>
    <w:rsid w:val="00BC712F"/>
    <w:rsid w:val="00BD15E5"/>
    <w:rsid w:val="00BD1640"/>
    <w:rsid w:val="00BD471C"/>
    <w:rsid w:val="00BD6431"/>
    <w:rsid w:val="00BD7ADC"/>
    <w:rsid w:val="00BE174E"/>
    <w:rsid w:val="00BE2796"/>
    <w:rsid w:val="00BE310F"/>
    <w:rsid w:val="00BE3CFD"/>
    <w:rsid w:val="00BE57D9"/>
    <w:rsid w:val="00BE6802"/>
    <w:rsid w:val="00BF035A"/>
    <w:rsid w:val="00BF47DE"/>
    <w:rsid w:val="00BF4B3B"/>
    <w:rsid w:val="00BF5B50"/>
    <w:rsid w:val="00BF5E8F"/>
    <w:rsid w:val="00BF5F5A"/>
    <w:rsid w:val="00BF6B28"/>
    <w:rsid w:val="00BF7E02"/>
    <w:rsid w:val="00C00426"/>
    <w:rsid w:val="00C00757"/>
    <w:rsid w:val="00C02A27"/>
    <w:rsid w:val="00C0442E"/>
    <w:rsid w:val="00C05152"/>
    <w:rsid w:val="00C068D6"/>
    <w:rsid w:val="00C06E2F"/>
    <w:rsid w:val="00C06FD9"/>
    <w:rsid w:val="00C10B18"/>
    <w:rsid w:val="00C1197A"/>
    <w:rsid w:val="00C12B90"/>
    <w:rsid w:val="00C1340A"/>
    <w:rsid w:val="00C1365F"/>
    <w:rsid w:val="00C164A1"/>
    <w:rsid w:val="00C1751A"/>
    <w:rsid w:val="00C22FBE"/>
    <w:rsid w:val="00C23AE3"/>
    <w:rsid w:val="00C257A6"/>
    <w:rsid w:val="00C27510"/>
    <w:rsid w:val="00C32A8C"/>
    <w:rsid w:val="00C334DF"/>
    <w:rsid w:val="00C33B04"/>
    <w:rsid w:val="00C34350"/>
    <w:rsid w:val="00C34C1C"/>
    <w:rsid w:val="00C3567B"/>
    <w:rsid w:val="00C36102"/>
    <w:rsid w:val="00C36361"/>
    <w:rsid w:val="00C3795E"/>
    <w:rsid w:val="00C45989"/>
    <w:rsid w:val="00C45F8F"/>
    <w:rsid w:val="00C4626E"/>
    <w:rsid w:val="00C47C73"/>
    <w:rsid w:val="00C50044"/>
    <w:rsid w:val="00C51819"/>
    <w:rsid w:val="00C537D5"/>
    <w:rsid w:val="00C53CEB"/>
    <w:rsid w:val="00C54568"/>
    <w:rsid w:val="00C55542"/>
    <w:rsid w:val="00C5559F"/>
    <w:rsid w:val="00C55EB9"/>
    <w:rsid w:val="00C56123"/>
    <w:rsid w:val="00C56916"/>
    <w:rsid w:val="00C57BB2"/>
    <w:rsid w:val="00C60F1E"/>
    <w:rsid w:val="00C6202F"/>
    <w:rsid w:val="00C62187"/>
    <w:rsid w:val="00C62C64"/>
    <w:rsid w:val="00C62D1C"/>
    <w:rsid w:val="00C63676"/>
    <w:rsid w:val="00C65A83"/>
    <w:rsid w:val="00C66820"/>
    <w:rsid w:val="00C7137B"/>
    <w:rsid w:val="00C73E0D"/>
    <w:rsid w:val="00C752CA"/>
    <w:rsid w:val="00C80B9D"/>
    <w:rsid w:val="00C81A3E"/>
    <w:rsid w:val="00C833B5"/>
    <w:rsid w:val="00C837A4"/>
    <w:rsid w:val="00C875E4"/>
    <w:rsid w:val="00C90FA8"/>
    <w:rsid w:val="00C91661"/>
    <w:rsid w:val="00C92867"/>
    <w:rsid w:val="00C94205"/>
    <w:rsid w:val="00CA1493"/>
    <w:rsid w:val="00CA31DD"/>
    <w:rsid w:val="00CA3A0F"/>
    <w:rsid w:val="00CA4FAB"/>
    <w:rsid w:val="00CA512E"/>
    <w:rsid w:val="00CB0D5B"/>
    <w:rsid w:val="00CB3342"/>
    <w:rsid w:val="00CB3654"/>
    <w:rsid w:val="00CB3CB7"/>
    <w:rsid w:val="00CC0126"/>
    <w:rsid w:val="00CC0EF4"/>
    <w:rsid w:val="00CC2B24"/>
    <w:rsid w:val="00CC412C"/>
    <w:rsid w:val="00CC58E8"/>
    <w:rsid w:val="00CC6ABC"/>
    <w:rsid w:val="00CC730C"/>
    <w:rsid w:val="00CD1A0F"/>
    <w:rsid w:val="00CD66EF"/>
    <w:rsid w:val="00CD6FF5"/>
    <w:rsid w:val="00CE176F"/>
    <w:rsid w:val="00CE1E74"/>
    <w:rsid w:val="00CE2976"/>
    <w:rsid w:val="00CE416B"/>
    <w:rsid w:val="00CE5718"/>
    <w:rsid w:val="00CF1330"/>
    <w:rsid w:val="00CF24C8"/>
    <w:rsid w:val="00CF5B2F"/>
    <w:rsid w:val="00CF6BF0"/>
    <w:rsid w:val="00D024CA"/>
    <w:rsid w:val="00D03790"/>
    <w:rsid w:val="00D05766"/>
    <w:rsid w:val="00D05856"/>
    <w:rsid w:val="00D059FB"/>
    <w:rsid w:val="00D060B7"/>
    <w:rsid w:val="00D06645"/>
    <w:rsid w:val="00D06889"/>
    <w:rsid w:val="00D06CF5"/>
    <w:rsid w:val="00D10F9B"/>
    <w:rsid w:val="00D12971"/>
    <w:rsid w:val="00D132EF"/>
    <w:rsid w:val="00D147F8"/>
    <w:rsid w:val="00D173A4"/>
    <w:rsid w:val="00D17F50"/>
    <w:rsid w:val="00D20335"/>
    <w:rsid w:val="00D2049D"/>
    <w:rsid w:val="00D23683"/>
    <w:rsid w:val="00D26289"/>
    <w:rsid w:val="00D27A0B"/>
    <w:rsid w:val="00D27F93"/>
    <w:rsid w:val="00D32D2A"/>
    <w:rsid w:val="00D33CD9"/>
    <w:rsid w:val="00D35AF4"/>
    <w:rsid w:val="00D3648B"/>
    <w:rsid w:val="00D37A81"/>
    <w:rsid w:val="00D40B93"/>
    <w:rsid w:val="00D42111"/>
    <w:rsid w:val="00D42F16"/>
    <w:rsid w:val="00D440B0"/>
    <w:rsid w:val="00D44BE3"/>
    <w:rsid w:val="00D4564A"/>
    <w:rsid w:val="00D4723C"/>
    <w:rsid w:val="00D47905"/>
    <w:rsid w:val="00D47BB7"/>
    <w:rsid w:val="00D47E3D"/>
    <w:rsid w:val="00D50232"/>
    <w:rsid w:val="00D50DE9"/>
    <w:rsid w:val="00D51000"/>
    <w:rsid w:val="00D52252"/>
    <w:rsid w:val="00D5231F"/>
    <w:rsid w:val="00D5237E"/>
    <w:rsid w:val="00D53344"/>
    <w:rsid w:val="00D55EB0"/>
    <w:rsid w:val="00D565AB"/>
    <w:rsid w:val="00D56624"/>
    <w:rsid w:val="00D566B7"/>
    <w:rsid w:val="00D572A8"/>
    <w:rsid w:val="00D6150A"/>
    <w:rsid w:val="00D6240D"/>
    <w:rsid w:val="00D63A5D"/>
    <w:rsid w:val="00D657DB"/>
    <w:rsid w:val="00D6784A"/>
    <w:rsid w:val="00D70A5A"/>
    <w:rsid w:val="00D720FE"/>
    <w:rsid w:val="00D722A0"/>
    <w:rsid w:val="00D73059"/>
    <w:rsid w:val="00D73FC9"/>
    <w:rsid w:val="00D74ABE"/>
    <w:rsid w:val="00D76208"/>
    <w:rsid w:val="00D77F5D"/>
    <w:rsid w:val="00D8003A"/>
    <w:rsid w:val="00D80869"/>
    <w:rsid w:val="00D80F30"/>
    <w:rsid w:val="00D81AA3"/>
    <w:rsid w:val="00D83139"/>
    <w:rsid w:val="00D843E0"/>
    <w:rsid w:val="00D85547"/>
    <w:rsid w:val="00D905AF"/>
    <w:rsid w:val="00D92EB2"/>
    <w:rsid w:val="00D9538A"/>
    <w:rsid w:val="00D97389"/>
    <w:rsid w:val="00DA0027"/>
    <w:rsid w:val="00DA0CFC"/>
    <w:rsid w:val="00DA178A"/>
    <w:rsid w:val="00DA302E"/>
    <w:rsid w:val="00DA320A"/>
    <w:rsid w:val="00DA420D"/>
    <w:rsid w:val="00DA5C67"/>
    <w:rsid w:val="00DB1A2C"/>
    <w:rsid w:val="00DB1BE6"/>
    <w:rsid w:val="00DB4B7E"/>
    <w:rsid w:val="00DB7FC3"/>
    <w:rsid w:val="00DC17A4"/>
    <w:rsid w:val="00DC4F38"/>
    <w:rsid w:val="00DC7EA0"/>
    <w:rsid w:val="00DD15C3"/>
    <w:rsid w:val="00DD211F"/>
    <w:rsid w:val="00DD2B65"/>
    <w:rsid w:val="00DD6070"/>
    <w:rsid w:val="00DD71A1"/>
    <w:rsid w:val="00DD7D01"/>
    <w:rsid w:val="00DE1BB6"/>
    <w:rsid w:val="00DE1C3E"/>
    <w:rsid w:val="00DE3318"/>
    <w:rsid w:val="00DE4B31"/>
    <w:rsid w:val="00DE63CA"/>
    <w:rsid w:val="00DF21AB"/>
    <w:rsid w:val="00DF5208"/>
    <w:rsid w:val="00DF728D"/>
    <w:rsid w:val="00E01E45"/>
    <w:rsid w:val="00E064F6"/>
    <w:rsid w:val="00E0690F"/>
    <w:rsid w:val="00E070BE"/>
    <w:rsid w:val="00E071F5"/>
    <w:rsid w:val="00E10294"/>
    <w:rsid w:val="00E10878"/>
    <w:rsid w:val="00E10C37"/>
    <w:rsid w:val="00E12C79"/>
    <w:rsid w:val="00E137ED"/>
    <w:rsid w:val="00E155A8"/>
    <w:rsid w:val="00E155D9"/>
    <w:rsid w:val="00E225FE"/>
    <w:rsid w:val="00E235D2"/>
    <w:rsid w:val="00E24734"/>
    <w:rsid w:val="00E3508B"/>
    <w:rsid w:val="00E35D14"/>
    <w:rsid w:val="00E3756B"/>
    <w:rsid w:val="00E40127"/>
    <w:rsid w:val="00E4191B"/>
    <w:rsid w:val="00E513D9"/>
    <w:rsid w:val="00E52FD7"/>
    <w:rsid w:val="00E53156"/>
    <w:rsid w:val="00E544A0"/>
    <w:rsid w:val="00E54CA7"/>
    <w:rsid w:val="00E57BAD"/>
    <w:rsid w:val="00E61BB1"/>
    <w:rsid w:val="00E63215"/>
    <w:rsid w:val="00E6329B"/>
    <w:rsid w:val="00E65238"/>
    <w:rsid w:val="00E66A09"/>
    <w:rsid w:val="00E67B8C"/>
    <w:rsid w:val="00E67C9A"/>
    <w:rsid w:val="00E700DF"/>
    <w:rsid w:val="00E730E8"/>
    <w:rsid w:val="00E733FE"/>
    <w:rsid w:val="00E75385"/>
    <w:rsid w:val="00E80388"/>
    <w:rsid w:val="00E80DB7"/>
    <w:rsid w:val="00E80F78"/>
    <w:rsid w:val="00E81555"/>
    <w:rsid w:val="00E83AA0"/>
    <w:rsid w:val="00E83D6F"/>
    <w:rsid w:val="00E8455D"/>
    <w:rsid w:val="00E84D04"/>
    <w:rsid w:val="00E90D49"/>
    <w:rsid w:val="00E924BA"/>
    <w:rsid w:val="00E92BF8"/>
    <w:rsid w:val="00E95E55"/>
    <w:rsid w:val="00E974F7"/>
    <w:rsid w:val="00EA2AAD"/>
    <w:rsid w:val="00EA6023"/>
    <w:rsid w:val="00EB0B2A"/>
    <w:rsid w:val="00EB3843"/>
    <w:rsid w:val="00EB3B9B"/>
    <w:rsid w:val="00EB4651"/>
    <w:rsid w:val="00EB555C"/>
    <w:rsid w:val="00EB55F8"/>
    <w:rsid w:val="00EC09ED"/>
    <w:rsid w:val="00EC28F6"/>
    <w:rsid w:val="00EC3534"/>
    <w:rsid w:val="00EC5694"/>
    <w:rsid w:val="00EC63C6"/>
    <w:rsid w:val="00EC6674"/>
    <w:rsid w:val="00ED0C1E"/>
    <w:rsid w:val="00ED1301"/>
    <w:rsid w:val="00ED1700"/>
    <w:rsid w:val="00ED72CA"/>
    <w:rsid w:val="00ED7A5E"/>
    <w:rsid w:val="00EE4D71"/>
    <w:rsid w:val="00EE67FE"/>
    <w:rsid w:val="00EF5CB0"/>
    <w:rsid w:val="00EF64C5"/>
    <w:rsid w:val="00EF6F02"/>
    <w:rsid w:val="00EF7650"/>
    <w:rsid w:val="00F01833"/>
    <w:rsid w:val="00F0185E"/>
    <w:rsid w:val="00F02251"/>
    <w:rsid w:val="00F049EF"/>
    <w:rsid w:val="00F04ACA"/>
    <w:rsid w:val="00F062C5"/>
    <w:rsid w:val="00F067D1"/>
    <w:rsid w:val="00F07178"/>
    <w:rsid w:val="00F12026"/>
    <w:rsid w:val="00F1233C"/>
    <w:rsid w:val="00F15059"/>
    <w:rsid w:val="00F1797E"/>
    <w:rsid w:val="00F2286D"/>
    <w:rsid w:val="00F235B9"/>
    <w:rsid w:val="00F2424C"/>
    <w:rsid w:val="00F24DFF"/>
    <w:rsid w:val="00F26D3B"/>
    <w:rsid w:val="00F271F9"/>
    <w:rsid w:val="00F33EBD"/>
    <w:rsid w:val="00F354C8"/>
    <w:rsid w:val="00F379D4"/>
    <w:rsid w:val="00F40057"/>
    <w:rsid w:val="00F40601"/>
    <w:rsid w:val="00F424AC"/>
    <w:rsid w:val="00F46791"/>
    <w:rsid w:val="00F508F4"/>
    <w:rsid w:val="00F50F96"/>
    <w:rsid w:val="00F51125"/>
    <w:rsid w:val="00F52258"/>
    <w:rsid w:val="00F52F3B"/>
    <w:rsid w:val="00F53465"/>
    <w:rsid w:val="00F538B7"/>
    <w:rsid w:val="00F53A0A"/>
    <w:rsid w:val="00F60906"/>
    <w:rsid w:val="00F61E37"/>
    <w:rsid w:val="00F64359"/>
    <w:rsid w:val="00F66D3F"/>
    <w:rsid w:val="00F7003B"/>
    <w:rsid w:val="00F715D2"/>
    <w:rsid w:val="00F73080"/>
    <w:rsid w:val="00F730C1"/>
    <w:rsid w:val="00F74592"/>
    <w:rsid w:val="00F76AAC"/>
    <w:rsid w:val="00F76D57"/>
    <w:rsid w:val="00F76D7B"/>
    <w:rsid w:val="00F80284"/>
    <w:rsid w:val="00F8149E"/>
    <w:rsid w:val="00F8324E"/>
    <w:rsid w:val="00F83811"/>
    <w:rsid w:val="00F838C9"/>
    <w:rsid w:val="00F83E59"/>
    <w:rsid w:val="00F83F7B"/>
    <w:rsid w:val="00F86436"/>
    <w:rsid w:val="00F91C4B"/>
    <w:rsid w:val="00F939BC"/>
    <w:rsid w:val="00F957C1"/>
    <w:rsid w:val="00F95BCA"/>
    <w:rsid w:val="00F9777D"/>
    <w:rsid w:val="00F97959"/>
    <w:rsid w:val="00FA03CF"/>
    <w:rsid w:val="00FA0C41"/>
    <w:rsid w:val="00FA69B5"/>
    <w:rsid w:val="00FA6FCF"/>
    <w:rsid w:val="00FB1A89"/>
    <w:rsid w:val="00FB23DB"/>
    <w:rsid w:val="00FB2A7D"/>
    <w:rsid w:val="00FB3D0B"/>
    <w:rsid w:val="00FB592F"/>
    <w:rsid w:val="00FB6B08"/>
    <w:rsid w:val="00FC04B0"/>
    <w:rsid w:val="00FC2221"/>
    <w:rsid w:val="00FC25F6"/>
    <w:rsid w:val="00FC619A"/>
    <w:rsid w:val="00FC62A5"/>
    <w:rsid w:val="00FC7354"/>
    <w:rsid w:val="00FD0DA5"/>
    <w:rsid w:val="00FD231A"/>
    <w:rsid w:val="00FD2EC7"/>
    <w:rsid w:val="00FE1572"/>
    <w:rsid w:val="00FE2259"/>
    <w:rsid w:val="00FE4197"/>
    <w:rsid w:val="00FE47DA"/>
    <w:rsid w:val="00FE4EF8"/>
    <w:rsid w:val="00FE4F77"/>
    <w:rsid w:val="00FE53D4"/>
    <w:rsid w:val="00FE6412"/>
    <w:rsid w:val="00FF1C6E"/>
    <w:rsid w:val="00FF2AB3"/>
    <w:rsid w:val="00FF3D10"/>
    <w:rsid w:val="00FF3FF3"/>
    <w:rsid w:val="00FF4175"/>
    <w:rsid w:val="00FF4185"/>
    <w:rsid w:val="00FF7C84"/>
    <w:rsid w:val="0D156BB6"/>
    <w:rsid w:val="113D7F39"/>
    <w:rsid w:val="20E180E6"/>
    <w:rsid w:val="3266BC34"/>
    <w:rsid w:val="3893BC84"/>
    <w:rsid w:val="6104F89C"/>
    <w:rsid w:val="65F8314A"/>
    <w:rsid w:val="7DD2812E"/>
    <w:rsid w:val="7FF812D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626"/>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041F2C"/>
    <w:pPr>
      <w:keepNext/>
      <w:keepLines/>
      <w:spacing w:before="144" w:after="144"/>
      <w:outlineLvl w:val="2"/>
    </w:pPr>
    <w:rPr>
      <w:rFonts w:ascii="Arial Bold" w:hAnsi="Arial Bold"/>
      <w:bCs/>
      <w:color w:val="000000" w:themeColor="text1"/>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041F2C"/>
    <w:rPr>
      <w:rFonts w:ascii="Arial Bold" w:eastAsia="Times New Roman" w:hAnsi="Arial Bold" w:cs="Times New Roman"/>
      <w:bCs/>
      <w:color w:val="000000" w:themeColor="text1"/>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8"/>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4"/>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11"/>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12"/>
      </w:numPr>
    </w:pPr>
    <w:rPr>
      <w:szCs w:val="22"/>
      <w:lang w:val="en"/>
    </w:rPr>
  </w:style>
  <w:style w:type="paragraph" w:customStyle="1" w:styleId="Bulletroman">
    <w:name w:val="Bullet roman"/>
    <w:basedOn w:val="bulletalpha"/>
    <w:qFormat/>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1"/>
    <w:next w:val="Normal"/>
    <w:uiPriority w:val="39"/>
    <w:unhideWhenUsed/>
    <w:qFormat/>
    <w:rsid w:val="002D5D9C"/>
    <w:pPr>
      <w:keepLines/>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2D5D9C"/>
    <w:pPr>
      <w:spacing w:after="100"/>
    </w:pPr>
  </w:style>
  <w:style w:type="paragraph" w:styleId="TOC2">
    <w:name w:val="toc 2"/>
    <w:basedOn w:val="Normal"/>
    <w:next w:val="Normal"/>
    <w:autoRedefine/>
    <w:uiPriority w:val="39"/>
    <w:unhideWhenUsed/>
    <w:rsid w:val="002D5D9C"/>
    <w:pPr>
      <w:spacing w:after="100"/>
      <w:ind w:left="220"/>
    </w:pPr>
  </w:style>
  <w:style w:type="paragraph" w:styleId="Revision">
    <w:name w:val="Revision"/>
    <w:hidden/>
    <w:uiPriority w:val="99"/>
    <w:semiHidden/>
    <w:rsid w:val="00BB5395"/>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BF5E8F"/>
    <w:rPr>
      <w:sz w:val="16"/>
      <w:szCs w:val="16"/>
    </w:rPr>
  </w:style>
  <w:style w:type="paragraph" w:styleId="CommentText">
    <w:name w:val="annotation text"/>
    <w:basedOn w:val="Normal"/>
    <w:link w:val="CommentTextChar"/>
    <w:uiPriority w:val="99"/>
    <w:unhideWhenUsed/>
    <w:rsid w:val="00BF5E8F"/>
    <w:pPr>
      <w:spacing w:line="240" w:lineRule="auto"/>
    </w:pPr>
    <w:rPr>
      <w:sz w:val="20"/>
    </w:rPr>
  </w:style>
  <w:style w:type="character" w:customStyle="1" w:styleId="CommentTextChar">
    <w:name w:val="Comment Text Char"/>
    <w:basedOn w:val="DefaultParagraphFont"/>
    <w:link w:val="CommentText"/>
    <w:uiPriority w:val="99"/>
    <w:rsid w:val="00BF5E8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F5E8F"/>
    <w:rPr>
      <w:b/>
      <w:bCs/>
    </w:rPr>
  </w:style>
  <w:style w:type="character" w:customStyle="1" w:styleId="CommentSubjectChar">
    <w:name w:val="Comment Subject Char"/>
    <w:basedOn w:val="CommentTextChar"/>
    <w:link w:val="CommentSubject"/>
    <w:uiPriority w:val="99"/>
    <w:semiHidden/>
    <w:rsid w:val="00BF5E8F"/>
    <w:rPr>
      <w:rFonts w:ascii="Calibri" w:eastAsia="Times New Roman" w:hAnsi="Calibri" w:cs="Times New Roman"/>
      <w:b/>
      <w:bCs/>
      <w:sz w:val="20"/>
      <w:szCs w:val="20"/>
    </w:rPr>
  </w:style>
  <w:style w:type="paragraph" w:customStyle="1" w:styleId="Pa6">
    <w:name w:val="Pa6"/>
    <w:basedOn w:val="Normal"/>
    <w:next w:val="Normal"/>
    <w:uiPriority w:val="99"/>
    <w:rsid w:val="00070137"/>
    <w:pPr>
      <w:autoSpaceDE w:val="0"/>
      <w:autoSpaceDN w:val="0"/>
      <w:adjustRightInd w:val="0"/>
      <w:spacing w:before="0" w:after="0" w:line="201" w:lineRule="atLeast"/>
    </w:pPr>
    <w:rPr>
      <w:rFonts w:ascii="Gotham Light" w:eastAsiaTheme="minorHAnsi" w:hAnsi="Gotham Light"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973317">
      <w:bodyDiv w:val="1"/>
      <w:marLeft w:val="0"/>
      <w:marRight w:val="0"/>
      <w:marTop w:val="0"/>
      <w:marBottom w:val="0"/>
      <w:divBdr>
        <w:top w:val="none" w:sz="0" w:space="0" w:color="auto"/>
        <w:left w:val="none" w:sz="0" w:space="0" w:color="auto"/>
        <w:bottom w:val="none" w:sz="0" w:space="0" w:color="auto"/>
        <w:right w:val="none" w:sz="0" w:space="0" w:color="auto"/>
      </w:divBdr>
    </w:div>
    <w:div w:id="1445346601">
      <w:bodyDiv w:val="1"/>
      <w:marLeft w:val="0"/>
      <w:marRight w:val="0"/>
      <w:marTop w:val="0"/>
      <w:marBottom w:val="0"/>
      <w:divBdr>
        <w:top w:val="none" w:sz="0" w:space="0" w:color="auto"/>
        <w:left w:val="none" w:sz="0" w:space="0" w:color="auto"/>
        <w:bottom w:val="none" w:sz="0" w:space="0" w:color="auto"/>
        <w:right w:val="none" w:sz="0" w:space="0" w:color="auto"/>
      </w:divBdr>
    </w:div>
    <w:div w:id="1447845991">
      <w:bodyDiv w:val="1"/>
      <w:marLeft w:val="0"/>
      <w:marRight w:val="0"/>
      <w:marTop w:val="0"/>
      <w:marBottom w:val="0"/>
      <w:divBdr>
        <w:top w:val="none" w:sz="0" w:space="0" w:color="auto"/>
        <w:left w:val="none" w:sz="0" w:space="0" w:color="auto"/>
        <w:bottom w:val="none" w:sz="0" w:space="0" w:color="auto"/>
        <w:right w:val="none" w:sz="0" w:space="0" w:color="auto"/>
      </w:divBdr>
    </w:div>
    <w:div w:id="198708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5.tmp"/><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gamblingandracing.act.gov.au/__data/assets/pdf_file/0003/745059/Review-of-the-ACT-Governments-Harm-Minimisation-Measures.pdf" TargetMode="External"/><Relationship Id="rId3" Type="http://schemas.openxmlformats.org/officeDocument/2006/relationships/hyperlink" Target="https://www.liquorandgaming.nsw.gov.au/__data/assets/pdf_file/0008/1350647/review-of-gaming-machine-shutdown-hours-framework-report.pdf" TargetMode="External"/><Relationship Id="rId7" Type="http://schemas.openxmlformats.org/officeDocument/2006/relationships/hyperlink" Target="https://www.liquorandgaming.nsw.gov.au/__data/assets/pdf_file/0008/1350647/review-of-gaming-machine-shutdown-hours-framework-report.pdf" TargetMode="External"/><Relationship Id="rId2" Type="http://schemas.openxmlformats.org/officeDocument/2006/relationships/hyperlink" Target="https://www.liquorandgaming.nsw.gov.au/__data/assets/pdf_file/0016/1140037/impact-of-electronic-gaming-machine-late-night-play-on-egm-player-behaviours-may-2023.pdf" TargetMode="External"/><Relationship Id="rId1" Type="http://schemas.openxmlformats.org/officeDocument/2006/relationships/hyperlink" Target="https://www.legislation.act.gov.au/View/GetHTMLFile/es/db_13774/20040730-15656/html/db_13774.html" TargetMode="External"/><Relationship Id="rId6" Type="http://schemas.openxmlformats.org/officeDocument/2006/relationships/hyperlink" Target="https://www.gamblingandracing.act.gov.au/__data/assets/pdf_file/0010/982774/2014-Gambling-Expenditure.pdf" TargetMode="External"/><Relationship Id="rId5" Type="http://schemas.openxmlformats.org/officeDocument/2006/relationships/hyperlink" Target="https://www.liquorandgaming.nsw.gov.au/__data/assets/pdf_file/0016/1140037/impact-of-electronic-gaming-machine-late-night-play-on-egm-player-behaviours-may-2023.pdf" TargetMode="External"/><Relationship Id="rId4" Type="http://schemas.openxmlformats.org/officeDocument/2006/relationships/hyperlink" Target="https://responsiblegambling.vic.gov.au/resources/publications/assessing-gambling-related-harm-in-victoria-a-public-health-perspective-6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550CA7E2FD645B9F6F1E8C412B5A6" ma:contentTypeVersion="19" ma:contentTypeDescription="Create a new document." ma:contentTypeScope="" ma:versionID="d19490b8eeadf6720f35363679f7a8bb">
  <xsd:schema xmlns:xsd="http://www.w3.org/2001/XMLSchema" xmlns:xs="http://www.w3.org/2001/XMLSchema" xmlns:p="http://schemas.microsoft.com/office/2006/metadata/properties" xmlns:ns2="3e89e175-73fc-42ca-9535-6b65a62dc54f" xmlns:ns3="38b4ef72-48bb-414b-9145-d71cfc9bb66e" targetNamespace="http://schemas.microsoft.com/office/2006/metadata/properties" ma:root="true" ma:fieldsID="7a8d9175564070b6490bb37c05246a30" ns2:_="" ns3:_="">
    <xsd:import namespace="3e89e175-73fc-42ca-9535-6b65a62dc54f"/>
    <xsd:import namespace="38b4ef72-48bb-414b-9145-d71cfc9bb6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Brief" minOccurs="0"/>
                <xsd:element ref="ns2:JACSITEMS" minOccurs="0"/>
                <xsd:element ref="ns2:AttendanceRequired"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9e175-73fc-42ca-9535-6b65a62dc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rief" ma:index="12" nillable="true" ma:displayName="Brief" ma:default="1" ma:format="Dropdown" ma:internalName="Brief">
      <xsd:simpleType>
        <xsd:restriction base="dms:Boolean"/>
      </xsd:simpleType>
    </xsd:element>
    <xsd:element name="JACSITEMS" ma:index="13" nillable="true" ma:displayName="JACS ITEMS " ma:format="Dropdown" ma:internalName="JACSITEMS">
      <xsd:simpleType>
        <xsd:restriction base="dms:Note">
          <xsd:maxLength value="255"/>
        </xsd:restriction>
      </xsd:simpleType>
    </xsd:element>
    <xsd:element name="AttendanceRequired" ma:index="14" nillable="true" ma:displayName="Attendance Required" ma:default="1" ma:format="Dropdown" ma:internalName="AttendanceRequired">
      <xsd:simpleType>
        <xsd:restriction base="dms:Boolea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b4ef72-48bb-414b-9145-d71cfc9bb6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72b55b3-4feb-4bf7-a216-0dac91a3caef}" ma:internalName="TaxCatchAll" ma:showField="CatchAllData" ma:web="38b4ef72-48bb-414b-9145-d71cfc9bb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7E35193C-813C-4AE2-A83A-C8CFD4017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9e175-73fc-42ca-9535-6b65a62dc54f"/>
    <ds:schemaRef ds:uri="38b4ef72-48bb-414b-9145-d71cfc9bb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4335</Words>
  <Characters>23409</Characters>
  <Application>Microsoft Office Word</Application>
  <DocSecurity>0</DocSecurity>
  <Lines>425</Lines>
  <Paragraphs>166</Paragraphs>
  <ScaleCrop>false</ScaleCrop>
  <Company>ACT Government</Company>
  <LinksUpToDate>false</LinksUpToDate>
  <CharactersWithSpaces>27578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ACT Government</dc:creator>
  <cp:keywords>2</cp:keywords>
  <cp:lastModifiedBy>PCODCS</cp:lastModifiedBy>
  <cp:revision>5</cp:revision>
  <cp:lastPrinted>2019-06-13T01:11:00Z</cp:lastPrinted>
  <dcterms:created xsi:type="dcterms:W3CDTF">2026-09-16T05:57:00Z</dcterms:created>
  <dcterms:modified xsi:type="dcterms:W3CDTF">2026-09-16T05:57:00Z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0x010100D9C550CA7E2FD645B9F6F1E8C412B5A6</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CHECKEDOUTFROMJMS">
    <vt:lpwstr/>
  </property>
  <property fmtid="{D5CDD505-2E9C-101B-9397-08002B2CF9AE}" pid="12" name="DMSID">
    <vt:lpwstr>15942277</vt:lpwstr>
  </property>
  <property fmtid="{D5CDD505-2E9C-101B-9397-08002B2CF9AE}" pid="13" name="JMSREQUIREDCHECKIN">
    <vt:lpwstr/>
  </property>
</Properties>
</file>