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E354" w14:textId="29717F1C" w:rsidR="00DC1ED9" w:rsidRDefault="00FB465A">
      <w:pPr>
        <w:spacing w:after="129" w:line="259" w:lineRule="auto"/>
        <w:ind w:left="75" w:firstLine="0"/>
        <w:jc w:val="center"/>
      </w:pPr>
      <w:r>
        <w:rPr>
          <w:b/>
          <w:sz w:val="32"/>
        </w:rPr>
        <w:t xml:space="preserve"> </w:t>
      </w:r>
    </w:p>
    <w:p w14:paraId="2E321955" w14:textId="77777777" w:rsidR="00DC1ED9" w:rsidRDefault="00FB465A">
      <w:pPr>
        <w:spacing w:after="227" w:line="259" w:lineRule="auto"/>
        <w:ind w:left="74" w:firstLine="0"/>
        <w:jc w:val="center"/>
      </w:pPr>
      <w:r>
        <w:rPr>
          <w:b/>
          <w:sz w:val="32"/>
        </w:rPr>
        <w:t xml:space="preserve"> </w:t>
      </w:r>
    </w:p>
    <w:p w14:paraId="5302A99E" w14:textId="77777777" w:rsidR="00DC1ED9" w:rsidRDefault="00FB465A">
      <w:pPr>
        <w:spacing w:after="230" w:line="259" w:lineRule="auto"/>
        <w:ind w:left="0" w:firstLine="0"/>
      </w:pPr>
      <w:r>
        <w:rPr>
          <w:sz w:val="32"/>
        </w:rPr>
        <w:t xml:space="preserve"> </w:t>
      </w:r>
    </w:p>
    <w:p w14:paraId="346D164C" w14:textId="3B3A49CE" w:rsidR="00E60A87" w:rsidRDefault="00E60A87" w:rsidP="00D85F72">
      <w:pPr>
        <w:spacing w:after="150" w:line="259" w:lineRule="auto"/>
        <w:ind w:left="142" w:firstLine="0"/>
        <w:jc w:val="center"/>
      </w:pPr>
      <w:r>
        <w:rPr>
          <w:b/>
          <w:sz w:val="32"/>
        </w:rPr>
        <w:t>Regulatory Impact Statement</w:t>
      </w:r>
    </w:p>
    <w:p w14:paraId="28320723" w14:textId="5B6D3868" w:rsidR="00DC1ED9" w:rsidRDefault="00FB465A">
      <w:pPr>
        <w:spacing w:after="189" w:line="259" w:lineRule="auto"/>
        <w:ind w:left="0" w:right="1" w:firstLine="0"/>
        <w:jc w:val="center"/>
      </w:pPr>
      <w:r>
        <w:rPr>
          <w:b/>
          <w:sz w:val="32"/>
        </w:rPr>
        <w:t xml:space="preserve">Energy Efficiency Improvement Scheme </w:t>
      </w:r>
    </w:p>
    <w:p w14:paraId="2248A368" w14:textId="2B4195CC" w:rsidR="00DC1ED9" w:rsidRDefault="00FB465A" w:rsidP="00341803">
      <w:pPr>
        <w:spacing w:after="261" w:line="259" w:lineRule="auto"/>
        <w:ind w:left="163" w:firstLine="0"/>
        <w:jc w:val="center"/>
      </w:pPr>
      <w:r>
        <w:rPr>
          <w:b/>
          <w:sz w:val="28"/>
        </w:rPr>
        <w:t xml:space="preserve">Setting the Priority Household Target for </w:t>
      </w:r>
      <w:r w:rsidR="00416B94">
        <w:rPr>
          <w:b/>
          <w:sz w:val="28"/>
        </w:rPr>
        <w:t>202</w:t>
      </w:r>
      <w:r w:rsidR="00415633">
        <w:rPr>
          <w:b/>
          <w:sz w:val="28"/>
        </w:rPr>
        <w:t>7</w:t>
      </w:r>
      <w:r w:rsidR="00416B94">
        <w:rPr>
          <w:b/>
          <w:sz w:val="28"/>
        </w:rPr>
        <w:t xml:space="preserve"> </w:t>
      </w:r>
      <w:r>
        <w:rPr>
          <w:b/>
          <w:sz w:val="28"/>
        </w:rPr>
        <w:t>by Disallowable Instrument:</w:t>
      </w:r>
    </w:p>
    <w:p w14:paraId="4068D3C7" w14:textId="6E16A2C9" w:rsidR="006351B0" w:rsidRPr="006351B0" w:rsidRDefault="00FB465A" w:rsidP="00341803">
      <w:pPr>
        <w:spacing w:after="230" w:line="259" w:lineRule="auto"/>
        <w:ind w:left="136" w:hanging="11"/>
        <w:rPr>
          <w:iCs/>
        </w:rPr>
      </w:pPr>
      <w:r>
        <w:rPr>
          <w:i/>
          <w:sz w:val="32"/>
        </w:rPr>
        <w:t xml:space="preserve">Energy Efficiency (Cost of Living) Improvement (Priority Household Target) Determination </w:t>
      </w:r>
      <w:r w:rsidR="00212584">
        <w:rPr>
          <w:i/>
          <w:sz w:val="32"/>
        </w:rPr>
        <w:t>202</w:t>
      </w:r>
      <w:r w:rsidR="00F03EC9">
        <w:rPr>
          <w:i/>
          <w:sz w:val="32"/>
        </w:rPr>
        <w:t>6</w:t>
      </w:r>
      <w:r w:rsidR="00212584">
        <w:rPr>
          <w:i/>
          <w:sz w:val="32"/>
        </w:rPr>
        <w:t xml:space="preserve"> </w:t>
      </w:r>
      <w:r w:rsidR="006351B0" w:rsidRPr="00E3303D">
        <w:rPr>
          <w:iCs/>
          <w:sz w:val="32"/>
        </w:rPr>
        <w:t>DI202</w:t>
      </w:r>
      <w:r w:rsidR="00F03EC9" w:rsidRPr="00E3303D">
        <w:rPr>
          <w:iCs/>
          <w:sz w:val="32"/>
        </w:rPr>
        <w:t>6</w:t>
      </w:r>
      <w:r w:rsidR="00B11F5D" w:rsidRPr="00E3303D">
        <w:rPr>
          <w:iCs/>
          <w:sz w:val="32"/>
        </w:rPr>
        <w:t>-</w:t>
      </w:r>
      <w:r w:rsidR="000A3F88">
        <w:rPr>
          <w:iCs/>
          <w:sz w:val="32"/>
        </w:rPr>
        <w:t>209</w:t>
      </w:r>
    </w:p>
    <w:p w14:paraId="52EE48E4" w14:textId="77777777" w:rsidR="00DC1ED9" w:rsidRDefault="00FB465A">
      <w:pPr>
        <w:spacing w:after="221" w:line="259" w:lineRule="auto"/>
        <w:ind w:left="137"/>
      </w:pPr>
      <w:r>
        <w:rPr>
          <w:b/>
        </w:rPr>
        <w:t xml:space="preserve">Prepared in accordance with Chapter 5 of the </w:t>
      </w:r>
      <w:r>
        <w:rPr>
          <w:b/>
          <w:i/>
        </w:rPr>
        <w:t>Legislation Act 2001</w:t>
      </w:r>
      <w:r>
        <w:rPr>
          <w:b/>
        </w:rPr>
        <w:t xml:space="preserve"> </w:t>
      </w:r>
    </w:p>
    <w:p w14:paraId="1A6F21A8" w14:textId="70993862" w:rsidR="00DC1ED9" w:rsidRDefault="00543D29" w:rsidP="0005679F">
      <w:pPr>
        <w:spacing w:after="221" w:line="259" w:lineRule="auto"/>
        <w:ind w:left="137" w:firstLine="0"/>
      </w:pPr>
      <w:r>
        <w:rPr>
          <w:b/>
        </w:rPr>
        <w:t xml:space="preserve">September </w:t>
      </w:r>
      <w:r w:rsidR="00416B94">
        <w:rPr>
          <w:b/>
        </w:rPr>
        <w:t>202</w:t>
      </w:r>
      <w:r w:rsidR="00415633">
        <w:rPr>
          <w:b/>
        </w:rPr>
        <w:t>6</w:t>
      </w:r>
    </w:p>
    <w:p w14:paraId="2257FCAF" w14:textId="77777777" w:rsidR="00AF38A8" w:rsidRDefault="00AF38A8">
      <w:pPr>
        <w:spacing w:after="160" w:line="259" w:lineRule="auto"/>
        <w:ind w:left="0" w:firstLine="0"/>
      </w:pPr>
      <w:r>
        <w:br w:type="page"/>
      </w:r>
    </w:p>
    <w:p w14:paraId="346AE0CE" w14:textId="27777A52" w:rsidR="00DC1ED9" w:rsidRDefault="00DC1ED9">
      <w:pPr>
        <w:spacing w:after="0" w:line="259" w:lineRule="auto"/>
        <w:ind w:left="0" w:firstLine="0"/>
      </w:pPr>
    </w:p>
    <w:sdt>
      <w:sdtPr>
        <w:id w:val="-1676413600"/>
        <w:docPartObj>
          <w:docPartGallery w:val="Table of Contents"/>
        </w:docPartObj>
      </w:sdtPr>
      <w:sdtEndPr/>
      <w:sdtContent>
        <w:p w14:paraId="033F1036" w14:textId="77777777" w:rsidR="00DC1ED9" w:rsidRDefault="00FB465A">
          <w:pPr>
            <w:spacing w:after="0" w:line="259" w:lineRule="auto"/>
            <w:ind w:left="0" w:firstLine="0"/>
          </w:pPr>
          <w:r>
            <w:rPr>
              <w:color w:val="2F5496"/>
              <w:sz w:val="32"/>
            </w:rPr>
            <w:t xml:space="preserve">Contents </w:t>
          </w:r>
        </w:p>
        <w:p w14:paraId="7011E471" w14:textId="28C48E43" w:rsidR="00117CCF" w:rsidRDefault="00FB465A">
          <w:pPr>
            <w:pStyle w:val="TOC1"/>
            <w:tabs>
              <w:tab w:val="left" w:pos="480"/>
              <w:tab w:val="right" w:leader="dot" w:pos="9012"/>
            </w:tabs>
            <w:rPr>
              <w:rFonts w:asciiTheme="minorHAnsi" w:eastAsiaTheme="minorEastAsia" w:hAnsiTheme="minorHAnsi" w:cstheme="minorBidi"/>
              <w:noProof/>
              <w:color w:val="auto"/>
              <w:kern w:val="2"/>
              <w:szCs w:val="24"/>
              <w14:ligatures w14:val="standardContextual"/>
            </w:rPr>
          </w:pPr>
          <w:r>
            <w:fldChar w:fldCharType="begin"/>
          </w:r>
          <w:r>
            <w:instrText xml:space="preserve"> TOC \o "1-1" \h \z \u </w:instrText>
          </w:r>
          <w:r>
            <w:fldChar w:fldCharType="separate"/>
          </w:r>
          <w:hyperlink w:anchor="_Toc241576949" w:history="1">
            <w:r w:rsidR="00117CCF" w:rsidRPr="00495C73">
              <w:rPr>
                <w:rStyle w:val="Hyperlink"/>
                <w:noProof/>
              </w:rPr>
              <w:t>1.</w:t>
            </w:r>
            <w:r w:rsidR="00117CCF">
              <w:rPr>
                <w:rFonts w:asciiTheme="minorHAnsi" w:eastAsiaTheme="minorEastAsia" w:hAnsiTheme="minorHAnsi" w:cstheme="minorBidi"/>
                <w:noProof/>
                <w:color w:val="auto"/>
                <w:kern w:val="2"/>
                <w:szCs w:val="24"/>
                <w14:ligatures w14:val="standardContextual"/>
              </w:rPr>
              <w:tab/>
            </w:r>
            <w:r w:rsidR="00117CCF" w:rsidRPr="00495C73">
              <w:rPr>
                <w:rStyle w:val="Hyperlink"/>
                <w:noProof/>
              </w:rPr>
              <w:t>Executive summary</w:t>
            </w:r>
            <w:r w:rsidR="00117CCF">
              <w:rPr>
                <w:noProof/>
                <w:webHidden/>
              </w:rPr>
              <w:tab/>
            </w:r>
            <w:r w:rsidR="00117CCF">
              <w:rPr>
                <w:noProof/>
                <w:webHidden/>
              </w:rPr>
              <w:fldChar w:fldCharType="begin"/>
            </w:r>
            <w:r w:rsidR="00117CCF">
              <w:rPr>
                <w:noProof/>
                <w:webHidden/>
              </w:rPr>
              <w:instrText xml:space="preserve"> PAGEREF _Toc241576949 \h </w:instrText>
            </w:r>
            <w:r w:rsidR="00117CCF">
              <w:rPr>
                <w:noProof/>
                <w:webHidden/>
              </w:rPr>
            </w:r>
            <w:r w:rsidR="00117CCF">
              <w:rPr>
                <w:noProof/>
                <w:webHidden/>
              </w:rPr>
              <w:fldChar w:fldCharType="separate"/>
            </w:r>
            <w:r w:rsidR="00E623E8">
              <w:rPr>
                <w:noProof/>
                <w:webHidden/>
              </w:rPr>
              <w:t>3</w:t>
            </w:r>
            <w:r w:rsidR="00117CCF">
              <w:rPr>
                <w:noProof/>
                <w:webHidden/>
              </w:rPr>
              <w:fldChar w:fldCharType="end"/>
            </w:r>
          </w:hyperlink>
        </w:p>
        <w:p w14:paraId="7975A4AE" w14:textId="050955C4" w:rsidR="00117CCF" w:rsidRDefault="00117CCF">
          <w:pPr>
            <w:pStyle w:val="TOC1"/>
            <w:tabs>
              <w:tab w:val="left" w:pos="480"/>
              <w:tab w:val="right" w:leader="dot" w:pos="9012"/>
            </w:tabs>
            <w:rPr>
              <w:rFonts w:asciiTheme="minorHAnsi" w:eastAsiaTheme="minorEastAsia" w:hAnsiTheme="minorHAnsi" w:cstheme="minorBidi"/>
              <w:noProof/>
              <w:color w:val="auto"/>
              <w:kern w:val="2"/>
              <w:szCs w:val="24"/>
              <w14:ligatures w14:val="standardContextual"/>
            </w:rPr>
          </w:pPr>
          <w:hyperlink w:anchor="_Toc241576950" w:history="1">
            <w:r w:rsidRPr="00495C73">
              <w:rPr>
                <w:rStyle w:val="Hyperlink"/>
                <w:noProof/>
              </w:rPr>
              <w:t>2.</w:t>
            </w:r>
            <w:r>
              <w:rPr>
                <w:rFonts w:asciiTheme="minorHAnsi" w:eastAsiaTheme="minorEastAsia" w:hAnsiTheme="minorHAnsi" w:cstheme="minorBidi"/>
                <w:noProof/>
                <w:color w:val="auto"/>
                <w:kern w:val="2"/>
                <w:szCs w:val="24"/>
                <w14:ligatures w14:val="standardContextual"/>
              </w:rPr>
              <w:tab/>
            </w:r>
            <w:r w:rsidRPr="00495C73">
              <w:rPr>
                <w:rStyle w:val="Hyperlink"/>
                <w:noProof/>
              </w:rPr>
              <w:t>The authorising law</w:t>
            </w:r>
            <w:r>
              <w:rPr>
                <w:noProof/>
                <w:webHidden/>
              </w:rPr>
              <w:tab/>
            </w:r>
            <w:r>
              <w:rPr>
                <w:noProof/>
                <w:webHidden/>
              </w:rPr>
              <w:fldChar w:fldCharType="begin"/>
            </w:r>
            <w:r>
              <w:rPr>
                <w:noProof/>
                <w:webHidden/>
              </w:rPr>
              <w:instrText xml:space="preserve"> PAGEREF _Toc241576950 \h </w:instrText>
            </w:r>
            <w:r>
              <w:rPr>
                <w:noProof/>
                <w:webHidden/>
              </w:rPr>
            </w:r>
            <w:r>
              <w:rPr>
                <w:noProof/>
                <w:webHidden/>
              </w:rPr>
              <w:fldChar w:fldCharType="separate"/>
            </w:r>
            <w:r w:rsidR="00E623E8">
              <w:rPr>
                <w:noProof/>
                <w:webHidden/>
              </w:rPr>
              <w:t>3</w:t>
            </w:r>
            <w:r>
              <w:rPr>
                <w:noProof/>
                <w:webHidden/>
              </w:rPr>
              <w:fldChar w:fldCharType="end"/>
            </w:r>
          </w:hyperlink>
        </w:p>
        <w:p w14:paraId="313B9B20" w14:textId="32C89D0B" w:rsidR="00117CCF" w:rsidRDefault="00117CCF">
          <w:pPr>
            <w:pStyle w:val="TOC1"/>
            <w:tabs>
              <w:tab w:val="left" w:pos="480"/>
              <w:tab w:val="right" w:leader="dot" w:pos="9012"/>
            </w:tabs>
            <w:rPr>
              <w:rFonts w:asciiTheme="minorHAnsi" w:eastAsiaTheme="minorEastAsia" w:hAnsiTheme="minorHAnsi" w:cstheme="minorBidi"/>
              <w:noProof/>
              <w:color w:val="auto"/>
              <w:kern w:val="2"/>
              <w:szCs w:val="24"/>
              <w14:ligatures w14:val="standardContextual"/>
            </w:rPr>
          </w:pPr>
          <w:hyperlink w:anchor="_Toc241576951" w:history="1">
            <w:r w:rsidRPr="00495C73">
              <w:rPr>
                <w:rStyle w:val="Hyperlink"/>
                <w:noProof/>
              </w:rPr>
              <w:t>3.</w:t>
            </w:r>
            <w:r>
              <w:rPr>
                <w:rFonts w:asciiTheme="minorHAnsi" w:eastAsiaTheme="minorEastAsia" w:hAnsiTheme="minorHAnsi" w:cstheme="minorBidi"/>
                <w:noProof/>
                <w:color w:val="auto"/>
                <w:kern w:val="2"/>
                <w:szCs w:val="24"/>
                <w14:ligatures w14:val="standardContextual"/>
              </w:rPr>
              <w:tab/>
            </w:r>
            <w:r w:rsidRPr="00495C73">
              <w:rPr>
                <w:rStyle w:val="Hyperlink"/>
                <w:noProof/>
              </w:rPr>
              <w:t>Priority Household Target context and policy objectives</w:t>
            </w:r>
            <w:r>
              <w:rPr>
                <w:noProof/>
                <w:webHidden/>
              </w:rPr>
              <w:tab/>
            </w:r>
            <w:r>
              <w:rPr>
                <w:noProof/>
                <w:webHidden/>
              </w:rPr>
              <w:fldChar w:fldCharType="begin"/>
            </w:r>
            <w:r>
              <w:rPr>
                <w:noProof/>
                <w:webHidden/>
              </w:rPr>
              <w:instrText xml:space="preserve"> PAGEREF _Toc241576951 \h </w:instrText>
            </w:r>
            <w:r>
              <w:rPr>
                <w:noProof/>
                <w:webHidden/>
              </w:rPr>
            </w:r>
            <w:r>
              <w:rPr>
                <w:noProof/>
                <w:webHidden/>
              </w:rPr>
              <w:fldChar w:fldCharType="separate"/>
            </w:r>
            <w:r w:rsidR="00E623E8">
              <w:rPr>
                <w:noProof/>
                <w:webHidden/>
              </w:rPr>
              <w:t>4</w:t>
            </w:r>
            <w:r>
              <w:rPr>
                <w:noProof/>
                <w:webHidden/>
              </w:rPr>
              <w:fldChar w:fldCharType="end"/>
            </w:r>
          </w:hyperlink>
        </w:p>
        <w:p w14:paraId="56BAF477" w14:textId="4239F682" w:rsidR="00117CCF" w:rsidRDefault="00117CCF">
          <w:pPr>
            <w:pStyle w:val="TOC1"/>
            <w:tabs>
              <w:tab w:val="left" w:pos="480"/>
              <w:tab w:val="right" w:leader="dot" w:pos="9012"/>
            </w:tabs>
            <w:rPr>
              <w:rFonts w:asciiTheme="minorHAnsi" w:eastAsiaTheme="minorEastAsia" w:hAnsiTheme="minorHAnsi" w:cstheme="minorBidi"/>
              <w:noProof/>
              <w:color w:val="auto"/>
              <w:kern w:val="2"/>
              <w:szCs w:val="24"/>
              <w14:ligatures w14:val="standardContextual"/>
            </w:rPr>
          </w:pPr>
          <w:hyperlink w:anchor="_Toc241576952" w:history="1">
            <w:r w:rsidRPr="00495C73">
              <w:rPr>
                <w:rStyle w:val="Hyperlink"/>
                <w:noProof/>
              </w:rPr>
              <w:t>4.</w:t>
            </w:r>
            <w:r>
              <w:rPr>
                <w:rFonts w:asciiTheme="minorHAnsi" w:eastAsiaTheme="minorEastAsia" w:hAnsiTheme="minorHAnsi" w:cstheme="minorBidi"/>
                <w:noProof/>
                <w:color w:val="auto"/>
                <w:kern w:val="2"/>
                <w:szCs w:val="24"/>
                <w14:ligatures w14:val="standardContextual"/>
              </w:rPr>
              <w:tab/>
            </w:r>
            <w:r w:rsidRPr="00495C73">
              <w:rPr>
                <w:rStyle w:val="Hyperlink"/>
                <w:noProof/>
              </w:rPr>
              <w:t>Priority Household Target setting analysis and rationale</w:t>
            </w:r>
            <w:r>
              <w:rPr>
                <w:noProof/>
                <w:webHidden/>
              </w:rPr>
              <w:tab/>
            </w:r>
            <w:r>
              <w:rPr>
                <w:noProof/>
                <w:webHidden/>
              </w:rPr>
              <w:fldChar w:fldCharType="begin"/>
            </w:r>
            <w:r>
              <w:rPr>
                <w:noProof/>
                <w:webHidden/>
              </w:rPr>
              <w:instrText xml:space="preserve"> PAGEREF _Toc241576952 \h </w:instrText>
            </w:r>
            <w:r>
              <w:rPr>
                <w:noProof/>
                <w:webHidden/>
              </w:rPr>
            </w:r>
            <w:r>
              <w:rPr>
                <w:noProof/>
                <w:webHidden/>
              </w:rPr>
              <w:fldChar w:fldCharType="separate"/>
            </w:r>
            <w:r w:rsidR="00E623E8">
              <w:rPr>
                <w:noProof/>
                <w:webHidden/>
              </w:rPr>
              <w:t>5</w:t>
            </w:r>
            <w:r>
              <w:rPr>
                <w:noProof/>
                <w:webHidden/>
              </w:rPr>
              <w:fldChar w:fldCharType="end"/>
            </w:r>
          </w:hyperlink>
        </w:p>
        <w:p w14:paraId="5D414AE7" w14:textId="46554CA5" w:rsidR="00117CCF" w:rsidRDefault="00117CCF">
          <w:pPr>
            <w:pStyle w:val="TOC1"/>
            <w:tabs>
              <w:tab w:val="left" w:pos="720"/>
              <w:tab w:val="right" w:leader="dot" w:pos="9012"/>
            </w:tabs>
            <w:rPr>
              <w:rFonts w:asciiTheme="minorHAnsi" w:eastAsiaTheme="minorEastAsia" w:hAnsiTheme="minorHAnsi" w:cstheme="minorBidi"/>
              <w:noProof/>
              <w:color w:val="auto"/>
              <w:kern w:val="2"/>
              <w:szCs w:val="24"/>
              <w14:ligatures w14:val="standardContextual"/>
            </w:rPr>
          </w:pPr>
          <w:hyperlink w:anchor="_Toc241576953" w:history="1">
            <w:r w:rsidRPr="00495C73">
              <w:rPr>
                <w:rStyle w:val="Hyperlink"/>
                <w:noProof/>
              </w:rPr>
              <w:t>4.1</w:t>
            </w:r>
            <w:r>
              <w:rPr>
                <w:rFonts w:asciiTheme="minorHAnsi" w:eastAsiaTheme="minorEastAsia" w:hAnsiTheme="minorHAnsi" w:cstheme="minorBidi"/>
                <w:noProof/>
                <w:color w:val="auto"/>
                <w:kern w:val="2"/>
                <w:szCs w:val="24"/>
                <w14:ligatures w14:val="standardContextual"/>
              </w:rPr>
              <w:tab/>
            </w:r>
            <w:r w:rsidRPr="00495C73">
              <w:rPr>
                <w:rStyle w:val="Hyperlink"/>
                <w:noProof/>
              </w:rPr>
              <w:t>Setting the Priority Household Target (PHT)</w:t>
            </w:r>
            <w:r>
              <w:rPr>
                <w:noProof/>
                <w:webHidden/>
              </w:rPr>
              <w:tab/>
            </w:r>
            <w:r>
              <w:rPr>
                <w:noProof/>
                <w:webHidden/>
              </w:rPr>
              <w:fldChar w:fldCharType="begin"/>
            </w:r>
            <w:r>
              <w:rPr>
                <w:noProof/>
                <w:webHidden/>
              </w:rPr>
              <w:instrText xml:space="preserve"> PAGEREF _Toc241576953 \h </w:instrText>
            </w:r>
            <w:r>
              <w:rPr>
                <w:noProof/>
                <w:webHidden/>
              </w:rPr>
            </w:r>
            <w:r>
              <w:rPr>
                <w:noProof/>
                <w:webHidden/>
              </w:rPr>
              <w:fldChar w:fldCharType="separate"/>
            </w:r>
            <w:r w:rsidR="00E623E8">
              <w:rPr>
                <w:noProof/>
                <w:webHidden/>
              </w:rPr>
              <w:t>6</w:t>
            </w:r>
            <w:r>
              <w:rPr>
                <w:noProof/>
                <w:webHidden/>
              </w:rPr>
              <w:fldChar w:fldCharType="end"/>
            </w:r>
          </w:hyperlink>
        </w:p>
        <w:p w14:paraId="2CE3594F" w14:textId="4C752C55" w:rsidR="00117CCF" w:rsidRDefault="00117CCF">
          <w:pPr>
            <w:pStyle w:val="TOC1"/>
            <w:tabs>
              <w:tab w:val="left" w:pos="480"/>
              <w:tab w:val="right" w:leader="dot" w:pos="9012"/>
            </w:tabs>
            <w:rPr>
              <w:rFonts w:asciiTheme="minorHAnsi" w:eastAsiaTheme="minorEastAsia" w:hAnsiTheme="minorHAnsi" w:cstheme="minorBidi"/>
              <w:noProof/>
              <w:color w:val="auto"/>
              <w:kern w:val="2"/>
              <w:szCs w:val="24"/>
              <w14:ligatures w14:val="standardContextual"/>
            </w:rPr>
          </w:pPr>
          <w:hyperlink w:anchor="_Toc241576954" w:history="1">
            <w:r w:rsidRPr="00495C73">
              <w:rPr>
                <w:rStyle w:val="Hyperlink"/>
                <w:noProof/>
              </w:rPr>
              <w:t>5.</w:t>
            </w:r>
            <w:r>
              <w:rPr>
                <w:rFonts w:asciiTheme="minorHAnsi" w:eastAsiaTheme="minorEastAsia" w:hAnsiTheme="minorHAnsi" w:cstheme="minorBidi"/>
                <w:noProof/>
                <w:color w:val="auto"/>
                <w:kern w:val="2"/>
                <w:szCs w:val="24"/>
                <w14:ligatures w14:val="standardContextual"/>
              </w:rPr>
              <w:tab/>
            </w:r>
            <w:r w:rsidRPr="00495C73">
              <w:rPr>
                <w:rStyle w:val="Hyperlink"/>
                <w:noProof/>
              </w:rPr>
              <w:t>Consistency of the proposed law with the authorising law</w:t>
            </w:r>
            <w:r>
              <w:rPr>
                <w:noProof/>
                <w:webHidden/>
              </w:rPr>
              <w:tab/>
            </w:r>
            <w:r>
              <w:rPr>
                <w:noProof/>
                <w:webHidden/>
              </w:rPr>
              <w:fldChar w:fldCharType="begin"/>
            </w:r>
            <w:r>
              <w:rPr>
                <w:noProof/>
                <w:webHidden/>
              </w:rPr>
              <w:instrText xml:space="preserve"> PAGEREF _Toc241576954 \h </w:instrText>
            </w:r>
            <w:r>
              <w:rPr>
                <w:noProof/>
                <w:webHidden/>
              </w:rPr>
            </w:r>
            <w:r>
              <w:rPr>
                <w:noProof/>
                <w:webHidden/>
              </w:rPr>
              <w:fldChar w:fldCharType="separate"/>
            </w:r>
            <w:r w:rsidR="00E623E8">
              <w:rPr>
                <w:noProof/>
                <w:webHidden/>
              </w:rPr>
              <w:t>6</w:t>
            </w:r>
            <w:r>
              <w:rPr>
                <w:noProof/>
                <w:webHidden/>
              </w:rPr>
              <w:fldChar w:fldCharType="end"/>
            </w:r>
          </w:hyperlink>
        </w:p>
        <w:p w14:paraId="28E5F9ED" w14:textId="1BA6FDB7" w:rsidR="00117CCF" w:rsidRDefault="00117CCF">
          <w:pPr>
            <w:pStyle w:val="TOC1"/>
            <w:tabs>
              <w:tab w:val="left" w:pos="480"/>
              <w:tab w:val="right" w:leader="dot" w:pos="9012"/>
            </w:tabs>
            <w:rPr>
              <w:rFonts w:asciiTheme="minorHAnsi" w:eastAsiaTheme="minorEastAsia" w:hAnsiTheme="minorHAnsi" w:cstheme="minorBidi"/>
              <w:noProof/>
              <w:color w:val="auto"/>
              <w:kern w:val="2"/>
              <w:szCs w:val="24"/>
              <w14:ligatures w14:val="standardContextual"/>
            </w:rPr>
          </w:pPr>
          <w:hyperlink w:anchor="_Toc241576955" w:history="1">
            <w:r w:rsidRPr="00495C73">
              <w:rPr>
                <w:rStyle w:val="Hyperlink"/>
                <w:noProof/>
              </w:rPr>
              <w:t>6.</w:t>
            </w:r>
            <w:r>
              <w:rPr>
                <w:rFonts w:asciiTheme="minorHAnsi" w:eastAsiaTheme="minorEastAsia" w:hAnsiTheme="minorHAnsi" w:cstheme="minorBidi"/>
                <w:noProof/>
                <w:color w:val="auto"/>
                <w:kern w:val="2"/>
                <w:szCs w:val="24"/>
                <w14:ligatures w14:val="standardContextual"/>
              </w:rPr>
              <w:tab/>
            </w:r>
            <w:r w:rsidRPr="00495C73">
              <w:rPr>
                <w:rStyle w:val="Hyperlink"/>
                <w:noProof/>
              </w:rPr>
              <w:t>Inconsistency with the policy objectives of another territory law</w:t>
            </w:r>
            <w:r>
              <w:rPr>
                <w:noProof/>
                <w:webHidden/>
              </w:rPr>
              <w:tab/>
            </w:r>
            <w:r>
              <w:rPr>
                <w:noProof/>
                <w:webHidden/>
              </w:rPr>
              <w:fldChar w:fldCharType="begin"/>
            </w:r>
            <w:r>
              <w:rPr>
                <w:noProof/>
                <w:webHidden/>
              </w:rPr>
              <w:instrText xml:space="preserve"> PAGEREF _Toc241576955 \h </w:instrText>
            </w:r>
            <w:r>
              <w:rPr>
                <w:noProof/>
                <w:webHidden/>
              </w:rPr>
            </w:r>
            <w:r>
              <w:rPr>
                <w:noProof/>
                <w:webHidden/>
              </w:rPr>
              <w:fldChar w:fldCharType="separate"/>
            </w:r>
            <w:r w:rsidR="00E623E8">
              <w:rPr>
                <w:noProof/>
                <w:webHidden/>
              </w:rPr>
              <w:t>6</w:t>
            </w:r>
            <w:r>
              <w:rPr>
                <w:noProof/>
                <w:webHidden/>
              </w:rPr>
              <w:fldChar w:fldCharType="end"/>
            </w:r>
          </w:hyperlink>
        </w:p>
        <w:p w14:paraId="19B1C4DA" w14:textId="7C3BD173" w:rsidR="00117CCF" w:rsidRDefault="00117CCF">
          <w:pPr>
            <w:pStyle w:val="TOC1"/>
            <w:tabs>
              <w:tab w:val="left" w:pos="480"/>
              <w:tab w:val="right" w:leader="dot" w:pos="9012"/>
            </w:tabs>
            <w:rPr>
              <w:rFonts w:asciiTheme="minorHAnsi" w:eastAsiaTheme="minorEastAsia" w:hAnsiTheme="minorHAnsi" w:cstheme="minorBidi"/>
              <w:noProof/>
              <w:color w:val="auto"/>
              <w:kern w:val="2"/>
              <w:szCs w:val="24"/>
              <w14:ligatures w14:val="standardContextual"/>
            </w:rPr>
          </w:pPr>
          <w:hyperlink w:anchor="_Toc241576956" w:history="1">
            <w:r w:rsidRPr="00495C73">
              <w:rPr>
                <w:rStyle w:val="Hyperlink"/>
                <w:noProof/>
              </w:rPr>
              <w:t>7.</w:t>
            </w:r>
            <w:r>
              <w:rPr>
                <w:rFonts w:asciiTheme="minorHAnsi" w:eastAsiaTheme="minorEastAsia" w:hAnsiTheme="minorHAnsi" w:cstheme="minorBidi"/>
                <w:noProof/>
                <w:color w:val="auto"/>
                <w:kern w:val="2"/>
                <w:szCs w:val="24"/>
                <w14:ligatures w14:val="standardContextual"/>
              </w:rPr>
              <w:tab/>
            </w:r>
            <w:r w:rsidRPr="00495C73">
              <w:rPr>
                <w:rStyle w:val="Hyperlink"/>
                <w:noProof/>
              </w:rPr>
              <w:t>Reasonable alternatives to the proposed law</w:t>
            </w:r>
            <w:r>
              <w:rPr>
                <w:noProof/>
                <w:webHidden/>
              </w:rPr>
              <w:tab/>
            </w:r>
            <w:r>
              <w:rPr>
                <w:noProof/>
                <w:webHidden/>
              </w:rPr>
              <w:fldChar w:fldCharType="begin"/>
            </w:r>
            <w:r>
              <w:rPr>
                <w:noProof/>
                <w:webHidden/>
              </w:rPr>
              <w:instrText xml:space="preserve"> PAGEREF _Toc241576956 \h </w:instrText>
            </w:r>
            <w:r>
              <w:rPr>
                <w:noProof/>
                <w:webHidden/>
              </w:rPr>
            </w:r>
            <w:r>
              <w:rPr>
                <w:noProof/>
                <w:webHidden/>
              </w:rPr>
              <w:fldChar w:fldCharType="separate"/>
            </w:r>
            <w:r w:rsidR="00E623E8">
              <w:rPr>
                <w:noProof/>
                <w:webHidden/>
              </w:rPr>
              <w:t>6</w:t>
            </w:r>
            <w:r>
              <w:rPr>
                <w:noProof/>
                <w:webHidden/>
              </w:rPr>
              <w:fldChar w:fldCharType="end"/>
            </w:r>
          </w:hyperlink>
        </w:p>
        <w:p w14:paraId="53D9AB2C" w14:textId="3B48E1EA" w:rsidR="00117CCF" w:rsidRDefault="00117CCF">
          <w:pPr>
            <w:pStyle w:val="TOC1"/>
            <w:tabs>
              <w:tab w:val="left" w:pos="480"/>
              <w:tab w:val="right" w:leader="dot" w:pos="9012"/>
            </w:tabs>
            <w:rPr>
              <w:rFonts w:asciiTheme="minorHAnsi" w:eastAsiaTheme="minorEastAsia" w:hAnsiTheme="minorHAnsi" w:cstheme="minorBidi"/>
              <w:noProof/>
              <w:color w:val="auto"/>
              <w:kern w:val="2"/>
              <w:szCs w:val="24"/>
              <w14:ligatures w14:val="standardContextual"/>
            </w:rPr>
          </w:pPr>
          <w:hyperlink w:anchor="_Toc241576957" w:history="1">
            <w:r w:rsidRPr="00495C73">
              <w:rPr>
                <w:rStyle w:val="Hyperlink"/>
                <w:noProof/>
              </w:rPr>
              <w:t>8.</w:t>
            </w:r>
            <w:r>
              <w:rPr>
                <w:rFonts w:asciiTheme="minorHAnsi" w:eastAsiaTheme="minorEastAsia" w:hAnsiTheme="minorHAnsi" w:cstheme="minorBidi"/>
                <w:noProof/>
                <w:color w:val="auto"/>
                <w:kern w:val="2"/>
                <w:szCs w:val="24"/>
                <w14:ligatures w14:val="standardContextual"/>
              </w:rPr>
              <w:tab/>
            </w:r>
            <w:r w:rsidRPr="00495C73">
              <w:rPr>
                <w:rStyle w:val="Hyperlink"/>
                <w:noProof/>
              </w:rPr>
              <w:t>Brief assessment of the benefits and costs of the proposed law</w:t>
            </w:r>
            <w:r>
              <w:rPr>
                <w:noProof/>
                <w:webHidden/>
              </w:rPr>
              <w:tab/>
            </w:r>
            <w:r>
              <w:rPr>
                <w:noProof/>
                <w:webHidden/>
              </w:rPr>
              <w:fldChar w:fldCharType="begin"/>
            </w:r>
            <w:r>
              <w:rPr>
                <w:noProof/>
                <w:webHidden/>
              </w:rPr>
              <w:instrText xml:space="preserve"> PAGEREF _Toc241576957 \h </w:instrText>
            </w:r>
            <w:r>
              <w:rPr>
                <w:noProof/>
                <w:webHidden/>
              </w:rPr>
            </w:r>
            <w:r>
              <w:rPr>
                <w:noProof/>
                <w:webHidden/>
              </w:rPr>
              <w:fldChar w:fldCharType="separate"/>
            </w:r>
            <w:r w:rsidR="00E623E8">
              <w:rPr>
                <w:noProof/>
                <w:webHidden/>
              </w:rPr>
              <w:t>6</w:t>
            </w:r>
            <w:r>
              <w:rPr>
                <w:noProof/>
                <w:webHidden/>
              </w:rPr>
              <w:fldChar w:fldCharType="end"/>
            </w:r>
          </w:hyperlink>
        </w:p>
        <w:p w14:paraId="608897DD" w14:textId="5CDF6A6E" w:rsidR="00117CCF" w:rsidRDefault="00117CCF">
          <w:pPr>
            <w:pStyle w:val="TOC1"/>
            <w:tabs>
              <w:tab w:val="left" w:pos="480"/>
              <w:tab w:val="right" w:leader="dot" w:pos="9012"/>
            </w:tabs>
            <w:rPr>
              <w:rFonts w:asciiTheme="minorHAnsi" w:eastAsiaTheme="minorEastAsia" w:hAnsiTheme="minorHAnsi" w:cstheme="minorBidi"/>
              <w:noProof/>
              <w:color w:val="auto"/>
              <w:kern w:val="2"/>
              <w:szCs w:val="24"/>
              <w14:ligatures w14:val="standardContextual"/>
            </w:rPr>
          </w:pPr>
          <w:hyperlink w:anchor="_Toc241576958" w:history="1">
            <w:r w:rsidRPr="00495C73">
              <w:rPr>
                <w:rStyle w:val="Hyperlink"/>
                <w:noProof/>
              </w:rPr>
              <w:t>9.</w:t>
            </w:r>
            <w:r>
              <w:rPr>
                <w:rFonts w:asciiTheme="minorHAnsi" w:eastAsiaTheme="minorEastAsia" w:hAnsiTheme="minorHAnsi" w:cstheme="minorBidi"/>
                <w:noProof/>
                <w:color w:val="auto"/>
                <w:kern w:val="2"/>
                <w:szCs w:val="24"/>
                <w14:ligatures w14:val="standardContextual"/>
              </w:rPr>
              <w:tab/>
            </w:r>
            <w:r w:rsidRPr="00495C73">
              <w:rPr>
                <w:rStyle w:val="Hyperlink"/>
                <w:noProof/>
              </w:rPr>
              <w:t>Human rights</w:t>
            </w:r>
            <w:r>
              <w:rPr>
                <w:noProof/>
                <w:webHidden/>
              </w:rPr>
              <w:tab/>
            </w:r>
            <w:r>
              <w:rPr>
                <w:noProof/>
                <w:webHidden/>
              </w:rPr>
              <w:fldChar w:fldCharType="begin"/>
            </w:r>
            <w:r>
              <w:rPr>
                <w:noProof/>
                <w:webHidden/>
              </w:rPr>
              <w:instrText xml:space="preserve"> PAGEREF _Toc241576958 \h </w:instrText>
            </w:r>
            <w:r>
              <w:rPr>
                <w:noProof/>
                <w:webHidden/>
              </w:rPr>
            </w:r>
            <w:r>
              <w:rPr>
                <w:noProof/>
                <w:webHidden/>
              </w:rPr>
              <w:fldChar w:fldCharType="separate"/>
            </w:r>
            <w:r w:rsidR="00E623E8">
              <w:rPr>
                <w:noProof/>
                <w:webHidden/>
              </w:rPr>
              <w:t>7</w:t>
            </w:r>
            <w:r>
              <w:rPr>
                <w:noProof/>
                <w:webHidden/>
              </w:rPr>
              <w:fldChar w:fldCharType="end"/>
            </w:r>
          </w:hyperlink>
        </w:p>
        <w:p w14:paraId="7336F42A" w14:textId="7565A65C" w:rsidR="00117CCF" w:rsidRDefault="00117CCF" w:rsidP="00341803">
          <w:pPr>
            <w:pStyle w:val="TOC1"/>
            <w:tabs>
              <w:tab w:val="left" w:pos="658"/>
              <w:tab w:val="right" w:leader="dot" w:pos="9012"/>
            </w:tabs>
            <w:spacing w:line="271" w:lineRule="auto"/>
            <w:ind w:left="425" w:right="23" w:hanging="425"/>
            <w:rPr>
              <w:rFonts w:asciiTheme="minorHAnsi" w:eastAsiaTheme="minorEastAsia" w:hAnsiTheme="minorHAnsi" w:cstheme="minorBidi"/>
              <w:noProof/>
              <w:color w:val="auto"/>
              <w:kern w:val="2"/>
              <w:szCs w:val="24"/>
              <w14:ligatures w14:val="standardContextual"/>
            </w:rPr>
          </w:pPr>
          <w:hyperlink w:anchor="_Toc241576959" w:history="1">
            <w:r w:rsidRPr="00495C73">
              <w:rPr>
                <w:rStyle w:val="Hyperlink"/>
                <w:noProof/>
              </w:rPr>
              <w:t>10.</w:t>
            </w:r>
            <w:r>
              <w:rPr>
                <w:rFonts w:asciiTheme="minorHAnsi" w:eastAsiaTheme="minorEastAsia" w:hAnsiTheme="minorHAnsi" w:cstheme="minorBidi"/>
                <w:noProof/>
                <w:color w:val="auto"/>
                <w:kern w:val="2"/>
                <w:szCs w:val="24"/>
                <w14:ligatures w14:val="standardContextual"/>
              </w:rPr>
              <w:tab/>
            </w:r>
            <w:r w:rsidRPr="00495C73">
              <w:rPr>
                <w:rStyle w:val="Hyperlink"/>
                <w:noProof/>
              </w:rPr>
              <w:t>Assessment of the consistency of the proposed law with the Standing Committee on Legal Affairs (Legislative Scrutiny Role) principles</w:t>
            </w:r>
            <w:r>
              <w:rPr>
                <w:noProof/>
                <w:webHidden/>
              </w:rPr>
              <w:tab/>
            </w:r>
            <w:r>
              <w:rPr>
                <w:noProof/>
                <w:webHidden/>
              </w:rPr>
              <w:fldChar w:fldCharType="begin"/>
            </w:r>
            <w:r>
              <w:rPr>
                <w:noProof/>
                <w:webHidden/>
              </w:rPr>
              <w:instrText xml:space="preserve"> PAGEREF _Toc241576959 \h </w:instrText>
            </w:r>
            <w:r>
              <w:rPr>
                <w:noProof/>
                <w:webHidden/>
              </w:rPr>
            </w:r>
            <w:r>
              <w:rPr>
                <w:noProof/>
                <w:webHidden/>
              </w:rPr>
              <w:fldChar w:fldCharType="separate"/>
            </w:r>
            <w:r w:rsidR="00E623E8">
              <w:rPr>
                <w:noProof/>
                <w:webHidden/>
              </w:rPr>
              <w:t>7</w:t>
            </w:r>
            <w:r>
              <w:rPr>
                <w:noProof/>
                <w:webHidden/>
              </w:rPr>
              <w:fldChar w:fldCharType="end"/>
            </w:r>
          </w:hyperlink>
        </w:p>
        <w:p w14:paraId="1E41EB44" w14:textId="22BEC45D" w:rsidR="00117CCF" w:rsidRDefault="00117CCF" w:rsidP="00341803">
          <w:pPr>
            <w:pStyle w:val="TOC1"/>
            <w:tabs>
              <w:tab w:val="left" w:pos="658"/>
              <w:tab w:val="right" w:leader="dot" w:pos="9012"/>
            </w:tabs>
            <w:spacing w:line="271" w:lineRule="auto"/>
            <w:ind w:left="425" w:right="23" w:hanging="425"/>
            <w:rPr>
              <w:rFonts w:asciiTheme="minorHAnsi" w:eastAsiaTheme="minorEastAsia" w:hAnsiTheme="minorHAnsi" w:cstheme="minorBidi"/>
              <w:noProof/>
              <w:color w:val="auto"/>
              <w:kern w:val="2"/>
              <w:szCs w:val="24"/>
              <w14:ligatures w14:val="standardContextual"/>
            </w:rPr>
          </w:pPr>
          <w:hyperlink w:anchor="_Toc241576960" w:history="1">
            <w:r w:rsidRPr="00495C73">
              <w:rPr>
                <w:rStyle w:val="Hyperlink"/>
                <w:noProof/>
              </w:rPr>
              <w:t>11.</w:t>
            </w:r>
            <w:r>
              <w:rPr>
                <w:rFonts w:asciiTheme="minorHAnsi" w:eastAsiaTheme="minorEastAsia" w:hAnsiTheme="minorHAnsi" w:cstheme="minorBidi"/>
                <w:noProof/>
                <w:color w:val="auto"/>
                <w:kern w:val="2"/>
                <w:szCs w:val="24"/>
                <w14:ligatures w14:val="standardContextual"/>
              </w:rPr>
              <w:tab/>
            </w:r>
            <w:r w:rsidRPr="00495C73">
              <w:rPr>
                <w:rStyle w:val="Hyperlink"/>
                <w:noProof/>
              </w:rPr>
              <w:t>Conclusion</w:t>
            </w:r>
            <w:r>
              <w:rPr>
                <w:noProof/>
                <w:webHidden/>
              </w:rPr>
              <w:tab/>
            </w:r>
            <w:r>
              <w:rPr>
                <w:noProof/>
                <w:webHidden/>
              </w:rPr>
              <w:fldChar w:fldCharType="begin"/>
            </w:r>
            <w:r>
              <w:rPr>
                <w:noProof/>
                <w:webHidden/>
              </w:rPr>
              <w:instrText xml:space="preserve"> PAGEREF _Toc241576960 \h </w:instrText>
            </w:r>
            <w:r>
              <w:rPr>
                <w:noProof/>
                <w:webHidden/>
              </w:rPr>
            </w:r>
            <w:r>
              <w:rPr>
                <w:noProof/>
                <w:webHidden/>
              </w:rPr>
              <w:fldChar w:fldCharType="separate"/>
            </w:r>
            <w:r w:rsidR="00E623E8">
              <w:rPr>
                <w:noProof/>
                <w:webHidden/>
              </w:rPr>
              <w:t>8</w:t>
            </w:r>
            <w:r>
              <w:rPr>
                <w:noProof/>
                <w:webHidden/>
              </w:rPr>
              <w:fldChar w:fldCharType="end"/>
            </w:r>
          </w:hyperlink>
        </w:p>
        <w:p w14:paraId="730E4453" w14:textId="61EB5ADB" w:rsidR="00DC1ED9" w:rsidRDefault="00FB465A">
          <w:r>
            <w:fldChar w:fldCharType="end"/>
          </w:r>
        </w:p>
      </w:sdtContent>
    </w:sdt>
    <w:p w14:paraId="05601C7E" w14:textId="77777777" w:rsidR="00DC1ED9" w:rsidRDefault="00FB465A">
      <w:pPr>
        <w:spacing w:after="153" w:line="358" w:lineRule="auto"/>
        <w:ind w:left="0" w:right="7" w:firstLine="0"/>
        <w:jc w:val="both"/>
      </w:pPr>
      <w:r>
        <w:t xml:space="preserve"> </w:t>
      </w:r>
    </w:p>
    <w:p w14:paraId="5331B675" w14:textId="77777777" w:rsidR="00DC1ED9" w:rsidRDefault="00FB465A">
      <w:pPr>
        <w:spacing w:after="0" w:line="259" w:lineRule="auto"/>
        <w:ind w:left="0" w:firstLine="0"/>
      </w:pPr>
      <w:r>
        <w:t xml:space="preserve"> </w:t>
      </w:r>
      <w:r>
        <w:tab/>
      </w:r>
      <w:r>
        <w:rPr>
          <w:color w:val="2F5496"/>
          <w:sz w:val="28"/>
        </w:rPr>
        <w:t xml:space="preserve"> </w:t>
      </w:r>
      <w:r>
        <w:br w:type="page"/>
      </w:r>
    </w:p>
    <w:p w14:paraId="3531988C" w14:textId="77777777" w:rsidR="00DC1ED9" w:rsidRDefault="00FB465A" w:rsidP="001E1557">
      <w:pPr>
        <w:pStyle w:val="Heading1"/>
        <w:ind w:left="426" w:hanging="426"/>
      </w:pPr>
      <w:bookmarkStart w:id="0" w:name="_Toc241576949"/>
      <w:r>
        <w:lastRenderedPageBreak/>
        <w:t>Executive summary</w:t>
      </w:r>
      <w:bookmarkEnd w:id="0"/>
      <w:r>
        <w:t xml:space="preserve"> </w:t>
      </w:r>
    </w:p>
    <w:p w14:paraId="4AB5F7DE" w14:textId="067EDB6B" w:rsidR="00DC1ED9" w:rsidRDefault="00FB465A" w:rsidP="000830FA">
      <w:pPr>
        <w:spacing w:after="160" w:line="271" w:lineRule="auto"/>
        <w:ind w:left="-6" w:hanging="11"/>
      </w:pPr>
      <w:r>
        <w:t xml:space="preserve">The </w:t>
      </w:r>
      <w:r>
        <w:rPr>
          <w:i/>
        </w:rPr>
        <w:t xml:space="preserve">Energy Efficiency (Cost of Living) Improvement Act 2012 </w:t>
      </w:r>
      <w:r>
        <w:t xml:space="preserve">(the Act) establishes the </w:t>
      </w:r>
      <w:r w:rsidR="00CE5B78">
        <w:t xml:space="preserve">Australian Capital Territory’s (ACT’s) </w:t>
      </w:r>
      <w:r>
        <w:t>Energy Efficiency Improvement Scheme (EEIS</w:t>
      </w:r>
      <w:r w:rsidR="00447C71">
        <w:t xml:space="preserve"> or </w:t>
      </w:r>
      <w:r>
        <w:t xml:space="preserve">the ’Scheme’), which aims to encourage the efficient use of energy; reduce greenhouse gas emissions associated with energy use in the Territory; reduce household and small-to-medium sized business energy use and costs; and increase opportunities for priority households to reduce energy use and costs. The EEIS establishes a Territory-wide </w:t>
      </w:r>
      <w:r w:rsidR="001B3272">
        <w:t>e</w:t>
      </w:r>
      <w:r>
        <w:t xml:space="preserve">nergy </w:t>
      </w:r>
      <w:r w:rsidR="001B3272">
        <w:t>s</w:t>
      </w:r>
      <w:r>
        <w:t xml:space="preserve">avings </w:t>
      </w:r>
      <w:r w:rsidR="001B3272">
        <w:t>t</w:t>
      </w:r>
      <w:r>
        <w:t>arget (EST)</w:t>
      </w:r>
      <w:r w:rsidR="00AF38A8">
        <w:t>,</w:t>
      </w:r>
      <w:r>
        <w:t xml:space="preserve"> defined as a proportion of a retailer’s total electricity sales in the ACT. </w:t>
      </w:r>
    </w:p>
    <w:p w14:paraId="41F2E4A7" w14:textId="51F5B6F8" w:rsidR="00DC1ED9" w:rsidRDefault="00FB465A" w:rsidP="000830FA">
      <w:pPr>
        <w:spacing w:after="160" w:line="271" w:lineRule="auto"/>
        <w:ind w:left="-6" w:hanging="11"/>
      </w:pPr>
      <w:r>
        <w:t>The Act requires electricity retailers to achieve energy savings by delivering eligible activities to households and small-to-medium businesses. Eligible activities are determined by the Minister and include insulation, draught seal</w:t>
      </w:r>
      <w:r w:rsidR="00CE5B78">
        <w:t>ing</w:t>
      </w:r>
      <w:r>
        <w:t>, efficient space heating and cooling systems, water heaters and other items that reduce energy bills and provide energy savings while maintaining quality of life.</w:t>
      </w:r>
      <w:r w:rsidR="00CE5B78">
        <w:t xml:space="preserve"> EEIS</w:t>
      </w:r>
      <w:r>
        <w:t xml:space="preserve"> ‘</w:t>
      </w:r>
      <w:r w:rsidR="00000706">
        <w:t>t</w:t>
      </w:r>
      <w:r>
        <w:t xml:space="preserve">ier 1’ retailers must deliver energy savings activities or acquire energy savings factors (ESFs) from Approved Energy Savings Providers (AESPs), </w:t>
      </w:r>
      <w:r w:rsidR="00CE5B78">
        <w:t>while</w:t>
      </w:r>
      <w:r>
        <w:t xml:space="preserve"> ‘</w:t>
      </w:r>
      <w:r w:rsidR="00000706">
        <w:t>t</w:t>
      </w:r>
      <w:r>
        <w:t xml:space="preserve">ier 2’ retailers can deliver eligible activities, acquire ESFs from AESPs, or opt to pay an </w:t>
      </w:r>
      <w:r w:rsidR="001B3272">
        <w:t>e</w:t>
      </w:r>
      <w:r>
        <w:t xml:space="preserve">nergy </w:t>
      </w:r>
      <w:r w:rsidR="001B3272">
        <w:t>s</w:t>
      </w:r>
      <w:r>
        <w:t xml:space="preserve">avings </w:t>
      </w:r>
      <w:r w:rsidR="001B3272">
        <w:t>c</w:t>
      </w:r>
      <w:r>
        <w:t>ontribution (ESC).</w:t>
      </w:r>
      <w:r w:rsidR="00CE5B78">
        <w:t xml:space="preserve"> Any retailer that fails to meet its obligations under the Scheme within a given compliance period is required to pay a ‘shortfall penalty’. </w:t>
      </w:r>
    </w:p>
    <w:p w14:paraId="1E3AAED1" w14:textId="382AE3AF" w:rsidR="00DC1ED9" w:rsidRDefault="001E261F" w:rsidP="000830FA">
      <w:pPr>
        <w:spacing w:after="160" w:line="271" w:lineRule="auto"/>
        <w:ind w:left="-6" w:hanging="11"/>
      </w:pPr>
      <w:r>
        <w:t xml:space="preserve">This regulatory impact statement (RIS) relates to the </w:t>
      </w:r>
      <w:r w:rsidRPr="007D6DEC">
        <w:rPr>
          <w:i/>
          <w:iCs/>
        </w:rPr>
        <w:t xml:space="preserve">Energy Efficiency (Cost of Living) Improvement (Priority Household Target) Determination </w:t>
      </w:r>
      <w:r w:rsidR="00743E10" w:rsidRPr="007D6DEC">
        <w:rPr>
          <w:i/>
          <w:iCs/>
        </w:rPr>
        <w:t>202</w:t>
      </w:r>
      <w:r w:rsidR="00743E10">
        <w:rPr>
          <w:i/>
          <w:iCs/>
        </w:rPr>
        <w:t xml:space="preserve">5 </w:t>
      </w:r>
      <w:r>
        <w:t xml:space="preserve">(the determination). </w:t>
      </w:r>
      <w:r w:rsidR="00FB465A">
        <w:t xml:space="preserve">The </w:t>
      </w:r>
      <w:r w:rsidR="001B3272">
        <w:t>p</w:t>
      </w:r>
      <w:r w:rsidR="00FB465A">
        <w:t xml:space="preserve">riority </w:t>
      </w:r>
      <w:r w:rsidR="001B3272">
        <w:t>h</w:t>
      </w:r>
      <w:r w:rsidR="00FB465A">
        <w:t xml:space="preserve">ousehold </w:t>
      </w:r>
      <w:r w:rsidR="001B3272">
        <w:t>t</w:t>
      </w:r>
      <w:r w:rsidR="00FB465A">
        <w:t xml:space="preserve">arget (PHT) ensures that a specified proportion of energy savings achieved under the Scheme are delivered in Canberra’s lower income households, defined as households in which at least one resident holds an eligible concession or is experiencing financial hardship, or as those that classify as a priority dwelling as defined in the legislation. These households are most affected by energy price rises, but least able to invest in </w:t>
      </w:r>
      <w:r w:rsidR="00B81D0E">
        <w:t xml:space="preserve">energy </w:t>
      </w:r>
      <w:r w:rsidR="00FB465A">
        <w:t>efficien</w:t>
      </w:r>
      <w:r w:rsidR="00B81D0E">
        <w:t>cy upgrades</w:t>
      </w:r>
      <w:r w:rsidR="00FB465A">
        <w:t xml:space="preserve">.  </w:t>
      </w:r>
    </w:p>
    <w:p w14:paraId="6346D140" w14:textId="63A92A18" w:rsidR="00DC1ED9" w:rsidRDefault="00FB465A" w:rsidP="0033558B">
      <w:pPr>
        <w:spacing w:after="360" w:line="271" w:lineRule="auto"/>
        <w:ind w:left="-6" w:hanging="11"/>
      </w:pPr>
      <w:r>
        <w:t xml:space="preserve">This </w:t>
      </w:r>
      <w:r w:rsidR="001E261F">
        <w:t>RIS</w:t>
      </w:r>
      <w:r>
        <w:t xml:space="preserve"> was prepared in accordance with Part 5.2 of the </w:t>
      </w:r>
      <w:r>
        <w:rPr>
          <w:i/>
        </w:rPr>
        <w:t xml:space="preserve">Legislation Act 2001. </w:t>
      </w:r>
      <w:r>
        <w:t xml:space="preserve">It outlines the costs and benefits associated with </w:t>
      </w:r>
      <w:r w:rsidR="00E60A87">
        <w:t xml:space="preserve">the Minister determining </w:t>
      </w:r>
      <w:r>
        <w:t>the PHT at 40</w:t>
      </w:r>
      <w:r w:rsidR="001B3272">
        <w:t> </w:t>
      </w:r>
      <w:r>
        <w:t xml:space="preserve">per cent for </w:t>
      </w:r>
      <w:r w:rsidR="00743E10">
        <w:t>202</w:t>
      </w:r>
      <w:r w:rsidR="00B81D0E">
        <w:t>7</w:t>
      </w:r>
      <w:r>
        <w:rPr>
          <w:i/>
        </w:rPr>
        <w:t>.</w:t>
      </w:r>
    </w:p>
    <w:p w14:paraId="2ED682BB" w14:textId="77777777" w:rsidR="00DC1ED9" w:rsidRDefault="00FB465A" w:rsidP="001E1557">
      <w:pPr>
        <w:pStyle w:val="Heading1"/>
        <w:ind w:left="426" w:hanging="426"/>
      </w:pPr>
      <w:bookmarkStart w:id="1" w:name="_Toc241576950"/>
      <w:r>
        <w:t>The authorising law</w:t>
      </w:r>
      <w:bookmarkEnd w:id="1"/>
      <w:r>
        <w:t xml:space="preserve"> </w:t>
      </w:r>
    </w:p>
    <w:p w14:paraId="76620AC9" w14:textId="1FFB3C1B" w:rsidR="00DC1ED9" w:rsidRDefault="00CE5B78" w:rsidP="000830FA">
      <w:pPr>
        <w:spacing w:after="160" w:line="271" w:lineRule="auto"/>
        <w:ind w:left="-6" w:hanging="11"/>
      </w:pPr>
      <w:r>
        <w:t xml:space="preserve">The EEIS is the ACT’s market-based Energy Efficiency Obligation (EEO) scheme established under the Act. </w:t>
      </w:r>
      <w:r w:rsidR="00FB465A">
        <w:t>The Act</w:t>
      </w:r>
      <w:r w:rsidR="0033558B">
        <w:t xml:space="preserve"> </w:t>
      </w:r>
      <w:r w:rsidR="00FB465A">
        <w:t xml:space="preserve">was passed by the Legislative Assembly on 3 May 2012 and the Scheme is currently legislated to run until 31 December 2030. Under the Act, </w:t>
      </w:r>
      <w:r w:rsidR="0033558B">
        <w:t>an energy savings target</w:t>
      </w:r>
      <w:r w:rsidR="006C36B7">
        <w:t xml:space="preserve"> </w:t>
      </w:r>
      <w:r w:rsidR="0033558B">
        <w:t>(</w:t>
      </w:r>
      <w:r w:rsidR="00FB465A">
        <w:t>EST</w:t>
      </w:r>
      <w:r w:rsidR="0033558B">
        <w:t>) is established, which</w:t>
      </w:r>
      <w:r w:rsidR="00FB465A">
        <w:t xml:space="preserve"> determines the total energy savings to be achieved by individual retailers in a compliance period, expressed as a percentage of their total electricity sales in the ACT. A </w:t>
      </w:r>
      <w:r w:rsidR="001B3272">
        <w:t>r</w:t>
      </w:r>
      <w:r w:rsidR="00FB465A">
        <w:t xml:space="preserve">etailer’s </w:t>
      </w:r>
      <w:r w:rsidR="001B3272">
        <w:t>e</w:t>
      </w:r>
      <w:r w:rsidR="00FB465A">
        <w:t xml:space="preserve">nergy </w:t>
      </w:r>
      <w:r w:rsidR="001B3272">
        <w:t>s</w:t>
      </w:r>
      <w:r w:rsidR="00FB465A">
        <w:t xml:space="preserve">avings </w:t>
      </w:r>
      <w:r w:rsidR="001B3272">
        <w:t>o</w:t>
      </w:r>
      <w:r w:rsidR="00FB465A">
        <w:t xml:space="preserve">bligation (RESO) for a compliance period is calculated as follows: EST (%) x </w:t>
      </w:r>
      <w:r w:rsidR="001B3272">
        <w:t>e</w:t>
      </w:r>
      <w:r w:rsidR="00FB465A">
        <w:t xml:space="preserve">lectricity </w:t>
      </w:r>
      <w:r w:rsidR="001B3272">
        <w:t>s</w:t>
      </w:r>
      <w:r w:rsidR="00FB465A">
        <w:t xml:space="preserve">ales (in megawatt hours or MWh).  </w:t>
      </w:r>
    </w:p>
    <w:p w14:paraId="27993D5B" w14:textId="31B1B2CD" w:rsidR="00DC1ED9" w:rsidRDefault="00FB465A" w:rsidP="000830FA">
      <w:pPr>
        <w:spacing w:after="160" w:line="271" w:lineRule="auto"/>
        <w:ind w:left="-6" w:hanging="11"/>
      </w:pPr>
      <w:r>
        <w:t>Section 8 of the Act</w:t>
      </w:r>
      <w:r w:rsidR="00EC6CC8">
        <w:t xml:space="preserve"> requires the </w:t>
      </w:r>
      <w:r w:rsidR="003A3A19">
        <w:t xml:space="preserve">responsible </w:t>
      </w:r>
      <w:r w:rsidR="00EC6CC8">
        <w:t xml:space="preserve">Minister </w:t>
      </w:r>
      <w:r w:rsidR="00846930">
        <w:t xml:space="preserve">set the target of total energy savings </w:t>
      </w:r>
      <w:r w:rsidR="00000706">
        <w:t>t</w:t>
      </w:r>
      <w:r>
        <w:t xml:space="preserve">ier 1 </w:t>
      </w:r>
      <w:r w:rsidR="00846930">
        <w:t xml:space="preserve">NERL </w:t>
      </w:r>
      <w:r>
        <w:t xml:space="preserve">retailers </w:t>
      </w:r>
      <w:r w:rsidR="00846930">
        <w:t xml:space="preserve">must </w:t>
      </w:r>
      <w:r>
        <w:t>achieve in priority households</w:t>
      </w:r>
      <w:r>
        <w:rPr>
          <w:i/>
        </w:rPr>
        <w:t xml:space="preserve">. </w:t>
      </w:r>
      <w:r>
        <w:t xml:space="preserve">The </w:t>
      </w:r>
      <w:r w:rsidR="005738B8">
        <w:t xml:space="preserve">Priority Household Target </w:t>
      </w:r>
      <w:r w:rsidR="005738B8">
        <w:lastRenderedPageBreak/>
        <w:t>(</w:t>
      </w:r>
      <w:r>
        <w:t>PHT</w:t>
      </w:r>
      <w:r w:rsidR="005738B8">
        <w:t xml:space="preserve">) </w:t>
      </w:r>
      <w:r>
        <w:t xml:space="preserve">is expressed as a percentage of the RESO. The PHT is </w:t>
      </w:r>
      <w:r w:rsidR="00E60A87">
        <w:t xml:space="preserve">determined </w:t>
      </w:r>
      <w:r>
        <w:t>by disallowable instrument</w:t>
      </w:r>
      <w:r w:rsidR="0033558B">
        <w:t>s</w:t>
      </w:r>
      <w:r>
        <w:t xml:space="preserve"> for each compliance period, defined as a calendar year.</w:t>
      </w:r>
    </w:p>
    <w:p w14:paraId="3CD383A8" w14:textId="175964F8" w:rsidR="00DC1ED9" w:rsidRDefault="00FB465A" w:rsidP="001E1557">
      <w:pPr>
        <w:spacing w:after="360" w:line="271" w:lineRule="auto"/>
        <w:ind w:left="-6" w:hanging="11"/>
      </w:pPr>
      <w:r>
        <w:t xml:space="preserve">The PHT must be determined by the Minister no later than six months before the commencement of the relevant compliance period if it increases; or no later than three months before the commencement of the compliance period if there is no increase. </w:t>
      </w:r>
    </w:p>
    <w:p w14:paraId="196E9555" w14:textId="2D067E72" w:rsidR="00DC1ED9" w:rsidRDefault="003C601F" w:rsidP="001E1557">
      <w:pPr>
        <w:pStyle w:val="Heading1"/>
        <w:ind w:left="426" w:hanging="426"/>
      </w:pPr>
      <w:bookmarkStart w:id="2" w:name="_Toc241576951"/>
      <w:r>
        <w:t>Priority Household Target context and policy objectives</w:t>
      </w:r>
      <w:bookmarkEnd w:id="2"/>
    </w:p>
    <w:p w14:paraId="6E24EE89" w14:textId="4B7272C3" w:rsidR="005733BC" w:rsidRDefault="004A37AE" w:rsidP="000830FA">
      <w:pPr>
        <w:spacing w:after="160" w:line="271" w:lineRule="auto"/>
        <w:ind w:left="-6" w:hanging="11"/>
      </w:pPr>
      <w:r>
        <w:t>Increases to the cost of living</w:t>
      </w:r>
      <w:r w:rsidR="00DA3E8D">
        <w:t xml:space="preserve"> </w:t>
      </w:r>
      <w:r w:rsidR="00F311ED">
        <w:t xml:space="preserve">are felt </w:t>
      </w:r>
      <w:r w:rsidR="00FB465A">
        <w:t>most acutely by Canberra’s low-income households who spend a greater proportion of their income on essential goods and services</w:t>
      </w:r>
      <w:r w:rsidR="00D85F72">
        <w:rPr>
          <w:rStyle w:val="FootnoteReference"/>
        </w:rPr>
        <w:footnoteReference w:id="1"/>
      </w:r>
      <w:r w:rsidR="00FB465A">
        <w:t>. For example, households living with low incomes or experiencing disadvantage pay disproportionately more of their income on energy than the average household</w:t>
      </w:r>
      <w:r w:rsidR="00FB465A">
        <w:rPr>
          <w:vertAlign w:val="superscript"/>
        </w:rPr>
        <w:footnoteReference w:id="2"/>
      </w:r>
      <w:r w:rsidR="00FB465A">
        <w:t xml:space="preserve">. </w:t>
      </w:r>
      <w:r w:rsidR="00291812">
        <w:t>E</w:t>
      </w:r>
      <w:r w:rsidR="00C05397">
        <w:t xml:space="preserve">nergy costs </w:t>
      </w:r>
      <w:r w:rsidR="005352F9">
        <w:t>are</w:t>
      </w:r>
      <w:r w:rsidR="00C05397">
        <w:t xml:space="preserve"> relatively fixed regardless of income </w:t>
      </w:r>
      <w:r w:rsidR="00653B65">
        <w:t xml:space="preserve">due to the universal need </w:t>
      </w:r>
      <w:r w:rsidR="003920EC">
        <w:t>for</w:t>
      </w:r>
      <w:r w:rsidR="0049373A">
        <w:t xml:space="preserve"> heating, hot water, cooking, lighting and power for appliances</w:t>
      </w:r>
      <w:r w:rsidR="00F34A04">
        <w:t xml:space="preserve">. Low-income households are also more likely to be living in housing with poor energy efficiency </w:t>
      </w:r>
      <w:r w:rsidR="005352F9">
        <w:t>or</w:t>
      </w:r>
      <w:r w:rsidR="00162B03">
        <w:t xml:space="preserve"> renters with limited ability to make improvements or access the benefits of energy efficiency upgrades and electrification. </w:t>
      </w:r>
    </w:p>
    <w:p w14:paraId="0141FC6F" w14:textId="51BAC09F" w:rsidR="00DC1ED9" w:rsidRDefault="00FB465A" w:rsidP="00CB0A03">
      <w:pPr>
        <w:spacing w:after="160" w:line="271" w:lineRule="auto"/>
        <w:ind w:left="-6" w:hanging="11"/>
      </w:pPr>
      <w:r>
        <w:t xml:space="preserve">The PHT is designed to address this problem by </w:t>
      </w:r>
      <w:r w:rsidR="00387BCA">
        <w:t>providing</w:t>
      </w:r>
      <w:r>
        <w:t xml:space="preserve"> </w:t>
      </w:r>
      <w:r w:rsidR="00387BCA">
        <w:t>opportunities</w:t>
      </w:r>
      <w:r>
        <w:t xml:space="preserve"> for priority households to secure energy and cost savings</w:t>
      </w:r>
      <w:r w:rsidR="0033558B">
        <w:t xml:space="preserve"> to help improve the distributional equity of the EEIS</w:t>
      </w:r>
      <w:r>
        <w:t xml:space="preserve">. In the absence of a PHT, retailers would </w:t>
      </w:r>
      <w:r w:rsidR="0033558B">
        <w:t xml:space="preserve">likely </w:t>
      </w:r>
      <w:r>
        <w:t>seek out least cost opportunities to meet their energy savings obligations. This would favour</w:t>
      </w:r>
      <w:r w:rsidR="00A437BC">
        <w:t xml:space="preserve"> higher-income</w:t>
      </w:r>
      <w:r>
        <w:t xml:space="preserve"> households that are able to make greater co-contributions and reduce participation among priority households.</w:t>
      </w:r>
      <w:r w:rsidR="00CA5D01">
        <w:t xml:space="preserve"> </w:t>
      </w:r>
      <w:r w:rsidR="005613D9">
        <w:t xml:space="preserve">Modelling commissioned by Government indicates </w:t>
      </w:r>
      <w:r w:rsidR="00CA5D01">
        <w:t xml:space="preserve">that activity delivery to priority </w:t>
      </w:r>
      <w:r w:rsidR="00013C7C">
        <w:t>households’</w:t>
      </w:r>
      <w:r w:rsidR="00CA5D01">
        <w:t xml:space="preserve"> </w:t>
      </w:r>
      <w:r w:rsidR="002E5436">
        <w:t>costs a</w:t>
      </w:r>
      <w:r w:rsidR="00700883">
        <w:t>round</w:t>
      </w:r>
      <w:r w:rsidR="002E5436">
        <w:t xml:space="preserve"> double that o</w:t>
      </w:r>
      <w:r w:rsidR="00013C7C">
        <w:t>f</w:t>
      </w:r>
      <w:r w:rsidR="002E5436">
        <w:t xml:space="preserve"> standard private households, as they have less ability to </w:t>
      </w:r>
      <w:r w:rsidR="008B5B52">
        <w:t>fund upgrades and require much</w:t>
      </w:r>
      <w:r w:rsidR="00E23A0A">
        <w:t xml:space="preserve"> higher financial support</w:t>
      </w:r>
      <w:r w:rsidR="00151711">
        <w:t xml:space="preserve"> to participate in the EEIS</w:t>
      </w:r>
      <w:r w:rsidR="008B5B52">
        <w:t xml:space="preserve">. </w:t>
      </w:r>
      <w:r w:rsidR="00671B78" w:rsidRPr="00671B78">
        <w:t>Without a PHT, retailers would shift activity towards higher-income households better able to co-fund measures, reducing support for vulnerable households.</w:t>
      </w:r>
    </w:p>
    <w:p w14:paraId="7E36FAB9" w14:textId="24C60B1D" w:rsidR="007215C4" w:rsidRDefault="007C31DE" w:rsidP="00AD5C60">
      <w:pPr>
        <w:spacing w:after="160" w:line="271" w:lineRule="auto"/>
        <w:ind w:left="-6" w:hanging="11"/>
      </w:pPr>
      <w:r>
        <w:t>To support the delivery of the PHT there is a separate Priority Household Definition</w:t>
      </w:r>
      <w:r w:rsidR="004534CA">
        <w:t xml:space="preserve"> (PHD)</w:t>
      </w:r>
      <w:r>
        <w:t xml:space="preserve"> instrument which </w:t>
      </w:r>
      <w:r w:rsidR="000F179A">
        <w:t xml:space="preserve">defines </w:t>
      </w:r>
      <w:r w:rsidR="007D3C23">
        <w:t xml:space="preserve">priority household eligibility. </w:t>
      </w:r>
      <w:r w:rsidR="00EE4FDE">
        <w:t>T</w:t>
      </w:r>
      <w:r w:rsidR="007215C4">
        <w:t>o</w:t>
      </w:r>
      <w:r w:rsidR="00EE4FDE">
        <w:t xml:space="preserve"> </w:t>
      </w:r>
      <w:r w:rsidR="00A87215">
        <w:t xml:space="preserve">ensure most vulnerable households are supported by the EEIS the current PHD </w:t>
      </w:r>
      <w:r w:rsidR="00AD5C60">
        <w:t>sets</w:t>
      </w:r>
      <w:r w:rsidR="00A87215">
        <w:t xml:space="preserve"> broad </w:t>
      </w:r>
      <w:r w:rsidR="00AD5C60">
        <w:t xml:space="preserve">eligibility criteria </w:t>
      </w:r>
      <w:r w:rsidR="00A87215">
        <w:t xml:space="preserve">and </w:t>
      </w:r>
      <w:r w:rsidR="00AD5C60">
        <w:t xml:space="preserve">is </w:t>
      </w:r>
      <w:r w:rsidR="00A87215">
        <w:t>estimated to capture approximately 30% of all ACT households.</w:t>
      </w:r>
      <w:r w:rsidR="00AD5C60">
        <w:t xml:space="preserve"> </w:t>
      </w:r>
    </w:p>
    <w:p w14:paraId="53BC2095" w14:textId="05EE49B1" w:rsidR="00DC1ED9" w:rsidRDefault="00FB465A" w:rsidP="001E1557">
      <w:pPr>
        <w:spacing w:after="360" w:line="271" w:lineRule="auto"/>
        <w:ind w:left="-6" w:hanging="11"/>
      </w:pPr>
      <w:r>
        <w:t xml:space="preserve">The policy objective of the </w:t>
      </w:r>
      <w:r w:rsidR="001E261F">
        <w:t>determination</w:t>
      </w:r>
      <w:r>
        <w:t xml:space="preserve"> is to achieve </w:t>
      </w:r>
      <w:r w:rsidR="001E261F">
        <w:t>o</w:t>
      </w:r>
      <w:r>
        <w:t xml:space="preserve">bject (d) of the Act as established in section 6: to “increase opportunities for priority households to reduce energy use and cost”. The PHT also delivers on key objectives of the </w:t>
      </w:r>
      <w:r w:rsidR="00A50591" w:rsidRPr="00FF7B53">
        <w:rPr>
          <w:i/>
        </w:rPr>
        <w:t xml:space="preserve">ACT Climate Strategy </w:t>
      </w:r>
      <w:r w:rsidR="00A50591">
        <w:rPr>
          <w:i/>
        </w:rPr>
        <w:t>2026-2036: Overarching Framework</w:t>
      </w:r>
      <w:r w:rsidR="00A50591">
        <w:rPr>
          <w:rStyle w:val="FootnoteReference"/>
          <w:i/>
        </w:rPr>
        <w:footnoteReference w:id="3"/>
      </w:r>
      <w:r w:rsidR="00A50591">
        <w:rPr>
          <w:i/>
        </w:rPr>
        <w:t xml:space="preserve"> </w:t>
      </w:r>
      <w:r>
        <w:t xml:space="preserve">including: achieving net zero emissions in the ACT by 2045 at the latest; building resilience to climate change impacts; and supporting a just transition to net zero </w:t>
      </w:r>
      <w:r>
        <w:lastRenderedPageBreak/>
        <w:t xml:space="preserve">emissions. It </w:t>
      </w:r>
      <w:r w:rsidR="00807C60">
        <w:t>also achieves the objective of a just transition under the ACT’s Integrated Energy Plan 2024-2030 (IEP)</w:t>
      </w:r>
      <w:r w:rsidR="00A328FC">
        <w:rPr>
          <w:rStyle w:val="FootnoteReference"/>
        </w:rPr>
        <w:footnoteReference w:id="4"/>
      </w:r>
      <w:r w:rsidR="00807C60">
        <w:t xml:space="preserve"> through the EEIS Priority House</w:t>
      </w:r>
      <w:r w:rsidR="00BD39B0">
        <w:t>hold</w:t>
      </w:r>
      <w:r w:rsidR="00807C60">
        <w:t xml:space="preserve"> Target (PHT)</w:t>
      </w:r>
      <w:r>
        <w:t xml:space="preserve">. </w:t>
      </w:r>
    </w:p>
    <w:p w14:paraId="733ADDA0" w14:textId="542F598F" w:rsidR="00DC1ED9" w:rsidRDefault="00134704" w:rsidP="001E1557">
      <w:pPr>
        <w:pStyle w:val="Heading1"/>
        <w:ind w:left="426" w:hanging="426"/>
      </w:pPr>
      <w:bookmarkStart w:id="3" w:name="_Toc241576952"/>
      <w:r>
        <w:t xml:space="preserve">Priority Household Target setting </w:t>
      </w:r>
      <w:r w:rsidR="00E271EB">
        <w:t>analysis and rationale</w:t>
      </w:r>
      <w:bookmarkEnd w:id="3"/>
    </w:p>
    <w:p w14:paraId="2ECB7C2E" w14:textId="009ED571" w:rsidR="00DC1ED9" w:rsidRPr="007D6DEC" w:rsidRDefault="00FB465A" w:rsidP="000830FA">
      <w:pPr>
        <w:spacing w:after="160" w:line="271" w:lineRule="auto"/>
        <w:ind w:left="-6" w:hanging="11"/>
        <w:rPr>
          <w:highlight w:val="yellow"/>
        </w:rPr>
      </w:pPr>
      <w:r>
        <w:t xml:space="preserve">EEIS activities deliver significant </w:t>
      </w:r>
      <w:r w:rsidR="003603B9">
        <w:t xml:space="preserve">energy and bill </w:t>
      </w:r>
      <w:r>
        <w:t>savings to participating households, which include</w:t>
      </w:r>
      <w:r w:rsidR="00A437BC">
        <w:t>s</w:t>
      </w:r>
      <w:r>
        <w:t xml:space="preserve"> a proportion of priority households. </w:t>
      </w:r>
      <w:r w:rsidR="00AA424E">
        <w:t xml:space="preserve">This is achieved through improving household energy efficiency, </w:t>
      </w:r>
      <w:r w:rsidR="000F60D5">
        <w:t xml:space="preserve">with the </w:t>
      </w:r>
      <w:r w:rsidR="00355DEC">
        <w:t xml:space="preserve">EEIS primarily delivering </w:t>
      </w:r>
      <w:r w:rsidR="00A26096">
        <w:t>reverse cycle air conditioning (RCAC)</w:t>
      </w:r>
      <w:r w:rsidR="00355DEC">
        <w:t xml:space="preserve">, </w:t>
      </w:r>
      <w:r w:rsidR="00A26096">
        <w:t>hot water heat pump (</w:t>
      </w:r>
      <w:r w:rsidR="00355DEC">
        <w:t>HWHP</w:t>
      </w:r>
      <w:r w:rsidR="00A26096">
        <w:t>)</w:t>
      </w:r>
      <w:r w:rsidR="00355DEC">
        <w:t xml:space="preserve"> and insulation upgrades in ACT households – supporting key electrification technologies and home energy efficiency improvements</w:t>
      </w:r>
      <w:r w:rsidR="00695BF4">
        <w:t xml:space="preserve"> which reduce household energy bills.</w:t>
      </w:r>
      <w:r w:rsidR="00AA424E">
        <w:t xml:space="preserve"> </w:t>
      </w:r>
    </w:p>
    <w:p w14:paraId="37850A96" w14:textId="2F74F6B4" w:rsidR="00DC1ED9" w:rsidRDefault="00FB465A" w:rsidP="000830FA">
      <w:pPr>
        <w:spacing w:after="160" w:line="271" w:lineRule="auto"/>
        <w:ind w:left="-6" w:hanging="11"/>
      </w:pPr>
      <w:r w:rsidRPr="006378E4">
        <w:t xml:space="preserve">The PHT has been consistently met by the </w:t>
      </w:r>
      <w:r w:rsidR="00000706" w:rsidRPr="006378E4">
        <w:t>t</w:t>
      </w:r>
      <w:r w:rsidRPr="006378E4">
        <w:t xml:space="preserve">ier 1 retailer over the lifetime of the Scheme, at times through </w:t>
      </w:r>
      <w:r w:rsidR="00A437BC">
        <w:t xml:space="preserve">the </w:t>
      </w:r>
      <w:r w:rsidRPr="006378E4">
        <w:t>support of surplus savings achieved in previous years.</w:t>
      </w:r>
      <w:r>
        <w:t xml:space="preserve"> </w:t>
      </w:r>
      <w:r w:rsidR="00A437BC">
        <w:t>Previous c</w:t>
      </w:r>
      <w:r w:rsidR="00590F14">
        <w:t>onsultation with the tier 1 retailer indicated that it would be possible to continue to meet a 40% PHT if</w:t>
      </w:r>
      <w:r w:rsidR="00A437BC">
        <w:t xml:space="preserve"> it</w:t>
      </w:r>
      <w:r w:rsidR="00590F14">
        <w:t xml:space="preserve"> was expanded to include rental properties</w:t>
      </w:r>
      <w:r w:rsidR="00A437BC">
        <w:t xml:space="preserve">, which was completed for the 2025 compliance year to support expanded activity delivery to a wider range of ACT households. </w:t>
      </w:r>
    </w:p>
    <w:p w14:paraId="20FDF18D" w14:textId="407636C6" w:rsidR="00543C13" w:rsidRPr="00543C13" w:rsidRDefault="0071730B" w:rsidP="00543C13">
      <w:pPr>
        <w:spacing w:after="160" w:line="271" w:lineRule="auto"/>
        <w:ind w:left="-6" w:hanging="11"/>
      </w:pPr>
      <w:r w:rsidRPr="0071730B">
        <w:t>The Tier 1 retailer has raised concerns in previous compliance years about the ability to meet the 40% PHT target. However, despite these concerns, it has exceeded the target in recent years.</w:t>
      </w:r>
      <w:r>
        <w:t xml:space="preserve"> </w:t>
      </w:r>
      <w:r w:rsidR="00F675B4">
        <w:t xml:space="preserve">This can be attributed to their </w:t>
      </w:r>
      <w:r w:rsidR="00FA02AA">
        <w:t xml:space="preserve">participation in the ACT Government’s Vulnerable Household Energy Support Scheme (VHESS) </w:t>
      </w:r>
      <w:r w:rsidR="00EF7AB2">
        <w:t xml:space="preserve">which enables electrification and insulation upgrades in social housing properties. </w:t>
      </w:r>
      <w:r w:rsidR="00543C13" w:rsidRPr="00543C13">
        <w:t>The Tier 1 retailer has historically been permitted to claim activities delivered through this Program against its PHT obligation</w:t>
      </w:r>
      <w:r w:rsidR="00E56CCC">
        <w:t xml:space="preserve">. </w:t>
      </w:r>
      <w:r w:rsidR="00932714" w:rsidRPr="00932714">
        <w:t>These VHESS installations are expected to remain in some capacity in the 2027 compliance year</w:t>
      </w:r>
      <w:r w:rsidR="00C033C9">
        <w:t xml:space="preserve">, supporting achievement of the Scheme’s priority household objectives. </w:t>
      </w:r>
    </w:p>
    <w:p w14:paraId="475FF0E5" w14:textId="11B042AD" w:rsidR="00161DF5" w:rsidRPr="00161DF5" w:rsidRDefault="00D53FF4" w:rsidP="00FC2842">
      <w:pPr>
        <w:spacing w:after="160" w:line="271" w:lineRule="auto"/>
        <w:ind w:left="-6" w:hanging="11"/>
      </w:pPr>
      <w:r w:rsidRPr="00D53FF4">
        <w:t xml:space="preserve">Government-commissioned analysis found that delivering activities to non-VHESS priority </w:t>
      </w:r>
      <w:r w:rsidR="00CD70FC" w:rsidRPr="00D53FF4">
        <w:t>households’</w:t>
      </w:r>
      <w:r w:rsidRPr="00D53FF4">
        <w:t xml:space="preserve"> cost</w:t>
      </w:r>
      <w:r w:rsidR="00392DC6">
        <w:t>s</w:t>
      </w:r>
      <w:r w:rsidRPr="00D53FF4">
        <w:t xml:space="preserve"> around twice as much as delivering them to standard private households, largely due to the additional financial support needed to install typical EEIS RCAC and HWHP appliances.</w:t>
      </w:r>
      <w:r w:rsidR="00FC2842">
        <w:t xml:space="preserve"> </w:t>
      </w:r>
      <w:r w:rsidR="00161DF5" w:rsidRPr="00161DF5">
        <w:t>Lowering the PHT would require a tight</w:t>
      </w:r>
      <w:r w:rsidR="00D35398">
        <w:t>ening of the priority household definition</w:t>
      </w:r>
      <w:r w:rsidR="00161DF5" w:rsidRPr="00161DF5">
        <w:t xml:space="preserve"> to ensure support is directed to low-income households with the greatest need and least ability to undertake upgrades independently.</w:t>
      </w:r>
    </w:p>
    <w:p w14:paraId="54AC0290" w14:textId="6897F7ED" w:rsidR="0077032E" w:rsidRPr="0077032E" w:rsidRDefault="00717739" w:rsidP="0077032E">
      <w:pPr>
        <w:spacing w:after="360" w:line="271" w:lineRule="auto"/>
        <w:ind w:left="0" w:firstLine="0"/>
      </w:pPr>
      <w:r>
        <w:t xml:space="preserve">Although social housing tenants are typically low-income, </w:t>
      </w:r>
      <w:r w:rsidR="000D1F8B">
        <w:t xml:space="preserve">these properties are managed by the ACT Government and are currently undergoing widespread electrification and insulation </w:t>
      </w:r>
      <w:r w:rsidR="00581EBD">
        <w:t>retrofits</w:t>
      </w:r>
      <w:r w:rsidR="000D1F8B">
        <w:t xml:space="preserve"> through the VHESS program</w:t>
      </w:r>
      <w:r w:rsidR="00D57682">
        <w:t xml:space="preserve">. </w:t>
      </w:r>
      <w:r w:rsidR="0077032E" w:rsidRPr="0077032E">
        <w:t>To maintain support for low-income ACT residents who do not live in social housing, the PHT is retained at 40</w:t>
      </w:r>
      <w:r w:rsidR="00997AA7">
        <w:t xml:space="preserve"> per cent</w:t>
      </w:r>
      <w:r w:rsidR="0077032E" w:rsidRPr="0077032E">
        <w:t xml:space="preserve"> to ensure sufficient activity deliver</w:t>
      </w:r>
      <w:r w:rsidR="00997AA7">
        <w:t>y</w:t>
      </w:r>
      <w:r w:rsidR="0077032E" w:rsidRPr="0077032E">
        <w:t xml:space="preserve"> to these vulnerable households.</w:t>
      </w:r>
    </w:p>
    <w:p w14:paraId="05F3E94C" w14:textId="45A00BEB" w:rsidR="00DC1ED9" w:rsidRDefault="00B41AC7" w:rsidP="007D6DEC">
      <w:pPr>
        <w:pStyle w:val="Heading1"/>
        <w:numPr>
          <w:ilvl w:val="0"/>
          <w:numId w:val="0"/>
        </w:numPr>
      </w:pPr>
      <w:bookmarkStart w:id="4" w:name="_Toc241576953"/>
      <w:r>
        <w:lastRenderedPageBreak/>
        <w:t>4.1</w:t>
      </w:r>
      <w:r>
        <w:tab/>
      </w:r>
      <w:r w:rsidR="003231BD">
        <w:t>Setting the Priority Household Target (PHT)</w:t>
      </w:r>
      <w:bookmarkEnd w:id="4"/>
    </w:p>
    <w:p w14:paraId="7FC39E85" w14:textId="77777777" w:rsidR="002D767B" w:rsidRDefault="002D767B" w:rsidP="00337829">
      <w:pPr>
        <w:spacing w:after="160" w:line="271" w:lineRule="auto"/>
        <w:ind w:left="-6" w:hanging="11"/>
      </w:pPr>
    </w:p>
    <w:p w14:paraId="36FA6D07" w14:textId="6FD6496E" w:rsidR="00417AA9" w:rsidRPr="00337829" w:rsidRDefault="00337829" w:rsidP="00417AA9">
      <w:pPr>
        <w:spacing w:after="160" w:line="271" w:lineRule="auto"/>
        <w:ind w:left="-6" w:hanging="11"/>
      </w:pPr>
      <w:r w:rsidRPr="00337829">
        <w:t>Maintaining the PHT at 40</w:t>
      </w:r>
      <w:r w:rsidR="00DE3F8A">
        <w:t xml:space="preserve"> per cent</w:t>
      </w:r>
      <w:r w:rsidRPr="00337829">
        <w:t xml:space="preserve"> for the 2027 compliance year remains appropriate given the </w:t>
      </w:r>
      <w:r w:rsidR="002D767B">
        <w:t xml:space="preserve">current </w:t>
      </w:r>
      <w:r w:rsidRPr="00337829">
        <w:t xml:space="preserve">broad PHD. This setting helps ensure sufficient support for low-income households through EEIS electrification and energy efficiency upgrades. </w:t>
      </w:r>
      <w:r w:rsidR="00DE3F8A">
        <w:t xml:space="preserve">Noting the impact of the PHT </w:t>
      </w:r>
      <w:r w:rsidR="006855B4">
        <w:t xml:space="preserve">on Scheme pass-through costs, maintaining the target at 40 per cent </w:t>
      </w:r>
      <w:r w:rsidR="00417AA9">
        <w:t xml:space="preserve">is considered </w:t>
      </w:r>
      <w:r w:rsidR="00864D2B">
        <w:t>to achieve an</w:t>
      </w:r>
      <w:r w:rsidR="00417AA9" w:rsidRPr="00337829">
        <w:t xml:space="preserve"> appropriate balance between cost impacts and equitable outcomes for vulnerable households</w:t>
      </w:r>
      <w:r w:rsidR="00417AA9">
        <w:t xml:space="preserve"> under the Scheme</w:t>
      </w:r>
      <w:r w:rsidR="00417AA9" w:rsidRPr="00337829">
        <w:t>.</w:t>
      </w:r>
    </w:p>
    <w:p w14:paraId="452C6B67" w14:textId="3D9FA7BB" w:rsidR="007B5FA2" w:rsidRDefault="00417AA9" w:rsidP="00417AA9">
      <w:pPr>
        <w:spacing w:after="160" w:line="271" w:lineRule="auto"/>
        <w:ind w:left="0" w:firstLine="0"/>
      </w:pPr>
      <w:r>
        <w:t xml:space="preserve">Maintaining a 40 per cent PHT </w:t>
      </w:r>
      <w:r w:rsidR="00BC10E8">
        <w:t>is projected to keep p</w:t>
      </w:r>
      <w:r w:rsidR="00965D36">
        <w:t xml:space="preserve">ass-through costs </w:t>
      </w:r>
      <w:r w:rsidR="00202531">
        <w:t>close to the $4/MWh threshold</w:t>
      </w:r>
      <w:r w:rsidR="004323E7">
        <w:t xml:space="preserve">, minimising bill impacts on ACT electricity consumers. </w:t>
      </w:r>
      <w:r w:rsidR="007B5FA2">
        <w:t xml:space="preserve">It should be noted that this target </w:t>
      </w:r>
      <w:r w:rsidR="00DA11FC">
        <w:t xml:space="preserve">is informed by the current broad PHD and may require adjustment from 2028 onwards </w:t>
      </w:r>
      <w:r w:rsidR="00466BE6">
        <w:t xml:space="preserve">should the Government wish to adjust the definition. </w:t>
      </w:r>
    </w:p>
    <w:p w14:paraId="06FBF8FB" w14:textId="7B545D75" w:rsidR="00BA3DB4" w:rsidRDefault="00BA3DB4" w:rsidP="00A63517">
      <w:pPr>
        <w:spacing w:after="360" w:line="271" w:lineRule="auto"/>
        <w:ind w:left="-6" w:hanging="11"/>
      </w:pPr>
      <w:r>
        <w:t xml:space="preserve">Alternatively, a reduction </w:t>
      </w:r>
      <w:r w:rsidRPr="009846E0">
        <w:t>in the PHT would reduce the distributional equity of the Scheme</w:t>
      </w:r>
      <w:r>
        <w:t xml:space="preserve"> and likely limit opportunities for more vulnerable households to participate in the EEIS and receive the benefits of improved household energy efficiency. </w:t>
      </w:r>
    </w:p>
    <w:p w14:paraId="11CC31C9" w14:textId="225F3AE9" w:rsidR="00645CB1" w:rsidRDefault="00645CB1" w:rsidP="00597926">
      <w:pPr>
        <w:pStyle w:val="Heading1"/>
        <w:spacing w:line="266" w:lineRule="auto"/>
        <w:ind w:left="425" w:hanging="425"/>
      </w:pPr>
      <w:bookmarkStart w:id="5" w:name="_Hlk170214871"/>
      <w:bookmarkStart w:id="6" w:name="_Toc241576954"/>
      <w:r w:rsidRPr="00645CB1">
        <w:t>Consistency of the proposed law with the authorising law</w:t>
      </w:r>
      <w:bookmarkEnd w:id="5"/>
      <w:bookmarkEnd w:id="6"/>
    </w:p>
    <w:p w14:paraId="6A8D76FC" w14:textId="6A85997A" w:rsidR="00645CB1" w:rsidRDefault="00645CB1" w:rsidP="000830FA">
      <w:pPr>
        <w:spacing w:after="160" w:line="271" w:lineRule="auto"/>
        <w:ind w:left="11" w:hanging="11"/>
      </w:pPr>
      <w:bookmarkStart w:id="7" w:name="_Hlk170214890"/>
      <w:r>
        <w:t xml:space="preserve">As mentioned above, the determination is consistent with the object of the Act to increase opportunities for priority households to reduce energy use and cost. </w:t>
      </w:r>
    </w:p>
    <w:p w14:paraId="53B6B156" w14:textId="1E499778" w:rsidR="00645CB1" w:rsidRDefault="00645CB1" w:rsidP="000830FA">
      <w:pPr>
        <w:spacing w:after="160" w:line="271" w:lineRule="auto"/>
        <w:ind w:left="11" w:hanging="11"/>
      </w:pPr>
      <w:bookmarkStart w:id="8" w:name="_Hlk170214988"/>
      <w:bookmarkEnd w:id="7"/>
      <w:r>
        <w:t>The Act requires the Minister to set a PHT at least three months before the start of the compliance period to which the PHT relates. The requirement is for the PHT to be established six months before the start of the compliance period if the PHT is to be increased. Compliance periods are calendar years.</w:t>
      </w:r>
    </w:p>
    <w:p w14:paraId="4CC7344A" w14:textId="2AA93C70" w:rsidR="00645CB1" w:rsidRPr="007D6DEC" w:rsidRDefault="00645CB1" w:rsidP="007D6DEC">
      <w:pPr>
        <w:spacing w:after="360"/>
      </w:pPr>
      <w:bookmarkStart w:id="9" w:name="_Hlk170215090"/>
      <w:bookmarkEnd w:id="8"/>
      <w:r>
        <w:t>As the proposal is to retain, rather than increase the PHT, the Act requires the PHT to be set at least three months before the beginning of 202</w:t>
      </w:r>
      <w:r w:rsidR="000C1862">
        <w:t>6</w:t>
      </w:r>
      <w:r>
        <w:t>.</w:t>
      </w:r>
    </w:p>
    <w:p w14:paraId="5D97FA5E" w14:textId="77777777" w:rsidR="00645CB1" w:rsidRPr="00A273AB" w:rsidRDefault="00645CB1" w:rsidP="00B35D51">
      <w:pPr>
        <w:pStyle w:val="Heading1"/>
        <w:spacing w:line="266" w:lineRule="auto"/>
        <w:ind w:left="425" w:hanging="425"/>
        <w:rPr>
          <w:rFonts w:cstheme="minorHAnsi"/>
          <w:szCs w:val="24"/>
        </w:rPr>
      </w:pPr>
      <w:bookmarkStart w:id="10" w:name="_Hlk170214640"/>
      <w:bookmarkStart w:id="11" w:name="_Toc241576955"/>
      <w:bookmarkEnd w:id="9"/>
      <w:r w:rsidRPr="00645CB1">
        <w:t>Inconsistency with the policy objectives of another territory law</w:t>
      </w:r>
      <w:bookmarkEnd w:id="10"/>
      <w:bookmarkEnd w:id="11"/>
    </w:p>
    <w:p w14:paraId="7953604D" w14:textId="66F4A2C6" w:rsidR="00645CB1" w:rsidRPr="00A273AB" w:rsidRDefault="00645CB1" w:rsidP="006831EE">
      <w:pPr>
        <w:spacing w:after="360" w:line="271" w:lineRule="auto"/>
        <w:ind w:left="11" w:hanging="11"/>
      </w:pPr>
      <w:r w:rsidRPr="00A273AB">
        <w:t xml:space="preserve">The </w:t>
      </w:r>
      <w:r>
        <w:t xml:space="preserve">determination </w:t>
      </w:r>
      <w:r w:rsidRPr="00A273AB">
        <w:t>is not inconsistent with the policy objectives of any other Territory law.</w:t>
      </w:r>
    </w:p>
    <w:p w14:paraId="78082E10" w14:textId="77777777" w:rsidR="00645CB1" w:rsidRDefault="00645CB1" w:rsidP="00B35D51">
      <w:pPr>
        <w:pStyle w:val="Heading1"/>
        <w:spacing w:line="266" w:lineRule="auto"/>
        <w:ind w:left="425" w:hanging="425"/>
      </w:pPr>
      <w:bookmarkStart w:id="12" w:name="_Toc241576956"/>
      <w:bookmarkStart w:id="13" w:name="_Hlk170216722"/>
      <w:r w:rsidRPr="00645CB1">
        <w:t>Reasonable alternatives to the proposed law</w:t>
      </w:r>
      <w:bookmarkEnd w:id="12"/>
    </w:p>
    <w:bookmarkEnd w:id="13"/>
    <w:p w14:paraId="3BF7AA18" w14:textId="6E127087" w:rsidR="00355F05" w:rsidRDefault="00645CB1" w:rsidP="00B35D51">
      <w:pPr>
        <w:spacing w:after="360" w:line="271" w:lineRule="auto"/>
        <w:ind w:left="11" w:hanging="11"/>
      </w:pPr>
      <w:r>
        <w:t xml:space="preserve">Section 8 of the Act is explicit in its requirement for a PHT to be determined by the Minister and provides for no alternative. Alternatives </w:t>
      </w:r>
      <w:r w:rsidR="00355F05">
        <w:t>to the determination are therefore restricted to either maintaining, increasing, or decreasing the PHT.</w:t>
      </w:r>
    </w:p>
    <w:p w14:paraId="6479A53B" w14:textId="77777777" w:rsidR="00B35D51" w:rsidRDefault="00355F05" w:rsidP="00B35D51">
      <w:pPr>
        <w:pStyle w:val="Heading1"/>
        <w:spacing w:line="266" w:lineRule="auto"/>
        <w:ind w:left="425" w:hanging="425"/>
        <w:rPr>
          <w:rFonts w:cstheme="minorHAnsi"/>
          <w:color w:val="000000"/>
          <w:sz w:val="24"/>
          <w:szCs w:val="24"/>
        </w:rPr>
      </w:pPr>
      <w:bookmarkStart w:id="14" w:name="_Hlk170217018"/>
      <w:bookmarkStart w:id="15" w:name="_Toc241576957"/>
      <w:r>
        <w:t>B</w:t>
      </w:r>
      <w:r w:rsidR="00645CB1" w:rsidRPr="00645CB1">
        <w:t>rief assessment of the benefits and costs of the proposed law</w:t>
      </w:r>
      <w:bookmarkEnd w:id="14"/>
      <w:bookmarkEnd w:id="15"/>
    </w:p>
    <w:p w14:paraId="4266C092" w14:textId="4933E30C" w:rsidR="00451B37" w:rsidRDefault="001870E2" w:rsidP="00BF1768">
      <w:pPr>
        <w:spacing w:after="0" w:line="300" w:lineRule="atLeast"/>
        <w:ind w:left="0" w:firstLine="0"/>
      </w:pPr>
      <w:r w:rsidRPr="001870E2">
        <w:t>Government-commissioned modelling assessed the scheme's costs and benefits at a 40% PHT, as shown in the table below.</w:t>
      </w:r>
      <w:r w:rsidR="00BF1768">
        <w:t xml:space="preserve"> In</w:t>
      </w:r>
      <w:r w:rsidR="00BF1768" w:rsidRPr="00B35D51">
        <w:t xml:space="preserve"> the absence of the target</w:t>
      </w:r>
      <w:r w:rsidR="00BF1768">
        <w:t>,</w:t>
      </w:r>
      <w:r w:rsidR="00BF1768" w:rsidRPr="00B35D51">
        <w:t xml:space="preserve"> priority households would </w:t>
      </w:r>
      <w:r w:rsidR="00BF1768">
        <w:t xml:space="preserve">potentially </w:t>
      </w:r>
      <w:r w:rsidR="00BF1768" w:rsidRPr="00B35D51">
        <w:t>be underrepresented in delivery while still facing the costs of the scheme.</w:t>
      </w:r>
    </w:p>
    <w:p w14:paraId="790B7FD4" w14:textId="77777777" w:rsidR="00BF1768" w:rsidRPr="00B35D51" w:rsidRDefault="00BF1768" w:rsidP="00BF1768">
      <w:pPr>
        <w:spacing w:after="0" w:line="300" w:lineRule="atLeast"/>
        <w:ind w:left="0" w:firstLine="0"/>
      </w:pPr>
    </w:p>
    <w:tbl>
      <w:tblPr>
        <w:tblStyle w:val="TableGrid"/>
        <w:tblW w:w="9606" w:type="dxa"/>
        <w:tblLayout w:type="fixed"/>
        <w:tblLook w:val="0000" w:firstRow="0" w:lastRow="0" w:firstColumn="0" w:lastColumn="0" w:noHBand="0" w:noVBand="0"/>
      </w:tblPr>
      <w:tblGrid>
        <w:gridCol w:w="6487"/>
        <w:gridCol w:w="3119"/>
      </w:tblGrid>
      <w:tr w:rsidR="00451B37" w14:paraId="745AE753" w14:textId="77777777" w:rsidTr="006831EE">
        <w:trPr>
          <w:trHeight w:val="272"/>
        </w:trPr>
        <w:tc>
          <w:tcPr>
            <w:tcW w:w="6487" w:type="dxa"/>
          </w:tcPr>
          <w:p w14:paraId="01E17A66" w14:textId="1A8CFC78" w:rsidR="00451B37" w:rsidRDefault="00451B37" w:rsidP="00E26B41">
            <w:pPr>
              <w:pStyle w:val="Default"/>
              <w:spacing w:before="60" w:after="120"/>
              <w:rPr>
                <w:sz w:val="23"/>
                <w:szCs w:val="23"/>
              </w:rPr>
            </w:pPr>
            <w:r>
              <w:rPr>
                <w:b/>
                <w:bCs/>
                <w:sz w:val="23"/>
                <w:szCs w:val="23"/>
              </w:rPr>
              <w:lastRenderedPageBreak/>
              <w:t xml:space="preserve">Lifetime </w:t>
            </w:r>
            <w:r w:rsidR="00D53B60">
              <w:rPr>
                <w:b/>
                <w:bCs/>
                <w:sz w:val="23"/>
                <w:szCs w:val="23"/>
              </w:rPr>
              <w:t>bill savings</w:t>
            </w:r>
            <w:r w:rsidR="00686019">
              <w:rPr>
                <w:b/>
                <w:bCs/>
                <w:sz w:val="23"/>
                <w:szCs w:val="23"/>
              </w:rPr>
              <w:t xml:space="preserve"> to participating households</w:t>
            </w:r>
            <w:r w:rsidR="00D53B60">
              <w:rPr>
                <w:b/>
                <w:bCs/>
                <w:sz w:val="23"/>
                <w:szCs w:val="23"/>
              </w:rPr>
              <w:t xml:space="preserve"> </w:t>
            </w:r>
            <w:r w:rsidR="00686019">
              <w:rPr>
                <w:b/>
                <w:bCs/>
                <w:sz w:val="23"/>
                <w:szCs w:val="23"/>
              </w:rPr>
              <w:t>(across</w:t>
            </w:r>
            <w:r w:rsidR="00C02F6D">
              <w:rPr>
                <w:b/>
                <w:bCs/>
                <w:sz w:val="23"/>
                <w:szCs w:val="23"/>
              </w:rPr>
              <w:t xml:space="preserve"> period 2027-29</w:t>
            </w:r>
            <w:r w:rsidR="00FC3001">
              <w:rPr>
                <w:b/>
                <w:bCs/>
                <w:sz w:val="23"/>
                <w:szCs w:val="23"/>
              </w:rPr>
              <w:t xml:space="preserve"> compliance years)</w:t>
            </w:r>
          </w:p>
        </w:tc>
        <w:tc>
          <w:tcPr>
            <w:tcW w:w="3119" w:type="dxa"/>
          </w:tcPr>
          <w:p w14:paraId="20477F21" w14:textId="607AE51A" w:rsidR="00451B37" w:rsidRPr="00E26B41" w:rsidRDefault="001372BB" w:rsidP="00E26B41">
            <w:pPr>
              <w:pStyle w:val="Default"/>
              <w:spacing w:before="60" w:after="120"/>
              <w:rPr>
                <w:sz w:val="22"/>
                <w:szCs w:val="22"/>
              </w:rPr>
            </w:pPr>
            <w:r w:rsidRPr="00E26B41">
              <w:rPr>
                <w:sz w:val="22"/>
                <w:szCs w:val="22"/>
              </w:rPr>
              <w:t>$</w:t>
            </w:r>
            <w:r w:rsidR="00A57620" w:rsidRPr="00E26B41">
              <w:rPr>
                <w:sz w:val="22"/>
                <w:szCs w:val="22"/>
              </w:rPr>
              <w:t>85,020.039</w:t>
            </w:r>
          </w:p>
        </w:tc>
      </w:tr>
      <w:tr w:rsidR="00451B37" w14:paraId="556EE201" w14:textId="77777777" w:rsidTr="006831EE">
        <w:trPr>
          <w:trHeight w:val="279"/>
        </w:trPr>
        <w:tc>
          <w:tcPr>
            <w:tcW w:w="6487" w:type="dxa"/>
          </w:tcPr>
          <w:p w14:paraId="5E695FD9" w14:textId="1F7C7BC9" w:rsidR="00451B37" w:rsidRDefault="00C02F6D" w:rsidP="00E26B41">
            <w:pPr>
              <w:pStyle w:val="Default"/>
              <w:spacing w:before="60" w:after="120"/>
              <w:rPr>
                <w:sz w:val="23"/>
                <w:szCs w:val="23"/>
              </w:rPr>
            </w:pPr>
            <w:r>
              <w:rPr>
                <w:b/>
                <w:bCs/>
                <w:sz w:val="23"/>
                <w:szCs w:val="23"/>
              </w:rPr>
              <w:t xml:space="preserve">Total wholesale, network and </w:t>
            </w:r>
            <w:r w:rsidR="004E330E">
              <w:rPr>
                <w:b/>
                <w:bCs/>
                <w:sz w:val="23"/>
                <w:szCs w:val="23"/>
              </w:rPr>
              <w:t>greenhouse gas (GHG) emissions savings from period 2027-29</w:t>
            </w:r>
            <w:r w:rsidR="00451B37">
              <w:rPr>
                <w:b/>
                <w:bCs/>
                <w:sz w:val="23"/>
                <w:szCs w:val="23"/>
              </w:rPr>
              <w:t xml:space="preserve"> </w:t>
            </w:r>
          </w:p>
        </w:tc>
        <w:tc>
          <w:tcPr>
            <w:tcW w:w="3119" w:type="dxa"/>
          </w:tcPr>
          <w:p w14:paraId="41C5526F" w14:textId="025EE4A5" w:rsidR="00451B37" w:rsidRPr="00E26B41" w:rsidRDefault="004E330E" w:rsidP="00E26B41">
            <w:pPr>
              <w:pStyle w:val="Default"/>
              <w:spacing w:before="60" w:after="120"/>
              <w:rPr>
                <w:sz w:val="22"/>
                <w:szCs w:val="22"/>
              </w:rPr>
            </w:pPr>
            <w:r w:rsidRPr="00E26B41">
              <w:rPr>
                <w:sz w:val="22"/>
                <w:szCs w:val="22"/>
              </w:rPr>
              <w:t>$</w:t>
            </w:r>
            <w:r w:rsidR="001372BB" w:rsidRPr="00E26B41">
              <w:rPr>
                <w:sz w:val="22"/>
                <w:szCs w:val="22"/>
              </w:rPr>
              <w:t>96,471,153</w:t>
            </w:r>
          </w:p>
        </w:tc>
      </w:tr>
      <w:tr w:rsidR="00451B37" w14:paraId="1EDC5A76" w14:textId="77777777" w:rsidTr="006831EE">
        <w:trPr>
          <w:trHeight w:val="112"/>
        </w:trPr>
        <w:tc>
          <w:tcPr>
            <w:tcW w:w="6487" w:type="dxa"/>
          </w:tcPr>
          <w:p w14:paraId="684CAEC7" w14:textId="37E9AC08" w:rsidR="00451B37" w:rsidRDefault="00686019" w:rsidP="00E26B41">
            <w:pPr>
              <w:pStyle w:val="Default"/>
              <w:spacing w:before="60" w:after="120"/>
              <w:rPr>
                <w:sz w:val="23"/>
                <w:szCs w:val="23"/>
              </w:rPr>
            </w:pPr>
            <w:r>
              <w:rPr>
                <w:b/>
                <w:bCs/>
              </w:rPr>
              <w:t>Estimated a</w:t>
            </w:r>
            <w:r w:rsidRPr="00EA78C8">
              <w:rPr>
                <w:b/>
                <w:bCs/>
              </w:rPr>
              <w:t>verage annual pass-through cost to Tier 1 customers</w:t>
            </w:r>
            <w:r>
              <w:rPr>
                <w:b/>
                <w:bCs/>
                <w:sz w:val="23"/>
                <w:szCs w:val="23"/>
              </w:rPr>
              <w:t xml:space="preserve"> </w:t>
            </w:r>
          </w:p>
        </w:tc>
        <w:tc>
          <w:tcPr>
            <w:tcW w:w="3119" w:type="dxa"/>
          </w:tcPr>
          <w:p w14:paraId="6E81E337" w14:textId="27BF0A02" w:rsidR="00451B37" w:rsidRPr="00E26B41" w:rsidRDefault="00451B37" w:rsidP="00E26B41">
            <w:pPr>
              <w:pStyle w:val="Default"/>
              <w:spacing w:before="60" w:after="120"/>
              <w:rPr>
                <w:sz w:val="22"/>
                <w:szCs w:val="22"/>
              </w:rPr>
            </w:pPr>
            <w:r w:rsidRPr="00E26B41">
              <w:rPr>
                <w:sz w:val="22"/>
                <w:szCs w:val="22"/>
              </w:rPr>
              <w:t>$</w:t>
            </w:r>
            <w:r w:rsidR="00C4220F">
              <w:rPr>
                <w:sz w:val="22"/>
                <w:szCs w:val="22"/>
              </w:rPr>
              <w:t>3</w:t>
            </w:r>
            <w:r w:rsidRPr="00E26B41">
              <w:rPr>
                <w:sz w:val="22"/>
                <w:szCs w:val="22"/>
              </w:rPr>
              <w:t>.</w:t>
            </w:r>
            <w:r w:rsidR="00C4220F">
              <w:rPr>
                <w:sz w:val="22"/>
                <w:szCs w:val="22"/>
              </w:rPr>
              <w:t>57</w:t>
            </w:r>
            <w:r w:rsidRPr="00E26B41">
              <w:rPr>
                <w:sz w:val="22"/>
                <w:szCs w:val="22"/>
              </w:rPr>
              <w:t xml:space="preserve"> /MWh</w:t>
            </w:r>
          </w:p>
        </w:tc>
      </w:tr>
      <w:tr w:rsidR="001C6C57" w14:paraId="3E785A4D" w14:textId="77777777" w:rsidTr="006831EE">
        <w:trPr>
          <w:trHeight w:val="285"/>
        </w:trPr>
        <w:tc>
          <w:tcPr>
            <w:tcW w:w="6487" w:type="dxa"/>
          </w:tcPr>
          <w:p w14:paraId="0BE862A7" w14:textId="77777777" w:rsidR="001C6C57" w:rsidRDefault="001C6C57" w:rsidP="001C6C57">
            <w:pPr>
              <w:pStyle w:val="Default"/>
              <w:spacing w:before="60" w:after="120"/>
              <w:rPr>
                <w:sz w:val="23"/>
                <w:szCs w:val="23"/>
              </w:rPr>
            </w:pPr>
            <w:r>
              <w:rPr>
                <w:b/>
                <w:bCs/>
                <w:sz w:val="23"/>
                <w:szCs w:val="23"/>
              </w:rPr>
              <w:t xml:space="preserve">Net present value of public investment </w:t>
            </w:r>
          </w:p>
        </w:tc>
        <w:tc>
          <w:tcPr>
            <w:tcW w:w="3119" w:type="dxa"/>
          </w:tcPr>
          <w:p w14:paraId="54A4AB66" w14:textId="3A8AD1B6" w:rsidR="001C6C57" w:rsidRPr="00E26B41" w:rsidRDefault="001C6C57" w:rsidP="001C6C57">
            <w:pPr>
              <w:pStyle w:val="Default"/>
              <w:spacing w:before="60" w:after="120"/>
              <w:rPr>
                <w:sz w:val="22"/>
                <w:szCs w:val="22"/>
              </w:rPr>
            </w:pPr>
            <w:r w:rsidRPr="001C6C57">
              <w:rPr>
                <w:sz w:val="22"/>
                <w:szCs w:val="22"/>
              </w:rPr>
              <w:t>$60,508,702</w:t>
            </w:r>
          </w:p>
        </w:tc>
      </w:tr>
    </w:tbl>
    <w:p w14:paraId="4FFCDB83" w14:textId="00E76C1E" w:rsidR="00DC1ED9" w:rsidRDefault="00FB465A" w:rsidP="00896883">
      <w:pPr>
        <w:pStyle w:val="Heading1"/>
        <w:spacing w:before="360" w:line="266" w:lineRule="auto"/>
        <w:ind w:left="425" w:hanging="425"/>
      </w:pPr>
      <w:bookmarkStart w:id="16" w:name="_Toc241576958"/>
      <w:r>
        <w:t>Human rights</w:t>
      </w:r>
      <w:bookmarkEnd w:id="16"/>
      <w:r>
        <w:t xml:space="preserve"> </w:t>
      </w:r>
    </w:p>
    <w:p w14:paraId="327E0A94" w14:textId="77777777" w:rsidR="00DC1ED9" w:rsidRDefault="00FB465A" w:rsidP="001E1557">
      <w:pPr>
        <w:spacing w:after="360" w:line="271" w:lineRule="auto"/>
        <w:ind w:left="-6" w:hanging="11"/>
      </w:pPr>
      <w:r>
        <w:t xml:space="preserve">The determination does not engage any human right set out in the </w:t>
      </w:r>
      <w:r>
        <w:rPr>
          <w:i/>
        </w:rPr>
        <w:t>Human Rights Act 2004</w:t>
      </w:r>
      <w:r>
        <w:t xml:space="preserve">.    </w:t>
      </w:r>
    </w:p>
    <w:p w14:paraId="531CC706" w14:textId="4BB4414E" w:rsidR="00DC1ED9" w:rsidRDefault="00FB465A" w:rsidP="00B35D51">
      <w:pPr>
        <w:pStyle w:val="Heading1"/>
        <w:spacing w:line="266" w:lineRule="auto"/>
        <w:ind w:left="425" w:hanging="425"/>
      </w:pPr>
      <w:bookmarkStart w:id="17" w:name="_Toc241576959"/>
      <w:r>
        <w:t xml:space="preserve">Assessment of the consistency of the proposed law with </w:t>
      </w:r>
      <w:r w:rsidR="00B11F5D">
        <w:t xml:space="preserve">the Standing Committee on Legal Affairs (Legislative Scrutiny Role) </w:t>
      </w:r>
      <w:r>
        <w:t>principles</w:t>
      </w:r>
      <w:bookmarkEnd w:id="17"/>
      <w:r>
        <w:t xml:space="preserve"> </w:t>
      </w:r>
    </w:p>
    <w:p w14:paraId="120C0028" w14:textId="77777777" w:rsidR="00DC1ED9" w:rsidRDefault="00FB465A" w:rsidP="001E1557">
      <w:pPr>
        <w:spacing w:after="206" w:line="271" w:lineRule="auto"/>
        <w:ind w:left="-6" w:hanging="11"/>
      </w:pPr>
      <w:r>
        <w:t xml:space="preserve">The terms of reference of the Standing Committee on Justice and Community Safety (Legislative Scrutiny Role) require it to consider whether (among other things): </w:t>
      </w:r>
    </w:p>
    <w:p w14:paraId="716EC33D" w14:textId="77777777" w:rsidR="00DC1ED9" w:rsidRDefault="00FB465A" w:rsidP="001E1557">
      <w:pPr>
        <w:spacing w:after="206" w:line="271" w:lineRule="auto"/>
        <w:ind w:left="561" w:hanging="357"/>
      </w:pPr>
      <w:r>
        <w:t>(a)</w:t>
      </w:r>
      <w:r>
        <w:rPr>
          <w:rFonts w:ascii="Arial" w:eastAsia="Arial" w:hAnsi="Arial" w:cs="Arial"/>
        </w:rPr>
        <w:t xml:space="preserve"> </w:t>
      </w:r>
      <w:r>
        <w:t xml:space="preserve">any instrument of a legislative nature made under an Act which is subject to disallowance and/or disapproval by the Assembly (including a regulation, rule or bylaw): </w:t>
      </w:r>
    </w:p>
    <w:p w14:paraId="228A3056" w14:textId="4FD9832F" w:rsidR="00FB465A" w:rsidRPr="00D85F72" w:rsidRDefault="00FB465A" w:rsidP="00C673FD">
      <w:pPr>
        <w:numPr>
          <w:ilvl w:val="0"/>
          <w:numId w:val="6"/>
        </w:numPr>
        <w:spacing w:after="11" w:line="267" w:lineRule="auto"/>
        <w:ind w:left="1134" w:hanging="708"/>
        <w:rPr>
          <w:i/>
        </w:rPr>
      </w:pPr>
      <w:r w:rsidRPr="00D85F72">
        <w:rPr>
          <w:i/>
        </w:rPr>
        <w:t xml:space="preserve">is in accord with the general objects of the Act under which it is made,  </w:t>
      </w:r>
    </w:p>
    <w:p w14:paraId="64DE9ED6" w14:textId="045525C3" w:rsidR="00FB465A" w:rsidRPr="00D85F72" w:rsidRDefault="00FB465A" w:rsidP="00C673FD">
      <w:pPr>
        <w:numPr>
          <w:ilvl w:val="0"/>
          <w:numId w:val="6"/>
        </w:numPr>
        <w:spacing w:after="11" w:line="267" w:lineRule="auto"/>
        <w:ind w:left="1134" w:hanging="708"/>
        <w:rPr>
          <w:i/>
        </w:rPr>
      </w:pPr>
      <w:r w:rsidRPr="00D85F72">
        <w:rPr>
          <w:i/>
        </w:rPr>
        <w:t xml:space="preserve">unduly trespasses on rights previously established by law,  </w:t>
      </w:r>
    </w:p>
    <w:p w14:paraId="4144EAA7" w14:textId="01CF83DA" w:rsidR="00DC1ED9" w:rsidRPr="00D85F72" w:rsidRDefault="00FB465A" w:rsidP="00C673FD">
      <w:pPr>
        <w:numPr>
          <w:ilvl w:val="0"/>
          <w:numId w:val="6"/>
        </w:numPr>
        <w:spacing w:after="11" w:line="267" w:lineRule="auto"/>
        <w:ind w:left="1134" w:hanging="708"/>
        <w:rPr>
          <w:i/>
        </w:rPr>
      </w:pPr>
      <w:r w:rsidRPr="00D85F72">
        <w:rPr>
          <w:i/>
        </w:rPr>
        <w:t xml:space="preserve">makes rights, liberties and/or obligations unduly dependent upon non reviewable decisions, or </w:t>
      </w:r>
    </w:p>
    <w:p w14:paraId="0BEAED4D" w14:textId="15BE9882" w:rsidR="00DC1ED9" w:rsidRPr="00D85F72" w:rsidRDefault="00FB465A" w:rsidP="00C673FD">
      <w:pPr>
        <w:numPr>
          <w:ilvl w:val="0"/>
          <w:numId w:val="6"/>
        </w:numPr>
        <w:spacing w:after="206" w:line="266" w:lineRule="auto"/>
        <w:ind w:left="1134" w:hanging="708"/>
        <w:rPr>
          <w:i/>
        </w:rPr>
      </w:pPr>
      <w:r w:rsidRPr="00D85F72">
        <w:rPr>
          <w:i/>
        </w:rPr>
        <w:t xml:space="preserve">contains matters which in the opinion of the Committee should properly be dealt with in an Act of the Legislative Assembly. </w:t>
      </w:r>
    </w:p>
    <w:p w14:paraId="4E9E5446" w14:textId="77777777" w:rsidR="00DC1ED9" w:rsidRDefault="00FB465A" w:rsidP="001E1557">
      <w:pPr>
        <w:spacing w:after="206" w:line="271" w:lineRule="auto"/>
        <w:ind w:left="-6" w:hanging="11"/>
      </w:pPr>
      <w:r>
        <w:t xml:space="preserve">The position in relation to each term of reference is as follows. </w:t>
      </w:r>
    </w:p>
    <w:p w14:paraId="2B13EF34" w14:textId="77777777" w:rsidR="00DC1ED9" w:rsidRDefault="00FB465A" w:rsidP="00C673FD">
      <w:pPr>
        <w:numPr>
          <w:ilvl w:val="0"/>
          <w:numId w:val="2"/>
        </w:numPr>
        <w:tabs>
          <w:tab w:val="left" w:pos="1134"/>
        </w:tabs>
        <w:spacing w:after="11" w:line="267" w:lineRule="auto"/>
        <w:ind w:left="1134" w:hanging="708"/>
      </w:pPr>
      <w:r>
        <w:rPr>
          <w:i/>
        </w:rPr>
        <w:t xml:space="preserve">is in accord with the general objects of the Act under which it is made </w:t>
      </w:r>
    </w:p>
    <w:p w14:paraId="36CC5557" w14:textId="2BB8D315" w:rsidR="00DC1ED9" w:rsidRDefault="00FB465A" w:rsidP="00F52062">
      <w:pPr>
        <w:tabs>
          <w:tab w:val="left" w:pos="1134"/>
        </w:tabs>
        <w:spacing w:after="11" w:line="267" w:lineRule="auto"/>
        <w:ind w:left="1134" w:firstLine="0"/>
      </w:pPr>
      <w:r>
        <w:t xml:space="preserve">As noted above, the </w:t>
      </w:r>
      <w:r w:rsidR="00B41AC7">
        <w:t>determination</w:t>
      </w:r>
      <w:r>
        <w:t xml:space="preserve"> is in accordance with the general objects of the Act.  </w:t>
      </w:r>
    </w:p>
    <w:p w14:paraId="57F2ADF7" w14:textId="77777777" w:rsidR="00DC1ED9" w:rsidRDefault="00FB465A" w:rsidP="00C673FD">
      <w:pPr>
        <w:numPr>
          <w:ilvl w:val="0"/>
          <w:numId w:val="2"/>
        </w:numPr>
        <w:tabs>
          <w:tab w:val="left" w:pos="1134"/>
        </w:tabs>
        <w:spacing w:after="11" w:line="267" w:lineRule="auto"/>
        <w:ind w:left="1134" w:hanging="708"/>
      </w:pPr>
      <w:r>
        <w:rPr>
          <w:i/>
        </w:rPr>
        <w:t xml:space="preserve">unduly trespasses on rights previously established by law </w:t>
      </w:r>
    </w:p>
    <w:p w14:paraId="1408C1E3" w14:textId="25E73543" w:rsidR="00DC1ED9" w:rsidRDefault="00FB465A" w:rsidP="00F52062">
      <w:pPr>
        <w:tabs>
          <w:tab w:val="left" w:pos="1134"/>
        </w:tabs>
        <w:spacing w:after="11" w:line="267" w:lineRule="auto"/>
        <w:ind w:left="1134" w:firstLine="0"/>
      </w:pPr>
      <w:r>
        <w:t xml:space="preserve">The </w:t>
      </w:r>
      <w:r w:rsidR="00B41AC7">
        <w:t>determination</w:t>
      </w:r>
      <w:r>
        <w:t xml:space="preserve"> does not unduly trespass on rights previously established under law. </w:t>
      </w:r>
    </w:p>
    <w:p w14:paraId="6CFFF4DC" w14:textId="11E2E88A" w:rsidR="0085508F" w:rsidRDefault="00FB465A" w:rsidP="00C673FD">
      <w:pPr>
        <w:numPr>
          <w:ilvl w:val="0"/>
          <w:numId w:val="2"/>
        </w:numPr>
        <w:tabs>
          <w:tab w:val="left" w:pos="1134"/>
        </w:tabs>
        <w:spacing w:after="11" w:line="267" w:lineRule="auto"/>
        <w:ind w:left="1134" w:hanging="708"/>
      </w:pPr>
      <w:r w:rsidRPr="0085508F">
        <w:rPr>
          <w:i/>
        </w:rPr>
        <w:t xml:space="preserve">makes rights, liberties and/or obligations unduly dependent upon non reviewable decisions </w:t>
      </w:r>
      <w:r w:rsidR="0085508F">
        <w:br/>
      </w:r>
      <w:r>
        <w:t xml:space="preserve">The </w:t>
      </w:r>
      <w:r w:rsidR="00B41AC7">
        <w:t>determination</w:t>
      </w:r>
      <w:r>
        <w:t xml:space="preserve"> does not make rights, liberties and/or obligations unduly dependent upon non reviewable decisions. </w:t>
      </w:r>
    </w:p>
    <w:p w14:paraId="3105229D" w14:textId="761C831D" w:rsidR="00DC1ED9" w:rsidRDefault="00FB465A" w:rsidP="00F52062">
      <w:pPr>
        <w:numPr>
          <w:ilvl w:val="0"/>
          <w:numId w:val="2"/>
        </w:numPr>
        <w:tabs>
          <w:tab w:val="left" w:pos="1134"/>
        </w:tabs>
        <w:spacing w:after="11" w:line="267" w:lineRule="auto"/>
        <w:ind w:left="1134" w:hanging="708"/>
      </w:pPr>
      <w:r w:rsidRPr="0085508F">
        <w:rPr>
          <w:i/>
        </w:rPr>
        <w:t>contains matter</w:t>
      </w:r>
      <w:r w:rsidR="00505CC3">
        <w:rPr>
          <w:i/>
        </w:rPr>
        <w:t>s</w:t>
      </w:r>
      <w:r w:rsidRPr="0085508F">
        <w:rPr>
          <w:i/>
        </w:rPr>
        <w:t xml:space="preserve"> which in the opinion of the Committee should properly be dealt with in an Act of the Legislative Assembly </w:t>
      </w:r>
    </w:p>
    <w:p w14:paraId="2D0DA90B" w14:textId="32487F09" w:rsidR="00DC1ED9" w:rsidRDefault="00FB465A" w:rsidP="00F52062">
      <w:pPr>
        <w:tabs>
          <w:tab w:val="left" w:pos="1134"/>
        </w:tabs>
        <w:spacing w:after="11" w:line="267" w:lineRule="auto"/>
        <w:ind w:left="1134" w:firstLine="0"/>
      </w:pPr>
      <w:r>
        <w:lastRenderedPageBreak/>
        <w:t xml:space="preserve">The subject matter </w:t>
      </w:r>
      <w:r w:rsidR="00B41AC7">
        <w:t xml:space="preserve">of the determination </w:t>
      </w:r>
      <w:r>
        <w:t xml:space="preserve">is appropriate for a disallowable instrument. </w:t>
      </w:r>
    </w:p>
    <w:p w14:paraId="2782BD2F" w14:textId="77777777" w:rsidR="00F52062" w:rsidRDefault="00F52062" w:rsidP="00F52062">
      <w:pPr>
        <w:tabs>
          <w:tab w:val="left" w:pos="1134"/>
        </w:tabs>
        <w:spacing w:after="11" w:line="267" w:lineRule="auto"/>
        <w:ind w:left="1134" w:firstLine="0"/>
      </w:pPr>
    </w:p>
    <w:p w14:paraId="001AD3D5" w14:textId="77777777" w:rsidR="00DC1ED9" w:rsidRDefault="00FB465A" w:rsidP="001E1557">
      <w:pPr>
        <w:pStyle w:val="Heading1"/>
        <w:ind w:left="426" w:hanging="426"/>
      </w:pPr>
      <w:bookmarkStart w:id="18" w:name="_Toc241576960"/>
      <w:r>
        <w:t>Conclusion</w:t>
      </w:r>
      <w:bookmarkEnd w:id="18"/>
      <w:r>
        <w:t xml:space="preserve"> </w:t>
      </w:r>
    </w:p>
    <w:p w14:paraId="671E51B7" w14:textId="334151C4" w:rsidR="00DC1ED9" w:rsidRDefault="00FB465A" w:rsidP="00326356">
      <w:pPr>
        <w:spacing w:after="160" w:line="259" w:lineRule="auto"/>
        <w:ind w:left="0" w:firstLine="0"/>
      </w:pPr>
      <w:r>
        <w:t xml:space="preserve">This </w:t>
      </w:r>
      <w:r w:rsidR="00B41AC7">
        <w:t>RIS</w:t>
      </w:r>
      <w:r>
        <w:t xml:space="preserve"> was prepared in accordance with Part 5.2 of the </w:t>
      </w:r>
      <w:r>
        <w:rPr>
          <w:i/>
        </w:rPr>
        <w:t>Legislation Act 2001</w:t>
      </w:r>
      <w:r>
        <w:t xml:space="preserve">. </w:t>
      </w:r>
    </w:p>
    <w:p w14:paraId="1131D424" w14:textId="57843AC6" w:rsidR="00DC1ED9" w:rsidRDefault="00FB465A" w:rsidP="001E1557">
      <w:pPr>
        <w:spacing w:after="206" w:line="271" w:lineRule="auto"/>
        <w:ind w:left="-6" w:hanging="11"/>
      </w:pPr>
      <w:r>
        <w:t xml:space="preserve">This RIS has presented information to support </w:t>
      </w:r>
      <w:r w:rsidR="00FE32BA">
        <w:t>determining</w:t>
      </w:r>
      <w:r w:rsidR="00E60A87">
        <w:t xml:space="preserve"> </w:t>
      </w:r>
      <w:r>
        <w:t xml:space="preserve">the EEIS Priority Household Target at 40 per cent for the </w:t>
      </w:r>
      <w:r w:rsidR="000C1862">
        <w:t xml:space="preserve">2026 </w:t>
      </w:r>
      <w:r>
        <w:t xml:space="preserve">compliance period. </w:t>
      </w:r>
    </w:p>
    <w:p w14:paraId="17E50E5F" w14:textId="69390D78" w:rsidR="00DC1ED9" w:rsidRDefault="00FB465A" w:rsidP="001E1557">
      <w:pPr>
        <w:ind w:left="-5"/>
      </w:pPr>
      <w:r>
        <w:t xml:space="preserve">This </w:t>
      </w:r>
      <w:r w:rsidR="00E60A87">
        <w:t xml:space="preserve">determination </w:t>
      </w:r>
      <w:r>
        <w:t xml:space="preserve">is consistent with the objects of the </w:t>
      </w:r>
      <w:r w:rsidR="009A1E5F" w:rsidRPr="00D85F72">
        <w:rPr>
          <w:iCs/>
        </w:rPr>
        <w:t>Act</w:t>
      </w:r>
      <w:r>
        <w:t xml:space="preserve"> and will create a pathway for continued support to priority households without placing a greater financial burden on energy consumers. </w:t>
      </w:r>
    </w:p>
    <w:sectPr w:rsidR="00DC1ED9">
      <w:headerReference w:type="even" r:id="rId9"/>
      <w:headerReference w:type="default" r:id="rId10"/>
      <w:footerReference w:type="even" r:id="rId11"/>
      <w:footerReference w:type="default" r:id="rId12"/>
      <w:headerReference w:type="first" r:id="rId13"/>
      <w:footerReference w:type="first" r:id="rId14"/>
      <w:pgSz w:w="11906" w:h="16838"/>
      <w:pgMar w:top="1440" w:right="1444" w:bottom="143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DA24F" w14:textId="77777777" w:rsidR="003B2AAB" w:rsidRDefault="003B2AAB">
      <w:pPr>
        <w:spacing w:after="0" w:line="240" w:lineRule="auto"/>
      </w:pPr>
      <w:r>
        <w:separator/>
      </w:r>
    </w:p>
  </w:endnote>
  <w:endnote w:type="continuationSeparator" w:id="0">
    <w:p w14:paraId="44EEC621" w14:textId="77777777" w:rsidR="003B2AAB" w:rsidRDefault="003B2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E4E6" w14:textId="77777777" w:rsidR="003E61E0" w:rsidRDefault="003E61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25427" w14:textId="60DCA945" w:rsidR="00B865B7" w:rsidRPr="003E61E0" w:rsidRDefault="003E61E0" w:rsidP="003E61E0">
    <w:pPr>
      <w:pStyle w:val="Footer"/>
      <w:jc w:val="center"/>
      <w:rPr>
        <w:rFonts w:ascii="Arial" w:hAnsi="Arial" w:cs="Arial"/>
        <w:sz w:val="14"/>
      </w:rPr>
    </w:pPr>
    <w:r w:rsidRPr="003E61E0">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12D1F" w14:textId="77777777" w:rsidR="003E61E0" w:rsidRDefault="003E6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7E52C" w14:textId="77777777" w:rsidR="003B2AAB" w:rsidRDefault="003B2AAB">
      <w:pPr>
        <w:spacing w:after="0" w:line="259" w:lineRule="auto"/>
        <w:ind w:left="0" w:firstLine="0"/>
      </w:pPr>
      <w:r>
        <w:separator/>
      </w:r>
    </w:p>
  </w:footnote>
  <w:footnote w:type="continuationSeparator" w:id="0">
    <w:p w14:paraId="1E825CE5" w14:textId="77777777" w:rsidR="003B2AAB" w:rsidRDefault="003B2AAB">
      <w:pPr>
        <w:spacing w:after="0" w:line="259" w:lineRule="auto"/>
        <w:ind w:left="0" w:firstLine="0"/>
      </w:pPr>
      <w:r>
        <w:continuationSeparator/>
      </w:r>
    </w:p>
  </w:footnote>
  <w:footnote w:id="1">
    <w:p w14:paraId="17749534" w14:textId="62358C00" w:rsidR="00D85F72" w:rsidRPr="00D85F72" w:rsidRDefault="00D85F72">
      <w:pPr>
        <w:pStyle w:val="FootnoteText"/>
      </w:pPr>
      <w:r>
        <w:rPr>
          <w:rStyle w:val="FootnoteReference"/>
        </w:rPr>
        <w:footnoteRef/>
      </w:r>
      <w:r>
        <w:t xml:space="preserve"> ACTCOSS (2022) Poverty and inequality in the ACT, available at </w:t>
      </w:r>
      <w:hyperlink r:id="rId1" w:history="1">
        <w:r w:rsidR="00561B8D" w:rsidRPr="006F0716">
          <w:rPr>
            <w:rStyle w:val="Hyperlink"/>
          </w:rPr>
          <w:t>https://actcoss.org.au/publication/factsheet-poverty-inequality-in-the-act/</w:t>
        </w:r>
      </w:hyperlink>
      <w:r w:rsidR="00561B8D">
        <w:t xml:space="preserve"> </w:t>
      </w:r>
    </w:p>
  </w:footnote>
  <w:footnote w:id="2">
    <w:p w14:paraId="4C3DA8D7" w14:textId="4BC6D27E" w:rsidR="00DC1ED9" w:rsidRPr="00D85F72" w:rsidRDefault="00FB465A">
      <w:pPr>
        <w:pStyle w:val="footnotedescription"/>
        <w:spacing w:after="7" w:line="250" w:lineRule="auto"/>
      </w:pPr>
      <w:r w:rsidRPr="00341803">
        <w:rPr>
          <w:rStyle w:val="footnotemark"/>
          <w:u w:val="none"/>
        </w:rPr>
        <w:footnoteRef/>
      </w:r>
      <w:r w:rsidRPr="00341803">
        <w:rPr>
          <w:u w:val="none"/>
        </w:rPr>
        <w:t xml:space="preserve"> </w:t>
      </w:r>
      <w:r w:rsidRPr="00341803">
        <w:rPr>
          <w:color w:val="000000"/>
          <w:u w:val="none"/>
        </w:rPr>
        <w:t>ACTCOSS (2</w:t>
      </w:r>
      <w:r w:rsidR="00A328FC" w:rsidRPr="00341803">
        <w:rPr>
          <w:color w:val="000000"/>
          <w:u w:val="none"/>
        </w:rPr>
        <w:t>025) Energy Hardship Factsheet</w:t>
      </w:r>
      <w:r w:rsidRPr="00341803">
        <w:rPr>
          <w:color w:val="000000"/>
          <w:u w:val="none"/>
        </w:rPr>
        <w:t xml:space="preserve">, available </w:t>
      </w:r>
      <w:r w:rsidR="00D85F72" w:rsidRPr="00341803">
        <w:rPr>
          <w:color w:val="000000"/>
          <w:u w:val="none"/>
        </w:rPr>
        <w:t>at</w:t>
      </w:r>
      <w:r w:rsidR="00D85F72" w:rsidRPr="00D85F72">
        <w:rPr>
          <w:color w:val="000000"/>
          <w:u w:val="none" w:color="000000"/>
        </w:rPr>
        <w:t xml:space="preserve"> </w:t>
      </w:r>
      <w:hyperlink r:id="rId2" w:history="1">
        <w:r w:rsidR="00A328FC" w:rsidRPr="006F0716">
          <w:rPr>
            <w:rStyle w:val="Hyperlink"/>
          </w:rPr>
          <w:t>https://actcoss.org.au/publication/energy-hardship-factsheet/</w:t>
        </w:r>
      </w:hyperlink>
      <w:r w:rsidR="00A328FC">
        <w:rPr>
          <w:color w:val="000000"/>
          <w:u w:val="none" w:color="000000"/>
        </w:rPr>
        <w:t xml:space="preserve"> </w:t>
      </w:r>
    </w:p>
  </w:footnote>
  <w:footnote w:id="3">
    <w:p w14:paraId="6CA758D9" w14:textId="77777777" w:rsidR="00A50591" w:rsidRDefault="00A50591" w:rsidP="00A50591">
      <w:pPr>
        <w:pStyle w:val="FootnoteText"/>
      </w:pPr>
      <w:r>
        <w:rPr>
          <w:rStyle w:val="FootnoteReference"/>
        </w:rPr>
        <w:footnoteRef/>
      </w:r>
      <w:r>
        <w:t xml:space="preserve"> Available at </w:t>
      </w:r>
      <w:hyperlink r:id="rId3" w:history="1">
        <w:r w:rsidRPr="000A380C">
          <w:rPr>
            <w:rStyle w:val="Hyperlink"/>
          </w:rPr>
          <w:t>ACT Climate Change Strategy 2026-36</w:t>
        </w:r>
      </w:hyperlink>
    </w:p>
  </w:footnote>
  <w:footnote w:id="4">
    <w:p w14:paraId="57708F8A" w14:textId="1D8FFD68" w:rsidR="00A328FC" w:rsidRDefault="00A328FC">
      <w:pPr>
        <w:pStyle w:val="FootnoteText"/>
      </w:pPr>
      <w:r>
        <w:rPr>
          <w:rStyle w:val="FootnoteReference"/>
        </w:rPr>
        <w:footnoteRef/>
      </w:r>
      <w:r>
        <w:t xml:space="preserve"> ACT Government Integrated Energy Plan (I</w:t>
      </w:r>
      <w:r w:rsidR="009E319D">
        <w:t>E</w:t>
      </w:r>
      <w:r>
        <w:t>P), available at</w:t>
      </w:r>
      <w:r w:rsidR="00A82BF9">
        <w:t xml:space="preserve"> </w:t>
      </w:r>
      <w:hyperlink r:id="rId4" w:history="1">
        <w:r w:rsidR="00A82BF9" w:rsidRPr="006F0716">
          <w:rPr>
            <w:rStyle w:val="Hyperlink"/>
          </w:rPr>
          <w:t>https://www.climatechoices.act.gov.au/__data/assets/pdf_file/0006/2509458/integrated-energy-plan-2024-2030.pdf</w:t>
        </w:r>
      </w:hyperlink>
      <w:r w:rsidR="00A82BF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03EF" w14:textId="77777777" w:rsidR="003E61E0" w:rsidRDefault="003E61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69C37" w14:textId="77777777" w:rsidR="003E61E0" w:rsidRDefault="003E61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21AB5" w14:textId="77777777" w:rsidR="003E61E0" w:rsidRDefault="003E61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9024A"/>
    <w:multiLevelType w:val="hybridMultilevel"/>
    <w:tmpl w:val="1D2EEC8C"/>
    <w:lvl w:ilvl="0" w:tplc="657E007C">
      <w:start w:val="1"/>
      <w:numFmt w:val="decimal"/>
      <w:pStyle w:val="Heading1"/>
      <w:lvlText w:val="%1."/>
      <w:lvlJc w:val="left"/>
      <w:pPr>
        <w:ind w:left="0"/>
      </w:pPr>
      <w:rPr>
        <w:rFonts w:ascii="Calibri" w:eastAsia="Calibri" w:hAnsi="Calibri" w:cs="Calibri"/>
        <w:b w:val="0"/>
        <w:i w:val="0"/>
        <w:strike w:val="0"/>
        <w:dstrike w:val="0"/>
        <w:color w:val="2F5496"/>
        <w:sz w:val="28"/>
        <w:szCs w:val="28"/>
        <w:u w:val="none" w:color="000000"/>
        <w:bdr w:val="none" w:sz="0" w:space="0" w:color="auto"/>
        <w:shd w:val="clear" w:color="auto" w:fill="auto"/>
        <w:vertAlign w:val="baseline"/>
      </w:rPr>
    </w:lvl>
    <w:lvl w:ilvl="1" w:tplc="0158D6F0">
      <w:start w:val="1"/>
      <w:numFmt w:val="lowerLetter"/>
      <w:lvlText w:val="%2"/>
      <w:lvlJc w:val="left"/>
      <w:pPr>
        <w:ind w:left="1440"/>
      </w:pPr>
      <w:rPr>
        <w:rFonts w:ascii="Calibri" w:eastAsia="Calibri" w:hAnsi="Calibri" w:cs="Calibri"/>
        <w:b w:val="0"/>
        <w:i w:val="0"/>
        <w:strike w:val="0"/>
        <w:dstrike w:val="0"/>
        <w:color w:val="2F5496"/>
        <w:sz w:val="28"/>
        <w:szCs w:val="28"/>
        <w:u w:val="none" w:color="000000"/>
        <w:bdr w:val="none" w:sz="0" w:space="0" w:color="auto"/>
        <w:shd w:val="clear" w:color="auto" w:fill="auto"/>
        <w:vertAlign w:val="baseline"/>
      </w:rPr>
    </w:lvl>
    <w:lvl w:ilvl="2" w:tplc="3CB68BD2">
      <w:start w:val="1"/>
      <w:numFmt w:val="lowerRoman"/>
      <w:lvlText w:val="%3"/>
      <w:lvlJc w:val="left"/>
      <w:pPr>
        <w:ind w:left="2160"/>
      </w:pPr>
      <w:rPr>
        <w:rFonts w:ascii="Calibri" w:eastAsia="Calibri" w:hAnsi="Calibri" w:cs="Calibri"/>
        <w:b w:val="0"/>
        <w:i w:val="0"/>
        <w:strike w:val="0"/>
        <w:dstrike w:val="0"/>
        <w:color w:val="2F5496"/>
        <w:sz w:val="28"/>
        <w:szCs w:val="28"/>
        <w:u w:val="none" w:color="000000"/>
        <w:bdr w:val="none" w:sz="0" w:space="0" w:color="auto"/>
        <w:shd w:val="clear" w:color="auto" w:fill="auto"/>
        <w:vertAlign w:val="baseline"/>
      </w:rPr>
    </w:lvl>
    <w:lvl w:ilvl="3" w:tplc="85A234C6">
      <w:start w:val="1"/>
      <w:numFmt w:val="decimal"/>
      <w:lvlText w:val="%4"/>
      <w:lvlJc w:val="left"/>
      <w:pPr>
        <w:ind w:left="2880"/>
      </w:pPr>
      <w:rPr>
        <w:rFonts w:ascii="Calibri" w:eastAsia="Calibri" w:hAnsi="Calibri" w:cs="Calibri"/>
        <w:b w:val="0"/>
        <w:i w:val="0"/>
        <w:strike w:val="0"/>
        <w:dstrike w:val="0"/>
        <w:color w:val="2F5496"/>
        <w:sz w:val="28"/>
        <w:szCs w:val="28"/>
        <w:u w:val="none" w:color="000000"/>
        <w:bdr w:val="none" w:sz="0" w:space="0" w:color="auto"/>
        <w:shd w:val="clear" w:color="auto" w:fill="auto"/>
        <w:vertAlign w:val="baseline"/>
      </w:rPr>
    </w:lvl>
    <w:lvl w:ilvl="4" w:tplc="F0D0F762">
      <w:start w:val="1"/>
      <w:numFmt w:val="lowerLetter"/>
      <w:lvlText w:val="%5"/>
      <w:lvlJc w:val="left"/>
      <w:pPr>
        <w:ind w:left="3600"/>
      </w:pPr>
      <w:rPr>
        <w:rFonts w:ascii="Calibri" w:eastAsia="Calibri" w:hAnsi="Calibri" w:cs="Calibri"/>
        <w:b w:val="0"/>
        <w:i w:val="0"/>
        <w:strike w:val="0"/>
        <w:dstrike w:val="0"/>
        <w:color w:val="2F5496"/>
        <w:sz w:val="28"/>
        <w:szCs w:val="28"/>
        <w:u w:val="none" w:color="000000"/>
        <w:bdr w:val="none" w:sz="0" w:space="0" w:color="auto"/>
        <w:shd w:val="clear" w:color="auto" w:fill="auto"/>
        <w:vertAlign w:val="baseline"/>
      </w:rPr>
    </w:lvl>
    <w:lvl w:ilvl="5" w:tplc="3266FF94">
      <w:start w:val="1"/>
      <w:numFmt w:val="lowerRoman"/>
      <w:lvlText w:val="%6"/>
      <w:lvlJc w:val="left"/>
      <w:pPr>
        <w:ind w:left="4320"/>
      </w:pPr>
      <w:rPr>
        <w:rFonts w:ascii="Calibri" w:eastAsia="Calibri" w:hAnsi="Calibri" w:cs="Calibri"/>
        <w:b w:val="0"/>
        <w:i w:val="0"/>
        <w:strike w:val="0"/>
        <w:dstrike w:val="0"/>
        <w:color w:val="2F5496"/>
        <w:sz w:val="28"/>
        <w:szCs w:val="28"/>
        <w:u w:val="none" w:color="000000"/>
        <w:bdr w:val="none" w:sz="0" w:space="0" w:color="auto"/>
        <w:shd w:val="clear" w:color="auto" w:fill="auto"/>
        <w:vertAlign w:val="baseline"/>
      </w:rPr>
    </w:lvl>
    <w:lvl w:ilvl="6" w:tplc="6D14FCA6">
      <w:start w:val="1"/>
      <w:numFmt w:val="decimal"/>
      <w:lvlText w:val="%7"/>
      <w:lvlJc w:val="left"/>
      <w:pPr>
        <w:ind w:left="5040"/>
      </w:pPr>
      <w:rPr>
        <w:rFonts w:ascii="Calibri" w:eastAsia="Calibri" w:hAnsi="Calibri" w:cs="Calibri"/>
        <w:b w:val="0"/>
        <w:i w:val="0"/>
        <w:strike w:val="0"/>
        <w:dstrike w:val="0"/>
        <w:color w:val="2F5496"/>
        <w:sz w:val="28"/>
        <w:szCs w:val="28"/>
        <w:u w:val="none" w:color="000000"/>
        <w:bdr w:val="none" w:sz="0" w:space="0" w:color="auto"/>
        <w:shd w:val="clear" w:color="auto" w:fill="auto"/>
        <w:vertAlign w:val="baseline"/>
      </w:rPr>
    </w:lvl>
    <w:lvl w:ilvl="7" w:tplc="024C864C">
      <w:start w:val="1"/>
      <w:numFmt w:val="lowerLetter"/>
      <w:lvlText w:val="%8"/>
      <w:lvlJc w:val="left"/>
      <w:pPr>
        <w:ind w:left="5760"/>
      </w:pPr>
      <w:rPr>
        <w:rFonts w:ascii="Calibri" w:eastAsia="Calibri" w:hAnsi="Calibri" w:cs="Calibri"/>
        <w:b w:val="0"/>
        <w:i w:val="0"/>
        <w:strike w:val="0"/>
        <w:dstrike w:val="0"/>
        <w:color w:val="2F5496"/>
        <w:sz w:val="28"/>
        <w:szCs w:val="28"/>
        <w:u w:val="none" w:color="000000"/>
        <w:bdr w:val="none" w:sz="0" w:space="0" w:color="auto"/>
        <w:shd w:val="clear" w:color="auto" w:fill="auto"/>
        <w:vertAlign w:val="baseline"/>
      </w:rPr>
    </w:lvl>
    <w:lvl w:ilvl="8" w:tplc="A65EF386">
      <w:start w:val="1"/>
      <w:numFmt w:val="lowerRoman"/>
      <w:lvlText w:val="%9"/>
      <w:lvlJc w:val="left"/>
      <w:pPr>
        <w:ind w:left="6480"/>
      </w:pPr>
      <w:rPr>
        <w:rFonts w:ascii="Calibri" w:eastAsia="Calibri" w:hAnsi="Calibri" w:cs="Calibri"/>
        <w:b w:val="0"/>
        <w:i w:val="0"/>
        <w:strike w:val="0"/>
        <w:dstrike w:val="0"/>
        <w:color w:val="2F5496"/>
        <w:sz w:val="28"/>
        <w:szCs w:val="28"/>
        <w:u w:val="none" w:color="000000"/>
        <w:bdr w:val="none" w:sz="0" w:space="0" w:color="auto"/>
        <w:shd w:val="clear" w:color="auto" w:fill="auto"/>
        <w:vertAlign w:val="baseline"/>
      </w:rPr>
    </w:lvl>
  </w:abstractNum>
  <w:abstractNum w:abstractNumId="1" w15:restartNumberingAfterBreak="0">
    <w:nsid w:val="22857A56"/>
    <w:multiLevelType w:val="hybridMultilevel"/>
    <w:tmpl w:val="437C5172"/>
    <w:lvl w:ilvl="0" w:tplc="F32CA8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6B12FD1"/>
    <w:multiLevelType w:val="hybridMultilevel"/>
    <w:tmpl w:val="3EF22270"/>
    <w:lvl w:ilvl="0" w:tplc="9356E4D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7C9C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C620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D4CD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0E9AD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AC354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4EA43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C8CEA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DEDBE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8A04BD6"/>
    <w:multiLevelType w:val="hybridMultilevel"/>
    <w:tmpl w:val="1166C8A6"/>
    <w:lvl w:ilvl="0" w:tplc="09B4AB44">
      <w:start w:val="1"/>
      <w:numFmt w:val="lowerRoman"/>
      <w:lvlText w:val="(%1)"/>
      <w:lvlJc w:val="left"/>
      <w:pPr>
        <w:ind w:left="1262"/>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EE585396">
      <w:start w:val="1"/>
      <w:numFmt w:val="lowerLetter"/>
      <w:lvlText w:val="%2"/>
      <w:lvlJc w:val="left"/>
      <w:pPr>
        <w:ind w:left="163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37F08200">
      <w:start w:val="1"/>
      <w:numFmt w:val="lowerRoman"/>
      <w:lvlText w:val="%3"/>
      <w:lvlJc w:val="left"/>
      <w:pPr>
        <w:ind w:left="235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C60E993E">
      <w:start w:val="1"/>
      <w:numFmt w:val="decimal"/>
      <w:lvlText w:val="%4"/>
      <w:lvlJc w:val="left"/>
      <w:pPr>
        <w:ind w:left="307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80604D6C">
      <w:start w:val="1"/>
      <w:numFmt w:val="lowerLetter"/>
      <w:lvlText w:val="%5"/>
      <w:lvlJc w:val="left"/>
      <w:pPr>
        <w:ind w:left="379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7F8EE480">
      <w:start w:val="1"/>
      <w:numFmt w:val="lowerRoman"/>
      <w:lvlText w:val="%6"/>
      <w:lvlJc w:val="left"/>
      <w:pPr>
        <w:ind w:left="451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7E0C04C8">
      <w:start w:val="1"/>
      <w:numFmt w:val="decimal"/>
      <w:lvlText w:val="%7"/>
      <w:lvlJc w:val="left"/>
      <w:pPr>
        <w:ind w:left="523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C032EA76">
      <w:start w:val="1"/>
      <w:numFmt w:val="lowerLetter"/>
      <w:lvlText w:val="%8"/>
      <w:lvlJc w:val="left"/>
      <w:pPr>
        <w:ind w:left="595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35E05C70">
      <w:start w:val="1"/>
      <w:numFmt w:val="lowerRoman"/>
      <w:lvlText w:val="%9"/>
      <w:lvlJc w:val="left"/>
      <w:pPr>
        <w:ind w:left="667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4915B51"/>
    <w:multiLevelType w:val="hybridMultilevel"/>
    <w:tmpl w:val="2606105E"/>
    <w:lvl w:ilvl="0" w:tplc="12AEF2CC">
      <w:start w:val="1"/>
      <w:numFmt w:val="lowerRoman"/>
      <w:lvlText w:val="%1."/>
      <w:lvlJc w:val="left"/>
      <w:pPr>
        <w:ind w:left="1445" w:hanging="888"/>
      </w:pPr>
      <w:rPr>
        <w:rFonts w:hint="default"/>
      </w:rPr>
    </w:lvl>
    <w:lvl w:ilvl="1" w:tplc="0C090019" w:tentative="1">
      <w:start w:val="1"/>
      <w:numFmt w:val="lowerLetter"/>
      <w:lvlText w:val="%2."/>
      <w:lvlJc w:val="left"/>
      <w:pPr>
        <w:ind w:left="1637" w:hanging="360"/>
      </w:pPr>
    </w:lvl>
    <w:lvl w:ilvl="2" w:tplc="0C09001B" w:tentative="1">
      <w:start w:val="1"/>
      <w:numFmt w:val="lowerRoman"/>
      <w:lvlText w:val="%3."/>
      <w:lvlJc w:val="right"/>
      <w:pPr>
        <w:ind w:left="2357" w:hanging="180"/>
      </w:pPr>
    </w:lvl>
    <w:lvl w:ilvl="3" w:tplc="0C09000F" w:tentative="1">
      <w:start w:val="1"/>
      <w:numFmt w:val="decimal"/>
      <w:lvlText w:val="%4."/>
      <w:lvlJc w:val="left"/>
      <w:pPr>
        <w:ind w:left="3077" w:hanging="360"/>
      </w:pPr>
    </w:lvl>
    <w:lvl w:ilvl="4" w:tplc="0C090019" w:tentative="1">
      <w:start w:val="1"/>
      <w:numFmt w:val="lowerLetter"/>
      <w:lvlText w:val="%5."/>
      <w:lvlJc w:val="left"/>
      <w:pPr>
        <w:ind w:left="3797" w:hanging="360"/>
      </w:pPr>
    </w:lvl>
    <w:lvl w:ilvl="5" w:tplc="0C09001B" w:tentative="1">
      <w:start w:val="1"/>
      <w:numFmt w:val="lowerRoman"/>
      <w:lvlText w:val="%6."/>
      <w:lvlJc w:val="right"/>
      <w:pPr>
        <w:ind w:left="4517" w:hanging="180"/>
      </w:pPr>
    </w:lvl>
    <w:lvl w:ilvl="6" w:tplc="0C09000F" w:tentative="1">
      <w:start w:val="1"/>
      <w:numFmt w:val="decimal"/>
      <w:lvlText w:val="%7."/>
      <w:lvlJc w:val="left"/>
      <w:pPr>
        <w:ind w:left="5237" w:hanging="360"/>
      </w:pPr>
    </w:lvl>
    <w:lvl w:ilvl="7" w:tplc="0C090019" w:tentative="1">
      <w:start w:val="1"/>
      <w:numFmt w:val="lowerLetter"/>
      <w:lvlText w:val="%8."/>
      <w:lvlJc w:val="left"/>
      <w:pPr>
        <w:ind w:left="5957" w:hanging="360"/>
      </w:pPr>
    </w:lvl>
    <w:lvl w:ilvl="8" w:tplc="0C09001B" w:tentative="1">
      <w:start w:val="1"/>
      <w:numFmt w:val="lowerRoman"/>
      <w:lvlText w:val="%9."/>
      <w:lvlJc w:val="right"/>
      <w:pPr>
        <w:ind w:left="6677" w:hanging="180"/>
      </w:pPr>
    </w:lvl>
  </w:abstractNum>
  <w:abstractNum w:abstractNumId="5" w15:restartNumberingAfterBreak="0">
    <w:nsid w:val="66180568"/>
    <w:multiLevelType w:val="multilevel"/>
    <w:tmpl w:val="213A1AF0"/>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CD44134"/>
    <w:multiLevelType w:val="hybridMultilevel"/>
    <w:tmpl w:val="DA48A2C0"/>
    <w:lvl w:ilvl="0" w:tplc="DAD6BD14">
      <w:start w:val="1"/>
      <w:numFmt w:val="lowerRoman"/>
      <w:lvlText w:val="(%1)"/>
      <w:lvlJc w:val="left"/>
      <w:pPr>
        <w:ind w:left="1262"/>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3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35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07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79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51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23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95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67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C662288"/>
    <w:multiLevelType w:val="hybridMultilevel"/>
    <w:tmpl w:val="0174358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35581617">
    <w:abstractNumId w:val="2"/>
  </w:num>
  <w:num w:numId="2" w16cid:durableId="888104714">
    <w:abstractNumId w:val="3"/>
  </w:num>
  <w:num w:numId="3" w16cid:durableId="1953129206">
    <w:abstractNumId w:val="0"/>
  </w:num>
  <w:num w:numId="4" w16cid:durableId="1140348412">
    <w:abstractNumId w:val="7"/>
  </w:num>
  <w:num w:numId="5" w16cid:durableId="801537956">
    <w:abstractNumId w:val="4"/>
  </w:num>
  <w:num w:numId="6" w16cid:durableId="833186402">
    <w:abstractNumId w:val="6"/>
  </w:num>
  <w:num w:numId="7" w16cid:durableId="1796021703">
    <w:abstractNumId w:val="5"/>
  </w:num>
  <w:num w:numId="8" w16cid:durableId="1657031357">
    <w:abstractNumId w:val="1"/>
  </w:num>
  <w:num w:numId="9" w16cid:durableId="28645460">
    <w:abstractNumId w:val="0"/>
  </w:num>
  <w:num w:numId="10" w16cid:durableId="1922832674">
    <w:abstractNumId w:val="0"/>
  </w:num>
  <w:num w:numId="11" w16cid:durableId="1962804431">
    <w:abstractNumId w:val="0"/>
  </w:num>
  <w:num w:numId="12" w16cid:durableId="477000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ED9"/>
    <w:rsid w:val="00000706"/>
    <w:rsid w:val="000062C4"/>
    <w:rsid w:val="00013C7C"/>
    <w:rsid w:val="0002327D"/>
    <w:rsid w:val="000304AE"/>
    <w:rsid w:val="00036CFB"/>
    <w:rsid w:val="00040945"/>
    <w:rsid w:val="0005679F"/>
    <w:rsid w:val="00061CFA"/>
    <w:rsid w:val="00062F59"/>
    <w:rsid w:val="0006704D"/>
    <w:rsid w:val="000830FA"/>
    <w:rsid w:val="000845C7"/>
    <w:rsid w:val="00084D38"/>
    <w:rsid w:val="000935DC"/>
    <w:rsid w:val="000A3F88"/>
    <w:rsid w:val="000B32E8"/>
    <w:rsid w:val="000B46D9"/>
    <w:rsid w:val="000B5BF1"/>
    <w:rsid w:val="000C1862"/>
    <w:rsid w:val="000C274D"/>
    <w:rsid w:val="000D1F8B"/>
    <w:rsid w:val="000D6CD7"/>
    <w:rsid w:val="000E0335"/>
    <w:rsid w:val="000E76E0"/>
    <w:rsid w:val="000F0778"/>
    <w:rsid w:val="000F179A"/>
    <w:rsid w:val="000F4CB3"/>
    <w:rsid w:val="000F60D5"/>
    <w:rsid w:val="00117CCF"/>
    <w:rsid w:val="001202C3"/>
    <w:rsid w:val="00132E17"/>
    <w:rsid w:val="00134704"/>
    <w:rsid w:val="001361AD"/>
    <w:rsid w:val="001372BB"/>
    <w:rsid w:val="0014707D"/>
    <w:rsid w:val="00151711"/>
    <w:rsid w:val="001543C6"/>
    <w:rsid w:val="001618E5"/>
    <w:rsid w:val="00161DF5"/>
    <w:rsid w:val="00162B03"/>
    <w:rsid w:val="001645D5"/>
    <w:rsid w:val="00167069"/>
    <w:rsid w:val="00173C7F"/>
    <w:rsid w:val="00177613"/>
    <w:rsid w:val="0018406A"/>
    <w:rsid w:val="001870E2"/>
    <w:rsid w:val="0019050F"/>
    <w:rsid w:val="0019230F"/>
    <w:rsid w:val="001A143C"/>
    <w:rsid w:val="001A79FD"/>
    <w:rsid w:val="001B3272"/>
    <w:rsid w:val="001C21A1"/>
    <w:rsid w:val="001C6845"/>
    <w:rsid w:val="001C6C57"/>
    <w:rsid w:val="001D0A56"/>
    <w:rsid w:val="001D299D"/>
    <w:rsid w:val="001D2AE7"/>
    <w:rsid w:val="001D3E46"/>
    <w:rsid w:val="001E1557"/>
    <w:rsid w:val="001E235E"/>
    <w:rsid w:val="001E261F"/>
    <w:rsid w:val="001E65DF"/>
    <w:rsid w:val="00202531"/>
    <w:rsid w:val="00212584"/>
    <w:rsid w:val="00216797"/>
    <w:rsid w:val="00217D51"/>
    <w:rsid w:val="00227930"/>
    <w:rsid w:val="00242CFB"/>
    <w:rsid w:val="00242EB6"/>
    <w:rsid w:val="00262B7A"/>
    <w:rsid w:val="00272DBB"/>
    <w:rsid w:val="00281FF4"/>
    <w:rsid w:val="002853B3"/>
    <w:rsid w:val="00291812"/>
    <w:rsid w:val="00296B4B"/>
    <w:rsid w:val="002A0E51"/>
    <w:rsid w:val="002A46C9"/>
    <w:rsid w:val="002B2290"/>
    <w:rsid w:val="002D70E8"/>
    <w:rsid w:val="002D767B"/>
    <w:rsid w:val="002E5436"/>
    <w:rsid w:val="002E7386"/>
    <w:rsid w:val="002F491B"/>
    <w:rsid w:val="003015CB"/>
    <w:rsid w:val="00312A7D"/>
    <w:rsid w:val="003231BD"/>
    <w:rsid w:val="00323326"/>
    <w:rsid w:val="00326356"/>
    <w:rsid w:val="00330400"/>
    <w:rsid w:val="00334313"/>
    <w:rsid w:val="00334B6C"/>
    <w:rsid w:val="0033558B"/>
    <w:rsid w:val="00337829"/>
    <w:rsid w:val="00341803"/>
    <w:rsid w:val="00346864"/>
    <w:rsid w:val="0035226B"/>
    <w:rsid w:val="00352B7C"/>
    <w:rsid w:val="00355DEC"/>
    <w:rsid w:val="00355F05"/>
    <w:rsid w:val="003603B9"/>
    <w:rsid w:val="00387BCA"/>
    <w:rsid w:val="003920EC"/>
    <w:rsid w:val="00392DC6"/>
    <w:rsid w:val="003966E3"/>
    <w:rsid w:val="003A2BF5"/>
    <w:rsid w:val="003A3A19"/>
    <w:rsid w:val="003B2AAB"/>
    <w:rsid w:val="003B4ED4"/>
    <w:rsid w:val="003C0382"/>
    <w:rsid w:val="003C601F"/>
    <w:rsid w:val="003C697C"/>
    <w:rsid w:val="003E1624"/>
    <w:rsid w:val="003E61E0"/>
    <w:rsid w:val="003E7F73"/>
    <w:rsid w:val="0041000F"/>
    <w:rsid w:val="004120CA"/>
    <w:rsid w:val="00415633"/>
    <w:rsid w:val="00416B94"/>
    <w:rsid w:val="00417AA9"/>
    <w:rsid w:val="004323E7"/>
    <w:rsid w:val="00435E8A"/>
    <w:rsid w:val="00440BC3"/>
    <w:rsid w:val="00445121"/>
    <w:rsid w:val="00447C71"/>
    <w:rsid w:val="00451B37"/>
    <w:rsid w:val="004534CA"/>
    <w:rsid w:val="00466BE6"/>
    <w:rsid w:val="004775A7"/>
    <w:rsid w:val="0049373A"/>
    <w:rsid w:val="00497C2A"/>
    <w:rsid w:val="004A37AE"/>
    <w:rsid w:val="004A6E79"/>
    <w:rsid w:val="004B79E1"/>
    <w:rsid w:val="004B7D10"/>
    <w:rsid w:val="004C2051"/>
    <w:rsid w:val="004C61AD"/>
    <w:rsid w:val="004E330E"/>
    <w:rsid w:val="004E75C9"/>
    <w:rsid w:val="004F3BA0"/>
    <w:rsid w:val="00505CC3"/>
    <w:rsid w:val="00511583"/>
    <w:rsid w:val="0052080C"/>
    <w:rsid w:val="00521439"/>
    <w:rsid w:val="00530BD6"/>
    <w:rsid w:val="005339BB"/>
    <w:rsid w:val="005352F9"/>
    <w:rsid w:val="00543C13"/>
    <w:rsid w:val="00543D29"/>
    <w:rsid w:val="0054530A"/>
    <w:rsid w:val="005613D9"/>
    <w:rsid w:val="00561B8D"/>
    <w:rsid w:val="00562B92"/>
    <w:rsid w:val="005630C5"/>
    <w:rsid w:val="005733BC"/>
    <w:rsid w:val="005738B8"/>
    <w:rsid w:val="00581EBD"/>
    <w:rsid w:val="00590F14"/>
    <w:rsid w:val="00594EBE"/>
    <w:rsid w:val="00597926"/>
    <w:rsid w:val="005A6F4B"/>
    <w:rsid w:val="005B5492"/>
    <w:rsid w:val="005B5D6C"/>
    <w:rsid w:val="005C0987"/>
    <w:rsid w:val="005C4266"/>
    <w:rsid w:val="005C4B2E"/>
    <w:rsid w:val="005C6E5E"/>
    <w:rsid w:val="005F28C5"/>
    <w:rsid w:val="006201EE"/>
    <w:rsid w:val="00622E78"/>
    <w:rsid w:val="0062450F"/>
    <w:rsid w:val="006351B0"/>
    <w:rsid w:val="006378E4"/>
    <w:rsid w:val="00637A19"/>
    <w:rsid w:val="00643A55"/>
    <w:rsid w:val="00645834"/>
    <w:rsid w:val="00645CB1"/>
    <w:rsid w:val="00653B65"/>
    <w:rsid w:val="0065460F"/>
    <w:rsid w:val="00655758"/>
    <w:rsid w:val="006668BF"/>
    <w:rsid w:val="00671B78"/>
    <w:rsid w:val="00673081"/>
    <w:rsid w:val="00682123"/>
    <w:rsid w:val="006831EE"/>
    <w:rsid w:val="006855B4"/>
    <w:rsid w:val="00686019"/>
    <w:rsid w:val="006926FE"/>
    <w:rsid w:val="00695BF4"/>
    <w:rsid w:val="0069661B"/>
    <w:rsid w:val="00697CAD"/>
    <w:rsid w:val="006A3C1B"/>
    <w:rsid w:val="006A7B26"/>
    <w:rsid w:val="006B59C9"/>
    <w:rsid w:val="006C36B7"/>
    <w:rsid w:val="006C5DDF"/>
    <w:rsid w:val="006D6907"/>
    <w:rsid w:val="006D7261"/>
    <w:rsid w:val="006F2E41"/>
    <w:rsid w:val="006F71F4"/>
    <w:rsid w:val="00700883"/>
    <w:rsid w:val="0070206F"/>
    <w:rsid w:val="00712978"/>
    <w:rsid w:val="00716901"/>
    <w:rsid w:val="0071730B"/>
    <w:rsid w:val="00717739"/>
    <w:rsid w:val="007215C4"/>
    <w:rsid w:val="00723C8B"/>
    <w:rsid w:val="0072716A"/>
    <w:rsid w:val="00730E0D"/>
    <w:rsid w:val="00740329"/>
    <w:rsid w:val="00740780"/>
    <w:rsid w:val="00743E10"/>
    <w:rsid w:val="0074582C"/>
    <w:rsid w:val="00745AE9"/>
    <w:rsid w:val="00751120"/>
    <w:rsid w:val="007541B2"/>
    <w:rsid w:val="00754379"/>
    <w:rsid w:val="00756EAC"/>
    <w:rsid w:val="007609A8"/>
    <w:rsid w:val="00761AAF"/>
    <w:rsid w:val="00765E10"/>
    <w:rsid w:val="00767E79"/>
    <w:rsid w:val="0077032E"/>
    <w:rsid w:val="00773257"/>
    <w:rsid w:val="00781994"/>
    <w:rsid w:val="00786CD9"/>
    <w:rsid w:val="00797A4F"/>
    <w:rsid w:val="007A4019"/>
    <w:rsid w:val="007A423A"/>
    <w:rsid w:val="007B5FA2"/>
    <w:rsid w:val="007C2FBB"/>
    <w:rsid w:val="007C31DE"/>
    <w:rsid w:val="007D0CB0"/>
    <w:rsid w:val="007D3AE0"/>
    <w:rsid w:val="007D3C23"/>
    <w:rsid w:val="007D6DEC"/>
    <w:rsid w:val="007F4308"/>
    <w:rsid w:val="007F755B"/>
    <w:rsid w:val="007F78CB"/>
    <w:rsid w:val="00802071"/>
    <w:rsid w:val="008035C4"/>
    <w:rsid w:val="008048DF"/>
    <w:rsid w:val="00807723"/>
    <w:rsid w:val="00807C60"/>
    <w:rsid w:val="00813B4F"/>
    <w:rsid w:val="00824E37"/>
    <w:rsid w:val="00842DDA"/>
    <w:rsid w:val="00846930"/>
    <w:rsid w:val="00851F8A"/>
    <w:rsid w:val="0085508F"/>
    <w:rsid w:val="00864D2B"/>
    <w:rsid w:val="0086545F"/>
    <w:rsid w:val="008705C7"/>
    <w:rsid w:val="00896883"/>
    <w:rsid w:val="00897B36"/>
    <w:rsid w:val="008A7716"/>
    <w:rsid w:val="008B5B52"/>
    <w:rsid w:val="008D070D"/>
    <w:rsid w:val="008D3291"/>
    <w:rsid w:val="008D5E9D"/>
    <w:rsid w:val="008E31B6"/>
    <w:rsid w:val="008E3F9D"/>
    <w:rsid w:val="008F1CA7"/>
    <w:rsid w:val="00911BA3"/>
    <w:rsid w:val="00913919"/>
    <w:rsid w:val="00917168"/>
    <w:rsid w:val="00923FF5"/>
    <w:rsid w:val="00925B3D"/>
    <w:rsid w:val="00931E3B"/>
    <w:rsid w:val="00932714"/>
    <w:rsid w:val="0094507B"/>
    <w:rsid w:val="0095203E"/>
    <w:rsid w:val="0095509E"/>
    <w:rsid w:val="00962F88"/>
    <w:rsid w:val="00964B36"/>
    <w:rsid w:val="00965D36"/>
    <w:rsid w:val="00967846"/>
    <w:rsid w:val="009720D9"/>
    <w:rsid w:val="009846E0"/>
    <w:rsid w:val="00997AA7"/>
    <w:rsid w:val="009A1E5F"/>
    <w:rsid w:val="009A3919"/>
    <w:rsid w:val="009B3D4E"/>
    <w:rsid w:val="009C15D5"/>
    <w:rsid w:val="009D08DF"/>
    <w:rsid w:val="009D3AC7"/>
    <w:rsid w:val="009E319D"/>
    <w:rsid w:val="009E3DE6"/>
    <w:rsid w:val="009F64BD"/>
    <w:rsid w:val="00A0046B"/>
    <w:rsid w:val="00A0766F"/>
    <w:rsid w:val="00A07FC0"/>
    <w:rsid w:val="00A10AE2"/>
    <w:rsid w:val="00A26096"/>
    <w:rsid w:val="00A328FC"/>
    <w:rsid w:val="00A361FF"/>
    <w:rsid w:val="00A41A7E"/>
    <w:rsid w:val="00A437BC"/>
    <w:rsid w:val="00A43EC2"/>
    <w:rsid w:val="00A50591"/>
    <w:rsid w:val="00A57620"/>
    <w:rsid w:val="00A63517"/>
    <w:rsid w:val="00A64438"/>
    <w:rsid w:val="00A67BD8"/>
    <w:rsid w:val="00A72714"/>
    <w:rsid w:val="00A771EB"/>
    <w:rsid w:val="00A82BF9"/>
    <w:rsid w:val="00A84496"/>
    <w:rsid w:val="00A87215"/>
    <w:rsid w:val="00A91EA4"/>
    <w:rsid w:val="00A93F28"/>
    <w:rsid w:val="00A957EA"/>
    <w:rsid w:val="00AA424E"/>
    <w:rsid w:val="00AD17EE"/>
    <w:rsid w:val="00AD1D26"/>
    <w:rsid w:val="00AD5168"/>
    <w:rsid w:val="00AD5C60"/>
    <w:rsid w:val="00AF2F3F"/>
    <w:rsid w:val="00AF38A8"/>
    <w:rsid w:val="00B06B34"/>
    <w:rsid w:val="00B11F5D"/>
    <w:rsid w:val="00B14994"/>
    <w:rsid w:val="00B17DE9"/>
    <w:rsid w:val="00B27C54"/>
    <w:rsid w:val="00B35D51"/>
    <w:rsid w:val="00B41441"/>
    <w:rsid w:val="00B41AC7"/>
    <w:rsid w:val="00B6430F"/>
    <w:rsid w:val="00B81D0E"/>
    <w:rsid w:val="00B865B7"/>
    <w:rsid w:val="00B94B3E"/>
    <w:rsid w:val="00B95826"/>
    <w:rsid w:val="00B95F9C"/>
    <w:rsid w:val="00BA3DB4"/>
    <w:rsid w:val="00BA474C"/>
    <w:rsid w:val="00BB38C1"/>
    <w:rsid w:val="00BC10E8"/>
    <w:rsid w:val="00BD39B0"/>
    <w:rsid w:val="00BD4047"/>
    <w:rsid w:val="00BF0931"/>
    <w:rsid w:val="00BF1768"/>
    <w:rsid w:val="00BF7AB3"/>
    <w:rsid w:val="00C02F6D"/>
    <w:rsid w:val="00C033C9"/>
    <w:rsid w:val="00C05397"/>
    <w:rsid w:val="00C10A73"/>
    <w:rsid w:val="00C218B9"/>
    <w:rsid w:val="00C4220F"/>
    <w:rsid w:val="00C64C2D"/>
    <w:rsid w:val="00C673FD"/>
    <w:rsid w:val="00C82B7B"/>
    <w:rsid w:val="00C83D04"/>
    <w:rsid w:val="00C87586"/>
    <w:rsid w:val="00C904CF"/>
    <w:rsid w:val="00C907C1"/>
    <w:rsid w:val="00C90C93"/>
    <w:rsid w:val="00CA5D01"/>
    <w:rsid w:val="00CB0A03"/>
    <w:rsid w:val="00CB1421"/>
    <w:rsid w:val="00CB6393"/>
    <w:rsid w:val="00CD171C"/>
    <w:rsid w:val="00CD70FC"/>
    <w:rsid w:val="00CE1BE1"/>
    <w:rsid w:val="00CE5B78"/>
    <w:rsid w:val="00D06C72"/>
    <w:rsid w:val="00D06C8B"/>
    <w:rsid w:val="00D16E11"/>
    <w:rsid w:val="00D35398"/>
    <w:rsid w:val="00D43145"/>
    <w:rsid w:val="00D45826"/>
    <w:rsid w:val="00D472AF"/>
    <w:rsid w:val="00D53B60"/>
    <w:rsid w:val="00D53CD0"/>
    <w:rsid w:val="00D53E2D"/>
    <w:rsid w:val="00D53FF4"/>
    <w:rsid w:val="00D572D0"/>
    <w:rsid w:val="00D57682"/>
    <w:rsid w:val="00D72AE4"/>
    <w:rsid w:val="00D80B78"/>
    <w:rsid w:val="00D8342B"/>
    <w:rsid w:val="00D8479D"/>
    <w:rsid w:val="00D84C2E"/>
    <w:rsid w:val="00D853CF"/>
    <w:rsid w:val="00D85B77"/>
    <w:rsid w:val="00D85F72"/>
    <w:rsid w:val="00D95CA3"/>
    <w:rsid w:val="00D966CF"/>
    <w:rsid w:val="00DA11FC"/>
    <w:rsid w:val="00DA1DC9"/>
    <w:rsid w:val="00DA3E8D"/>
    <w:rsid w:val="00DA4375"/>
    <w:rsid w:val="00DA55A8"/>
    <w:rsid w:val="00DC1ED9"/>
    <w:rsid w:val="00DC2892"/>
    <w:rsid w:val="00DD28E5"/>
    <w:rsid w:val="00DE337C"/>
    <w:rsid w:val="00DE3F8A"/>
    <w:rsid w:val="00DF684D"/>
    <w:rsid w:val="00E07AB3"/>
    <w:rsid w:val="00E20998"/>
    <w:rsid w:val="00E212FB"/>
    <w:rsid w:val="00E216F7"/>
    <w:rsid w:val="00E23A0A"/>
    <w:rsid w:val="00E26B41"/>
    <w:rsid w:val="00E271EB"/>
    <w:rsid w:val="00E3303D"/>
    <w:rsid w:val="00E356ED"/>
    <w:rsid w:val="00E55CAA"/>
    <w:rsid w:val="00E56CCC"/>
    <w:rsid w:val="00E60A87"/>
    <w:rsid w:val="00E623E8"/>
    <w:rsid w:val="00E63DBA"/>
    <w:rsid w:val="00E757EB"/>
    <w:rsid w:val="00E812D0"/>
    <w:rsid w:val="00E910A4"/>
    <w:rsid w:val="00E91334"/>
    <w:rsid w:val="00E936A4"/>
    <w:rsid w:val="00E97790"/>
    <w:rsid w:val="00EC6CC8"/>
    <w:rsid w:val="00ED24CF"/>
    <w:rsid w:val="00EE4FDE"/>
    <w:rsid w:val="00EE715F"/>
    <w:rsid w:val="00EF458E"/>
    <w:rsid w:val="00EF7AB2"/>
    <w:rsid w:val="00F00470"/>
    <w:rsid w:val="00F03EC9"/>
    <w:rsid w:val="00F311ED"/>
    <w:rsid w:val="00F34A04"/>
    <w:rsid w:val="00F3748D"/>
    <w:rsid w:val="00F42183"/>
    <w:rsid w:val="00F510B4"/>
    <w:rsid w:val="00F52062"/>
    <w:rsid w:val="00F554FB"/>
    <w:rsid w:val="00F675B4"/>
    <w:rsid w:val="00F76263"/>
    <w:rsid w:val="00F77E5D"/>
    <w:rsid w:val="00FA02AA"/>
    <w:rsid w:val="00FA4ED0"/>
    <w:rsid w:val="00FA545E"/>
    <w:rsid w:val="00FB465A"/>
    <w:rsid w:val="00FC2842"/>
    <w:rsid w:val="00FC3001"/>
    <w:rsid w:val="00FC7E5E"/>
    <w:rsid w:val="00FD709A"/>
    <w:rsid w:val="00FE32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611FD"/>
  <w15:docId w15:val="{17CEB1BE-2126-44D2-AB8C-6B257C488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F05"/>
    <w:pPr>
      <w:spacing w:after="204" w:line="270"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numPr>
        <w:numId w:val="3"/>
      </w:numPr>
      <w:spacing w:after="0" w:line="267" w:lineRule="auto"/>
      <w:outlineLvl w:val="0"/>
    </w:pPr>
    <w:rPr>
      <w:rFonts w:ascii="Calibri" w:eastAsia="Calibri" w:hAnsi="Calibri" w:cs="Calibri"/>
      <w:color w:val="2F5496"/>
      <w:sz w:val="28"/>
    </w:rPr>
  </w:style>
  <w:style w:type="paragraph" w:styleId="Heading2">
    <w:name w:val="heading 2"/>
    <w:next w:val="Normal"/>
    <w:link w:val="Heading2Char"/>
    <w:uiPriority w:val="9"/>
    <w:unhideWhenUsed/>
    <w:qFormat/>
    <w:rsid w:val="001E1557"/>
    <w:pPr>
      <w:keepNext/>
      <w:keepLines/>
      <w:numPr>
        <w:ilvl w:val="1"/>
        <w:numId w:val="7"/>
      </w:numPr>
      <w:spacing w:after="4"/>
      <w:outlineLvl w:val="1"/>
    </w:pPr>
    <w:rPr>
      <w:rFonts w:ascii="Calibri" w:eastAsia="Calibri" w:hAnsi="Calibri" w:cs="Calibri"/>
      <w:color w:val="2F5496"/>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2F5496"/>
      <w:sz w:val="28"/>
    </w:rPr>
  </w:style>
  <w:style w:type="paragraph" w:customStyle="1" w:styleId="footnotedescription">
    <w:name w:val="footnote description"/>
    <w:next w:val="Normal"/>
    <w:link w:val="footnotedescriptionChar"/>
    <w:hidden/>
    <w:pPr>
      <w:spacing w:after="2" w:line="256" w:lineRule="auto"/>
    </w:pPr>
    <w:rPr>
      <w:rFonts w:ascii="Arial" w:eastAsia="Arial" w:hAnsi="Arial" w:cs="Arial"/>
      <w:color w:val="0044BB"/>
      <w:sz w:val="16"/>
      <w:u w:val="single" w:color="0044BB"/>
    </w:rPr>
  </w:style>
  <w:style w:type="character" w:customStyle="1" w:styleId="footnotedescriptionChar">
    <w:name w:val="footnote description Char"/>
    <w:link w:val="footnotedescription"/>
    <w:rPr>
      <w:rFonts w:ascii="Arial" w:eastAsia="Arial" w:hAnsi="Arial" w:cs="Arial"/>
      <w:color w:val="0044BB"/>
      <w:sz w:val="16"/>
      <w:u w:val="single" w:color="0044BB"/>
    </w:rPr>
  </w:style>
  <w:style w:type="paragraph" w:styleId="TOC1">
    <w:name w:val="toc 1"/>
    <w:hidden/>
    <w:uiPriority w:val="39"/>
    <w:pPr>
      <w:spacing w:after="110" w:line="270" w:lineRule="auto"/>
      <w:ind w:left="25" w:right="22" w:hanging="10"/>
    </w:pPr>
    <w:rPr>
      <w:rFonts w:ascii="Calibri" w:eastAsia="Calibri" w:hAnsi="Calibri" w:cs="Calibri"/>
      <w:color w:val="000000"/>
      <w:sz w:val="24"/>
    </w:rPr>
  </w:style>
  <w:style w:type="character" w:customStyle="1" w:styleId="footnotemark">
    <w:name w:val="footnote mark"/>
    <w:hidden/>
    <w:rPr>
      <w:rFonts w:ascii="Arial" w:eastAsia="Arial" w:hAnsi="Arial" w:cs="Arial"/>
      <w:color w:val="000000"/>
      <w:sz w:val="20"/>
      <w:vertAlign w:val="superscript"/>
    </w:rPr>
  </w:style>
  <w:style w:type="paragraph" w:styleId="Revision">
    <w:name w:val="Revision"/>
    <w:hidden/>
    <w:uiPriority w:val="99"/>
    <w:semiHidden/>
    <w:rsid w:val="0019230F"/>
    <w:pPr>
      <w:spacing w:after="0" w:line="240" w:lineRule="auto"/>
    </w:pPr>
    <w:rPr>
      <w:rFonts w:ascii="Calibri" w:eastAsia="Calibri" w:hAnsi="Calibri" w:cs="Calibri"/>
      <w:color w:val="000000"/>
      <w:sz w:val="24"/>
    </w:rPr>
  </w:style>
  <w:style w:type="character" w:styleId="CommentReference">
    <w:name w:val="annotation reference"/>
    <w:basedOn w:val="DefaultParagraphFont"/>
    <w:uiPriority w:val="99"/>
    <w:semiHidden/>
    <w:unhideWhenUsed/>
    <w:rsid w:val="00DA3E8D"/>
    <w:rPr>
      <w:sz w:val="16"/>
      <w:szCs w:val="16"/>
    </w:rPr>
  </w:style>
  <w:style w:type="paragraph" w:styleId="CommentText">
    <w:name w:val="annotation text"/>
    <w:basedOn w:val="Normal"/>
    <w:link w:val="CommentTextChar"/>
    <w:uiPriority w:val="99"/>
    <w:unhideWhenUsed/>
    <w:rsid w:val="00DA3E8D"/>
    <w:pPr>
      <w:spacing w:line="240" w:lineRule="auto"/>
    </w:pPr>
    <w:rPr>
      <w:sz w:val="20"/>
      <w:szCs w:val="20"/>
    </w:rPr>
  </w:style>
  <w:style w:type="character" w:customStyle="1" w:styleId="CommentTextChar">
    <w:name w:val="Comment Text Char"/>
    <w:basedOn w:val="DefaultParagraphFont"/>
    <w:link w:val="CommentText"/>
    <w:uiPriority w:val="99"/>
    <w:rsid w:val="00DA3E8D"/>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DA3E8D"/>
    <w:rPr>
      <w:b/>
      <w:bCs/>
    </w:rPr>
  </w:style>
  <w:style w:type="character" w:customStyle="1" w:styleId="CommentSubjectChar">
    <w:name w:val="Comment Subject Char"/>
    <w:basedOn w:val="CommentTextChar"/>
    <w:link w:val="CommentSubject"/>
    <w:uiPriority w:val="99"/>
    <w:semiHidden/>
    <w:rsid w:val="00DA3E8D"/>
    <w:rPr>
      <w:rFonts w:ascii="Calibri" w:eastAsia="Calibri" w:hAnsi="Calibri" w:cs="Calibri"/>
      <w:b/>
      <w:bCs/>
      <w:color w:val="000000"/>
      <w:sz w:val="20"/>
      <w:szCs w:val="20"/>
    </w:rPr>
  </w:style>
  <w:style w:type="character" w:styleId="Hyperlink">
    <w:name w:val="Hyperlink"/>
    <w:basedOn w:val="DefaultParagraphFont"/>
    <w:uiPriority w:val="99"/>
    <w:unhideWhenUsed/>
    <w:rsid w:val="00000706"/>
    <w:rPr>
      <w:color w:val="0000FF"/>
      <w:u w:val="single"/>
    </w:rPr>
  </w:style>
  <w:style w:type="character" w:styleId="FollowedHyperlink">
    <w:name w:val="FollowedHyperlink"/>
    <w:basedOn w:val="DefaultParagraphFont"/>
    <w:uiPriority w:val="99"/>
    <w:semiHidden/>
    <w:unhideWhenUsed/>
    <w:rsid w:val="001618E5"/>
    <w:rPr>
      <w:color w:val="954F72" w:themeColor="followedHyperlink"/>
      <w:u w:val="single"/>
    </w:rPr>
  </w:style>
  <w:style w:type="paragraph" w:styleId="FootnoteText">
    <w:name w:val="footnote text"/>
    <w:basedOn w:val="Normal"/>
    <w:link w:val="FootnoteTextChar"/>
    <w:uiPriority w:val="99"/>
    <w:semiHidden/>
    <w:unhideWhenUsed/>
    <w:rsid w:val="00D85F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5F72"/>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D85F72"/>
    <w:rPr>
      <w:vertAlign w:val="superscript"/>
    </w:rPr>
  </w:style>
  <w:style w:type="paragraph" w:styleId="ListParagraph">
    <w:name w:val="List Paragraph"/>
    <w:aliases w:val="List Paragraph1,Recommendation,List Paragraph11"/>
    <w:basedOn w:val="Normal"/>
    <w:link w:val="ListParagraphChar"/>
    <w:uiPriority w:val="34"/>
    <w:qFormat/>
    <w:rsid w:val="00D85F72"/>
    <w:pPr>
      <w:ind w:left="720"/>
      <w:contextualSpacing/>
    </w:pPr>
  </w:style>
  <w:style w:type="character" w:customStyle="1" w:styleId="Heading2Char">
    <w:name w:val="Heading 2 Char"/>
    <w:basedOn w:val="DefaultParagraphFont"/>
    <w:link w:val="Heading2"/>
    <w:uiPriority w:val="9"/>
    <w:rsid w:val="001E1557"/>
    <w:rPr>
      <w:rFonts w:ascii="Calibri" w:eastAsia="Calibri" w:hAnsi="Calibri" w:cs="Calibri"/>
      <w:color w:val="2F5496"/>
      <w:sz w:val="26"/>
    </w:rPr>
  </w:style>
  <w:style w:type="character" w:customStyle="1" w:styleId="ListParagraphChar">
    <w:name w:val="List Paragraph Char"/>
    <w:aliases w:val="List Paragraph1 Char,Recommendation Char,List Paragraph11 Char"/>
    <w:basedOn w:val="DefaultParagraphFont"/>
    <w:link w:val="ListParagraph"/>
    <w:uiPriority w:val="34"/>
    <w:locked/>
    <w:rsid w:val="00645CB1"/>
    <w:rPr>
      <w:rFonts w:ascii="Calibri" w:eastAsia="Calibri" w:hAnsi="Calibri" w:cs="Calibri"/>
      <w:color w:val="000000"/>
      <w:sz w:val="24"/>
    </w:rPr>
  </w:style>
  <w:style w:type="character" w:styleId="UnresolvedMention">
    <w:name w:val="Unresolved Mention"/>
    <w:basedOn w:val="DefaultParagraphFont"/>
    <w:uiPriority w:val="99"/>
    <w:semiHidden/>
    <w:unhideWhenUsed/>
    <w:rsid w:val="00355F05"/>
    <w:rPr>
      <w:color w:val="605E5C"/>
      <w:shd w:val="clear" w:color="auto" w:fill="E1DFDD"/>
    </w:rPr>
  </w:style>
  <w:style w:type="paragraph" w:customStyle="1" w:styleId="Default">
    <w:name w:val="Default"/>
    <w:rsid w:val="00451B37"/>
    <w:pPr>
      <w:autoSpaceDE w:val="0"/>
      <w:autoSpaceDN w:val="0"/>
      <w:adjustRightInd w:val="0"/>
      <w:spacing w:after="0" w:line="240" w:lineRule="auto"/>
    </w:pPr>
    <w:rPr>
      <w:rFonts w:ascii="Segoe UI" w:hAnsi="Segoe UI" w:cs="Segoe UI"/>
      <w:color w:val="000000"/>
      <w:sz w:val="24"/>
      <w:szCs w:val="24"/>
    </w:rPr>
  </w:style>
  <w:style w:type="table" w:styleId="TableGrid">
    <w:name w:val="Table Grid"/>
    <w:basedOn w:val="TableNormal"/>
    <w:uiPriority w:val="39"/>
    <w:rsid w:val="00B35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65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5B7"/>
    <w:rPr>
      <w:rFonts w:ascii="Calibri" w:eastAsia="Calibri" w:hAnsi="Calibri" w:cs="Calibri"/>
      <w:color w:val="000000"/>
      <w:sz w:val="24"/>
    </w:rPr>
  </w:style>
  <w:style w:type="paragraph" w:styleId="Footer">
    <w:name w:val="footer"/>
    <w:basedOn w:val="Normal"/>
    <w:link w:val="FooterChar"/>
    <w:uiPriority w:val="99"/>
    <w:unhideWhenUsed/>
    <w:rsid w:val="00B865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5B7"/>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354749">
      <w:bodyDiv w:val="1"/>
      <w:marLeft w:val="0"/>
      <w:marRight w:val="0"/>
      <w:marTop w:val="0"/>
      <w:marBottom w:val="0"/>
      <w:divBdr>
        <w:top w:val="none" w:sz="0" w:space="0" w:color="auto"/>
        <w:left w:val="none" w:sz="0" w:space="0" w:color="auto"/>
        <w:bottom w:val="none" w:sz="0" w:space="0" w:color="auto"/>
        <w:right w:val="none" w:sz="0" w:space="0" w:color="auto"/>
      </w:divBdr>
      <w:divsChild>
        <w:div w:id="292449963">
          <w:marLeft w:val="0"/>
          <w:marRight w:val="0"/>
          <w:marTop w:val="0"/>
          <w:marBottom w:val="0"/>
          <w:divBdr>
            <w:top w:val="none" w:sz="0" w:space="0" w:color="auto"/>
            <w:left w:val="none" w:sz="0" w:space="0" w:color="auto"/>
            <w:bottom w:val="none" w:sz="0" w:space="0" w:color="auto"/>
            <w:right w:val="none" w:sz="0" w:space="0" w:color="auto"/>
          </w:divBdr>
        </w:div>
        <w:div w:id="1204706286">
          <w:marLeft w:val="0"/>
          <w:marRight w:val="0"/>
          <w:marTop w:val="0"/>
          <w:marBottom w:val="0"/>
          <w:divBdr>
            <w:top w:val="none" w:sz="0" w:space="0" w:color="auto"/>
            <w:left w:val="none" w:sz="0" w:space="0" w:color="auto"/>
            <w:bottom w:val="none" w:sz="0" w:space="0" w:color="auto"/>
            <w:right w:val="none" w:sz="0" w:space="0" w:color="auto"/>
          </w:divBdr>
        </w:div>
        <w:div w:id="1520507708">
          <w:marLeft w:val="0"/>
          <w:marRight w:val="0"/>
          <w:marTop w:val="0"/>
          <w:marBottom w:val="0"/>
          <w:divBdr>
            <w:top w:val="none" w:sz="0" w:space="0" w:color="auto"/>
            <w:left w:val="none" w:sz="0" w:space="0" w:color="auto"/>
            <w:bottom w:val="none" w:sz="0" w:space="0" w:color="auto"/>
            <w:right w:val="none" w:sz="0" w:space="0" w:color="auto"/>
          </w:divBdr>
        </w:div>
        <w:div w:id="1596328892">
          <w:marLeft w:val="0"/>
          <w:marRight w:val="0"/>
          <w:marTop w:val="0"/>
          <w:marBottom w:val="0"/>
          <w:divBdr>
            <w:top w:val="none" w:sz="0" w:space="0" w:color="auto"/>
            <w:left w:val="none" w:sz="0" w:space="0" w:color="auto"/>
            <w:bottom w:val="none" w:sz="0" w:space="0" w:color="auto"/>
            <w:right w:val="none" w:sz="0" w:space="0" w:color="auto"/>
          </w:divBdr>
        </w:div>
        <w:div w:id="913466218">
          <w:marLeft w:val="0"/>
          <w:marRight w:val="0"/>
          <w:marTop w:val="0"/>
          <w:marBottom w:val="0"/>
          <w:divBdr>
            <w:top w:val="none" w:sz="0" w:space="0" w:color="auto"/>
            <w:left w:val="none" w:sz="0" w:space="0" w:color="auto"/>
            <w:bottom w:val="none" w:sz="0" w:space="0" w:color="auto"/>
            <w:right w:val="none" w:sz="0" w:space="0" w:color="auto"/>
          </w:divBdr>
        </w:div>
        <w:div w:id="1841115926">
          <w:marLeft w:val="0"/>
          <w:marRight w:val="0"/>
          <w:marTop w:val="0"/>
          <w:marBottom w:val="0"/>
          <w:divBdr>
            <w:top w:val="none" w:sz="0" w:space="0" w:color="auto"/>
            <w:left w:val="none" w:sz="0" w:space="0" w:color="auto"/>
            <w:bottom w:val="none" w:sz="0" w:space="0" w:color="auto"/>
            <w:right w:val="none" w:sz="0" w:space="0" w:color="auto"/>
          </w:divBdr>
        </w:div>
        <w:div w:id="1575360102">
          <w:marLeft w:val="0"/>
          <w:marRight w:val="0"/>
          <w:marTop w:val="0"/>
          <w:marBottom w:val="0"/>
          <w:divBdr>
            <w:top w:val="none" w:sz="0" w:space="0" w:color="auto"/>
            <w:left w:val="none" w:sz="0" w:space="0" w:color="auto"/>
            <w:bottom w:val="none" w:sz="0" w:space="0" w:color="auto"/>
            <w:right w:val="none" w:sz="0" w:space="0" w:color="auto"/>
          </w:divBdr>
        </w:div>
        <w:div w:id="1328245551">
          <w:marLeft w:val="0"/>
          <w:marRight w:val="0"/>
          <w:marTop w:val="0"/>
          <w:marBottom w:val="0"/>
          <w:divBdr>
            <w:top w:val="none" w:sz="0" w:space="0" w:color="auto"/>
            <w:left w:val="none" w:sz="0" w:space="0" w:color="auto"/>
            <w:bottom w:val="none" w:sz="0" w:space="0" w:color="auto"/>
            <w:right w:val="none" w:sz="0" w:space="0" w:color="auto"/>
          </w:divBdr>
        </w:div>
        <w:div w:id="105656185">
          <w:marLeft w:val="0"/>
          <w:marRight w:val="0"/>
          <w:marTop w:val="0"/>
          <w:marBottom w:val="0"/>
          <w:divBdr>
            <w:top w:val="none" w:sz="0" w:space="0" w:color="auto"/>
            <w:left w:val="none" w:sz="0" w:space="0" w:color="auto"/>
            <w:bottom w:val="none" w:sz="0" w:space="0" w:color="auto"/>
            <w:right w:val="none" w:sz="0" w:space="0" w:color="auto"/>
          </w:divBdr>
        </w:div>
        <w:div w:id="1463234644">
          <w:marLeft w:val="0"/>
          <w:marRight w:val="0"/>
          <w:marTop w:val="0"/>
          <w:marBottom w:val="0"/>
          <w:divBdr>
            <w:top w:val="none" w:sz="0" w:space="0" w:color="auto"/>
            <w:left w:val="none" w:sz="0" w:space="0" w:color="auto"/>
            <w:bottom w:val="none" w:sz="0" w:space="0" w:color="auto"/>
            <w:right w:val="none" w:sz="0" w:space="0" w:color="auto"/>
          </w:divBdr>
        </w:div>
        <w:div w:id="604117518">
          <w:marLeft w:val="0"/>
          <w:marRight w:val="0"/>
          <w:marTop w:val="0"/>
          <w:marBottom w:val="0"/>
          <w:divBdr>
            <w:top w:val="none" w:sz="0" w:space="0" w:color="auto"/>
            <w:left w:val="none" w:sz="0" w:space="0" w:color="auto"/>
            <w:bottom w:val="none" w:sz="0" w:space="0" w:color="auto"/>
            <w:right w:val="none" w:sz="0" w:space="0" w:color="auto"/>
          </w:divBdr>
        </w:div>
        <w:div w:id="561646547">
          <w:marLeft w:val="0"/>
          <w:marRight w:val="0"/>
          <w:marTop w:val="0"/>
          <w:marBottom w:val="0"/>
          <w:divBdr>
            <w:top w:val="none" w:sz="0" w:space="0" w:color="auto"/>
            <w:left w:val="none" w:sz="0" w:space="0" w:color="auto"/>
            <w:bottom w:val="none" w:sz="0" w:space="0" w:color="auto"/>
            <w:right w:val="none" w:sz="0" w:space="0" w:color="auto"/>
          </w:divBdr>
        </w:div>
        <w:div w:id="883909052">
          <w:marLeft w:val="0"/>
          <w:marRight w:val="0"/>
          <w:marTop w:val="0"/>
          <w:marBottom w:val="0"/>
          <w:divBdr>
            <w:top w:val="none" w:sz="0" w:space="0" w:color="auto"/>
            <w:left w:val="none" w:sz="0" w:space="0" w:color="auto"/>
            <w:bottom w:val="none" w:sz="0" w:space="0" w:color="auto"/>
            <w:right w:val="none" w:sz="0" w:space="0" w:color="auto"/>
          </w:divBdr>
        </w:div>
        <w:div w:id="515315169">
          <w:marLeft w:val="0"/>
          <w:marRight w:val="0"/>
          <w:marTop w:val="0"/>
          <w:marBottom w:val="0"/>
          <w:divBdr>
            <w:top w:val="none" w:sz="0" w:space="0" w:color="auto"/>
            <w:left w:val="none" w:sz="0" w:space="0" w:color="auto"/>
            <w:bottom w:val="none" w:sz="0" w:space="0" w:color="auto"/>
            <w:right w:val="none" w:sz="0" w:space="0" w:color="auto"/>
          </w:divBdr>
        </w:div>
        <w:div w:id="1913081949">
          <w:marLeft w:val="0"/>
          <w:marRight w:val="0"/>
          <w:marTop w:val="0"/>
          <w:marBottom w:val="0"/>
          <w:divBdr>
            <w:top w:val="none" w:sz="0" w:space="0" w:color="auto"/>
            <w:left w:val="none" w:sz="0" w:space="0" w:color="auto"/>
            <w:bottom w:val="none" w:sz="0" w:space="0" w:color="auto"/>
            <w:right w:val="none" w:sz="0" w:space="0" w:color="auto"/>
          </w:divBdr>
        </w:div>
        <w:div w:id="828404829">
          <w:marLeft w:val="0"/>
          <w:marRight w:val="0"/>
          <w:marTop w:val="0"/>
          <w:marBottom w:val="0"/>
          <w:divBdr>
            <w:top w:val="none" w:sz="0" w:space="0" w:color="auto"/>
            <w:left w:val="none" w:sz="0" w:space="0" w:color="auto"/>
            <w:bottom w:val="none" w:sz="0" w:space="0" w:color="auto"/>
            <w:right w:val="none" w:sz="0" w:space="0" w:color="auto"/>
          </w:divBdr>
        </w:div>
        <w:div w:id="1271939599">
          <w:marLeft w:val="0"/>
          <w:marRight w:val="0"/>
          <w:marTop w:val="0"/>
          <w:marBottom w:val="0"/>
          <w:divBdr>
            <w:top w:val="none" w:sz="0" w:space="0" w:color="auto"/>
            <w:left w:val="none" w:sz="0" w:space="0" w:color="auto"/>
            <w:bottom w:val="none" w:sz="0" w:space="0" w:color="auto"/>
            <w:right w:val="none" w:sz="0" w:space="0" w:color="auto"/>
          </w:divBdr>
        </w:div>
        <w:div w:id="1553037640">
          <w:marLeft w:val="0"/>
          <w:marRight w:val="0"/>
          <w:marTop w:val="0"/>
          <w:marBottom w:val="0"/>
          <w:divBdr>
            <w:top w:val="none" w:sz="0" w:space="0" w:color="auto"/>
            <w:left w:val="none" w:sz="0" w:space="0" w:color="auto"/>
            <w:bottom w:val="none" w:sz="0" w:space="0" w:color="auto"/>
            <w:right w:val="none" w:sz="0" w:space="0" w:color="auto"/>
          </w:divBdr>
        </w:div>
        <w:div w:id="2033409862">
          <w:marLeft w:val="0"/>
          <w:marRight w:val="0"/>
          <w:marTop w:val="0"/>
          <w:marBottom w:val="0"/>
          <w:divBdr>
            <w:top w:val="none" w:sz="0" w:space="0" w:color="auto"/>
            <w:left w:val="none" w:sz="0" w:space="0" w:color="auto"/>
            <w:bottom w:val="none" w:sz="0" w:space="0" w:color="auto"/>
            <w:right w:val="none" w:sz="0" w:space="0" w:color="auto"/>
          </w:divBdr>
        </w:div>
        <w:div w:id="635256365">
          <w:marLeft w:val="0"/>
          <w:marRight w:val="0"/>
          <w:marTop w:val="0"/>
          <w:marBottom w:val="0"/>
          <w:divBdr>
            <w:top w:val="none" w:sz="0" w:space="0" w:color="auto"/>
            <w:left w:val="none" w:sz="0" w:space="0" w:color="auto"/>
            <w:bottom w:val="none" w:sz="0" w:space="0" w:color="auto"/>
            <w:right w:val="none" w:sz="0" w:space="0" w:color="auto"/>
          </w:divBdr>
        </w:div>
        <w:div w:id="1616399412">
          <w:marLeft w:val="0"/>
          <w:marRight w:val="0"/>
          <w:marTop w:val="0"/>
          <w:marBottom w:val="0"/>
          <w:divBdr>
            <w:top w:val="none" w:sz="0" w:space="0" w:color="auto"/>
            <w:left w:val="none" w:sz="0" w:space="0" w:color="auto"/>
            <w:bottom w:val="none" w:sz="0" w:space="0" w:color="auto"/>
            <w:right w:val="none" w:sz="0" w:space="0" w:color="auto"/>
          </w:divBdr>
        </w:div>
        <w:div w:id="147789217">
          <w:marLeft w:val="0"/>
          <w:marRight w:val="0"/>
          <w:marTop w:val="0"/>
          <w:marBottom w:val="0"/>
          <w:divBdr>
            <w:top w:val="none" w:sz="0" w:space="0" w:color="auto"/>
            <w:left w:val="none" w:sz="0" w:space="0" w:color="auto"/>
            <w:bottom w:val="none" w:sz="0" w:space="0" w:color="auto"/>
            <w:right w:val="none" w:sz="0" w:space="0" w:color="auto"/>
          </w:divBdr>
        </w:div>
        <w:div w:id="1044906212">
          <w:marLeft w:val="0"/>
          <w:marRight w:val="0"/>
          <w:marTop w:val="0"/>
          <w:marBottom w:val="0"/>
          <w:divBdr>
            <w:top w:val="none" w:sz="0" w:space="0" w:color="auto"/>
            <w:left w:val="none" w:sz="0" w:space="0" w:color="auto"/>
            <w:bottom w:val="none" w:sz="0" w:space="0" w:color="auto"/>
            <w:right w:val="none" w:sz="0" w:space="0" w:color="auto"/>
          </w:divBdr>
        </w:div>
        <w:div w:id="816528418">
          <w:marLeft w:val="0"/>
          <w:marRight w:val="0"/>
          <w:marTop w:val="0"/>
          <w:marBottom w:val="0"/>
          <w:divBdr>
            <w:top w:val="none" w:sz="0" w:space="0" w:color="auto"/>
            <w:left w:val="none" w:sz="0" w:space="0" w:color="auto"/>
            <w:bottom w:val="none" w:sz="0" w:space="0" w:color="auto"/>
            <w:right w:val="none" w:sz="0" w:space="0" w:color="auto"/>
          </w:divBdr>
        </w:div>
        <w:div w:id="2140217147">
          <w:marLeft w:val="0"/>
          <w:marRight w:val="0"/>
          <w:marTop w:val="0"/>
          <w:marBottom w:val="0"/>
          <w:divBdr>
            <w:top w:val="none" w:sz="0" w:space="0" w:color="auto"/>
            <w:left w:val="none" w:sz="0" w:space="0" w:color="auto"/>
            <w:bottom w:val="none" w:sz="0" w:space="0" w:color="auto"/>
            <w:right w:val="none" w:sz="0" w:space="0" w:color="auto"/>
          </w:divBdr>
        </w:div>
        <w:div w:id="544290192">
          <w:marLeft w:val="0"/>
          <w:marRight w:val="0"/>
          <w:marTop w:val="0"/>
          <w:marBottom w:val="0"/>
          <w:divBdr>
            <w:top w:val="none" w:sz="0" w:space="0" w:color="auto"/>
            <w:left w:val="none" w:sz="0" w:space="0" w:color="auto"/>
            <w:bottom w:val="none" w:sz="0" w:space="0" w:color="auto"/>
            <w:right w:val="none" w:sz="0" w:space="0" w:color="auto"/>
          </w:divBdr>
        </w:div>
        <w:div w:id="1906986074">
          <w:marLeft w:val="0"/>
          <w:marRight w:val="0"/>
          <w:marTop w:val="0"/>
          <w:marBottom w:val="0"/>
          <w:divBdr>
            <w:top w:val="none" w:sz="0" w:space="0" w:color="auto"/>
            <w:left w:val="none" w:sz="0" w:space="0" w:color="auto"/>
            <w:bottom w:val="none" w:sz="0" w:space="0" w:color="auto"/>
            <w:right w:val="none" w:sz="0" w:space="0" w:color="auto"/>
          </w:divBdr>
        </w:div>
        <w:div w:id="670180598">
          <w:marLeft w:val="0"/>
          <w:marRight w:val="0"/>
          <w:marTop w:val="0"/>
          <w:marBottom w:val="0"/>
          <w:divBdr>
            <w:top w:val="none" w:sz="0" w:space="0" w:color="auto"/>
            <w:left w:val="none" w:sz="0" w:space="0" w:color="auto"/>
            <w:bottom w:val="none" w:sz="0" w:space="0" w:color="auto"/>
            <w:right w:val="none" w:sz="0" w:space="0" w:color="auto"/>
          </w:divBdr>
        </w:div>
        <w:div w:id="292096594">
          <w:marLeft w:val="0"/>
          <w:marRight w:val="0"/>
          <w:marTop w:val="0"/>
          <w:marBottom w:val="0"/>
          <w:divBdr>
            <w:top w:val="none" w:sz="0" w:space="0" w:color="auto"/>
            <w:left w:val="none" w:sz="0" w:space="0" w:color="auto"/>
            <w:bottom w:val="none" w:sz="0" w:space="0" w:color="auto"/>
            <w:right w:val="none" w:sz="0" w:space="0" w:color="auto"/>
          </w:divBdr>
        </w:div>
        <w:div w:id="2111121974">
          <w:marLeft w:val="0"/>
          <w:marRight w:val="0"/>
          <w:marTop w:val="0"/>
          <w:marBottom w:val="0"/>
          <w:divBdr>
            <w:top w:val="none" w:sz="0" w:space="0" w:color="auto"/>
            <w:left w:val="none" w:sz="0" w:space="0" w:color="auto"/>
            <w:bottom w:val="none" w:sz="0" w:space="0" w:color="auto"/>
            <w:right w:val="none" w:sz="0" w:space="0" w:color="auto"/>
          </w:divBdr>
        </w:div>
        <w:div w:id="2030328330">
          <w:marLeft w:val="0"/>
          <w:marRight w:val="0"/>
          <w:marTop w:val="0"/>
          <w:marBottom w:val="0"/>
          <w:divBdr>
            <w:top w:val="none" w:sz="0" w:space="0" w:color="auto"/>
            <w:left w:val="none" w:sz="0" w:space="0" w:color="auto"/>
            <w:bottom w:val="none" w:sz="0" w:space="0" w:color="auto"/>
            <w:right w:val="none" w:sz="0" w:space="0" w:color="auto"/>
          </w:divBdr>
        </w:div>
        <w:div w:id="1219828093">
          <w:marLeft w:val="0"/>
          <w:marRight w:val="0"/>
          <w:marTop w:val="0"/>
          <w:marBottom w:val="0"/>
          <w:divBdr>
            <w:top w:val="none" w:sz="0" w:space="0" w:color="auto"/>
            <w:left w:val="none" w:sz="0" w:space="0" w:color="auto"/>
            <w:bottom w:val="none" w:sz="0" w:space="0" w:color="auto"/>
            <w:right w:val="none" w:sz="0" w:space="0" w:color="auto"/>
          </w:divBdr>
        </w:div>
        <w:div w:id="1298223701">
          <w:marLeft w:val="0"/>
          <w:marRight w:val="0"/>
          <w:marTop w:val="0"/>
          <w:marBottom w:val="0"/>
          <w:divBdr>
            <w:top w:val="none" w:sz="0" w:space="0" w:color="auto"/>
            <w:left w:val="none" w:sz="0" w:space="0" w:color="auto"/>
            <w:bottom w:val="none" w:sz="0" w:space="0" w:color="auto"/>
            <w:right w:val="none" w:sz="0" w:space="0" w:color="auto"/>
          </w:divBdr>
        </w:div>
        <w:div w:id="483205921">
          <w:marLeft w:val="0"/>
          <w:marRight w:val="0"/>
          <w:marTop w:val="0"/>
          <w:marBottom w:val="0"/>
          <w:divBdr>
            <w:top w:val="none" w:sz="0" w:space="0" w:color="auto"/>
            <w:left w:val="none" w:sz="0" w:space="0" w:color="auto"/>
            <w:bottom w:val="none" w:sz="0" w:space="0" w:color="auto"/>
            <w:right w:val="none" w:sz="0" w:space="0" w:color="auto"/>
          </w:divBdr>
        </w:div>
        <w:div w:id="975986997">
          <w:marLeft w:val="0"/>
          <w:marRight w:val="0"/>
          <w:marTop w:val="0"/>
          <w:marBottom w:val="0"/>
          <w:divBdr>
            <w:top w:val="none" w:sz="0" w:space="0" w:color="auto"/>
            <w:left w:val="none" w:sz="0" w:space="0" w:color="auto"/>
            <w:bottom w:val="none" w:sz="0" w:space="0" w:color="auto"/>
            <w:right w:val="none" w:sz="0" w:space="0" w:color="auto"/>
          </w:divBdr>
        </w:div>
        <w:div w:id="1525552855">
          <w:marLeft w:val="0"/>
          <w:marRight w:val="0"/>
          <w:marTop w:val="0"/>
          <w:marBottom w:val="0"/>
          <w:divBdr>
            <w:top w:val="none" w:sz="0" w:space="0" w:color="auto"/>
            <w:left w:val="none" w:sz="0" w:space="0" w:color="auto"/>
            <w:bottom w:val="none" w:sz="0" w:space="0" w:color="auto"/>
            <w:right w:val="none" w:sz="0" w:space="0" w:color="auto"/>
          </w:divBdr>
        </w:div>
        <w:div w:id="1047871602">
          <w:marLeft w:val="0"/>
          <w:marRight w:val="0"/>
          <w:marTop w:val="0"/>
          <w:marBottom w:val="0"/>
          <w:divBdr>
            <w:top w:val="none" w:sz="0" w:space="0" w:color="auto"/>
            <w:left w:val="none" w:sz="0" w:space="0" w:color="auto"/>
            <w:bottom w:val="none" w:sz="0" w:space="0" w:color="auto"/>
            <w:right w:val="none" w:sz="0" w:space="0" w:color="auto"/>
          </w:divBdr>
        </w:div>
        <w:div w:id="1676107465">
          <w:marLeft w:val="0"/>
          <w:marRight w:val="0"/>
          <w:marTop w:val="0"/>
          <w:marBottom w:val="0"/>
          <w:divBdr>
            <w:top w:val="none" w:sz="0" w:space="0" w:color="auto"/>
            <w:left w:val="none" w:sz="0" w:space="0" w:color="auto"/>
            <w:bottom w:val="none" w:sz="0" w:space="0" w:color="auto"/>
            <w:right w:val="none" w:sz="0" w:space="0" w:color="auto"/>
          </w:divBdr>
        </w:div>
        <w:div w:id="1487893404">
          <w:marLeft w:val="0"/>
          <w:marRight w:val="0"/>
          <w:marTop w:val="0"/>
          <w:marBottom w:val="0"/>
          <w:divBdr>
            <w:top w:val="none" w:sz="0" w:space="0" w:color="auto"/>
            <w:left w:val="none" w:sz="0" w:space="0" w:color="auto"/>
            <w:bottom w:val="none" w:sz="0" w:space="0" w:color="auto"/>
            <w:right w:val="none" w:sz="0" w:space="0" w:color="auto"/>
          </w:divBdr>
        </w:div>
        <w:div w:id="1097558944">
          <w:marLeft w:val="0"/>
          <w:marRight w:val="0"/>
          <w:marTop w:val="0"/>
          <w:marBottom w:val="0"/>
          <w:divBdr>
            <w:top w:val="none" w:sz="0" w:space="0" w:color="auto"/>
            <w:left w:val="none" w:sz="0" w:space="0" w:color="auto"/>
            <w:bottom w:val="none" w:sz="0" w:space="0" w:color="auto"/>
            <w:right w:val="none" w:sz="0" w:space="0" w:color="auto"/>
          </w:divBdr>
        </w:div>
        <w:div w:id="2061243445">
          <w:marLeft w:val="0"/>
          <w:marRight w:val="0"/>
          <w:marTop w:val="0"/>
          <w:marBottom w:val="0"/>
          <w:divBdr>
            <w:top w:val="none" w:sz="0" w:space="0" w:color="auto"/>
            <w:left w:val="none" w:sz="0" w:space="0" w:color="auto"/>
            <w:bottom w:val="none" w:sz="0" w:space="0" w:color="auto"/>
            <w:right w:val="none" w:sz="0" w:space="0" w:color="auto"/>
          </w:divBdr>
        </w:div>
        <w:div w:id="983893936">
          <w:marLeft w:val="0"/>
          <w:marRight w:val="0"/>
          <w:marTop w:val="0"/>
          <w:marBottom w:val="0"/>
          <w:divBdr>
            <w:top w:val="none" w:sz="0" w:space="0" w:color="auto"/>
            <w:left w:val="none" w:sz="0" w:space="0" w:color="auto"/>
            <w:bottom w:val="none" w:sz="0" w:space="0" w:color="auto"/>
            <w:right w:val="none" w:sz="0" w:space="0" w:color="auto"/>
          </w:divBdr>
        </w:div>
        <w:div w:id="1788352914">
          <w:marLeft w:val="0"/>
          <w:marRight w:val="0"/>
          <w:marTop w:val="0"/>
          <w:marBottom w:val="0"/>
          <w:divBdr>
            <w:top w:val="none" w:sz="0" w:space="0" w:color="auto"/>
            <w:left w:val="none" w:sz="0" w:space="0" w:color="auto"/>
            <w:bottom w:val="none" w:sz="0" w:space="0" w:color="auto"/>
            <w:right w:val="none" w:sz="0" w:space="0" w:color="auto"/>
          </w:divBdr>
        </w:div>
        <w:div w:id="203059177">
          <w:marLeft w:val="0"/>
          <w:marRight w:val="0"/>
          <w:marTop w:val="0"/>
          <w:marBottom w:val="0"/>
          <w:divBdr>
            <w:top w:val="none" w:sz="0" w:space="0" w:color="auto"/>
            <w:left w:val="none" w:sz="0" w:space="0" w:color="auto"/>
            <w:bottom w:val="none" w:sz="0" w:space="0" w:color="auto"/>
            <w:right w:val="none" w:sz="0" w:space="0" w:color="auto"/>
          </w:divBdr>
        </w:div>
        <w:div w:id="2025594037">
          <w:marLeft w:val="0"/>
          <w:marRight w:val="0"/>
          <w:marTop w:val="0"/>
          <w:marBottom w:val="0"/>
          <w:divBdr>
            <w:top w:val="none" w:sz="0" w:space="0" w:color="auto"/>
            <w:left w:val="none" w:sz="0" w:space="0" w:color="auto"/>
            <w:bottom w:val="none" w:sz="0" w:space="0" w:color="auto"/>
            <w:right w:val="none" w:sz="0" w:space="0" w:color="auto"/>
          </w:divBdr>
        </w:div>
        <w:div w:id="1717655206">
          <w:marLeft w:val="0"/>
          <w:marRight w:val="0"/>
          <w:marTop w:val="0"/>
          <w:marBottom w:val="0"/>
          <w:divBdr>
            <w:top w:val="none" w:sz="0" w:space="0" w:color="auto"/>
            <w:left w:val="none" w:sz="0" w:space="0" w:color="auto"/>
            <w:bottom w:val="none" w:sz="0" w:space="0" w:color="auto"/>
            <w:right w:val="none" w:sz="0" w:space="0" w:color="auto"/>
          </w:divBdr>
        </w:div>
        <w:div w:id="872496869">
          <w:marLeft w:val="0"/>
          <w:marRight w:val="0"/>
          <w:marTop w:val="0"/>
          <w:marBottom w:val="0"/>
          <w:divBdr>
            <w:top w:val="none" w:sz="0" w:space="0" w:color="auto"/>
            <w:left w:val="none" w:sz="0" w:space="0" w:color="auto"/>
            <w:bottom w:val="none" w:sz="0" w:space="0" w:color="auto"/>
            <w:right w:val="none" w:sz="0" w:space="0" w:color="auto"/>
          </w:divBdr>
        </w:div>
        <w:div w:id="1646423015">
          <w:marLeft w:val="0"/>
          <w:marRight w:val="0"/>
          <w:marTop w:val="0"/>
          <w:marBottom w:val="0"/>
          <w:divBdr>
            <w:top w:val="none" w:sz="0" w:space="0" w:color="auto"/>
            <w:left w:val="none" w:sz="0" w:space="0" w:color="auto"/>
            <w:bottom w:val="none" w:sz="0" w:space="0" w:color="auto"/>
            <w:right w:val="none" w:sz="0" w:space="0" w:color="auto"/>
          </w:divBdr>
        </w:div>
        <w:div w:id="720832899">
          <w:marLeft w:val="0"/>
          <w:marRight w:val="0"/>
          <w:marTop w:val="0"/>
          <w:marBottom w:val="0"/>
          <w:divBdr>
            <w:top w:val="none" w:sz="0" w:space="0" w:color="auto"/>
            <w:left w:val="none" w:sz="0" w:space="0" w:color="auto"/>
            <w:bottom w:val="none" w:sz="0" w:space="0" w:color="auto"/>
            <w:right w:val="none" w:sz="0" w:space="0" w:color="auto"/>
          </w:divBdr>
        </w:div>
        <w:div w:id="1702244781">
          <w:marLeft w:val="0"/>
          <w:marRight w:val="0"/>
          <w:marTop w:val="0"/>
          <w:marBottom w:val="0"/>
          <w:divBdr>
            <w:top w:val="none" w:sz="0" w:space="0" w:color="auto"/>
            <w:left w:val="none" w:sz="0" w:space="0" w:color="auto"/>
            <w:bottom w:val="none" w:sz="0" w:space="0" w:color="auto"/>
            <w:right w:val="none" w:sz="0" w:space="0" w:color="auto"/>
          </w:divBdr>
        </w:div>
        <w:div w:id="1169760373">
          <w:marLeft w:val="0"/>
          <w:marRight w:val="0"/>
          <w:marTop w:val="0"/>
          <w:marBottom w:val="0"/>
          <w:divBdr>
            <w:top w:val="none" w:sz="0" w:space="0" w:color="auto"/>
            <w:left w:val="none" w:sz="0" w:space="0" w:color="auto"/>
            <w:bottom w:val="none" w:sz="0" w:space="0" w:color="auto"/>
            <w:right w:val="none" w:sz="0" w:space="0" w:color="auto"/>
          </w:divBdr>
        </w:div>
        <w:div w:id="693379935">
          <w:marLeft w:val="0"/>
          <w:marRight w:val="0"/>
          <w:marTop w:val="0"/>
          <w:marBottom w:val="0"/>
          <w:divBdr>
            <w:top w:val="none" w:sz="0" w:space="0" w:color="auto"/>
            <w:left w:val="none" w:sz="0" w:space="0" w:color="auto"/>
            <w:bottom w:val="none" w:sz="0" w:space="0" w:color="auto"/>
            <w:right w:val="none" w:sz="0" w:space="0" w:color="auto"/>
          </w:divBdr>
        </w:div>
        <w:div w:id="240678528">
          <w:marLeft w:val="0"/>
          <w:marRight w:val="0"/>
          <w:marTop w:val="0"/>
          <w:marBottom w:val="0"/>
          <w:divBdr>
            <w:top w:val="none" w:sz="0" w:space="0" w:color="auto"/>
            <w:left w:val="none" w:sz="0" w:space="0" w:color="auto"/>
            <w:bottom w:val="none" w:sz="0" w:space="0" w:color="auto"/>
            <w:right w:val="none" w:sz="0" w:space="0" w:color="auto"/>
          </w:divBdr>
        </w:div>
        <w:div w:id="1099327342">
          <w:marLeft w:val="0"/>
          <w:marRight w:val="0"/>
          <w:marTop w:val="0"/>
          <w:marBottom w:val="0"/>
          <w:divBdr>
            <w:top w:val="none" w:sz="0" w:space="0" w:color="auto"/>
            <w:left w:val="none" w:sz="0" w:space="0" w:color="auto"/>
            <w:bottom w:val="none" w:sz="0" w:space="0" w:color="auto"/>
            <w:right w:val="none" w:sz="0" w:space="0" w:color="auto"/>
          </w:divBdr>
        </w:div>
        <w:div w:id="287515572">
          <w:marLeft w:val="0"/>
          <w:marRight w:val="0"/>
          <w:marTop w:val="0"/>
          <w:marBottom w:val="0"/>
          <w:divBdr>
            <w:top w:val="none" w:sz="0" w:space="0" w:color="auto"/>
            <w:left w:val="none" w:sz="0" w:space="0" w:color="auto"/>
            <w:bottom w:val="none" w:sz="0" w:space="0" w:color="auto"/>
            <w:right w:val="none" w:sz="0" w:space="0" w:color="auto"/>
          </w:divBdr>
        </w:div>
        <w:div w:id="1189760896">
          <w:marLeft w:val="0"/>
          <w:marRight w:val="0"/>
          <w:marTop w:val="0"/>
          <w:marBottom w:val="0"/>
          <w:divBdr>
            <w:top w:val="none" w:sz="0" w:space="0" w:color="auto"/>
            <w:left w:val="none" w:sz="0" w:space="0" w:color="auto"/>
            <w:bottom w:val="none" w:sz="0" w:space="0" w:color="auto"/>
            <w:right w:val="none" w:sz="0" w:space="0" w:color="auto"/>
          </w:divBdr>
        </w:div>
        <w:div w:id="2097288171">
          <w:marLeft w:val="0"/>
          <w:marRight w:val="0"/>
          <w:marTop w:val="0"/>
          <w:marBottom w:val="0"/>
          <w:divBdr>
            <w:top w:val="none" w:sz="0" w:space="0" w:color="auto"/>
            <w:left w:val="none" w:sz="0" w:space="0" w:color="auto"/>
            <w:bottom w:val="none" w:sz="0" w:space="0" w:color="auto"/>
            <w:right w:val="none" w:sz="0" w:space="0" w:color="auto"/>
          </w:divBdr>
        </w:div>
        <w:div w:id="819035470">
          <w:marLeft w:val="0"/>
          <w:marRight w:val="0"/>
          <w:marTop w:val="0"/>
          <w:marBottom w:val="0"/>
          <w:divBdr>
            <w:top w:val="none" w:sz="0" w:space="0" w:color="auto"/>
            <w:left w:val="none" w:sz="0" w:space="0" w:color="auto"/>
            <w:bottom w:val="none" w:sz="0" w:space="0" w:color="auto"/>
            <w:right w:val="none" w:sz="0" w:space="0" w:color="auto"/>
          </w:divBdr>
        </w:div>
        <w:div w:id="1056513678">
          <w:marLeft w:val="0"/>
          <w:marRight w:val="0"/>
          <w:marTop w:val="0"/>
          <w:marBottom w:val="0"/>
          <w:divBdr>
            <w:top w:val="none" w:sz="0" w:space="0" w:color="auto"/>
            <w:left w:val="none" w:sz="0" w:space="0" w:color="auto"/>
            <w:bottom w:val="none" w:sz="0" w:space="0" w:color="auto"/>
            <w:right w:val="none" w:sz="0" w:space="0" w:color="auto"/>
          </w:divBdr>
        </w:div>
        <w:div w:id="986399070">
          <w:marLeft w:val="0"/>
          <w:marRight w:val="0"/>
          <w:marTop w:val="0"/>
          <w:marBottom w:val="0"/>
          <w:divBdr>
            <w:top w:val="none" w:sz="0" w:space="0" w:color="auto"/>
            <w:left w:val="none" w:sz="0" w:space="0" w:color="auto"/>
            <w:bottom w:val="none" w:sz="0" w:space="0" w:color="auto"/>
            <w:right w:val="none" w:sz="0" w:space="0" w:color="auto"/>
          </w:divBdr>
        </w:div>
        <w:div w:id="1530684620">
          <w:marLeft w:val="0"/>
          <w:marRight w:val="0"/>
          <w:marTop w:val="0"/>
          <w:marBottom w:val="0"/>
          <w:divBdr>
            <w:top w:val="none" w:sz="0" w:space="0" w:color="auto"/>
            <w:left w:val="none" w:sz="0" w:space="0" w:color="auto"/>
            <w:bottom w:val="none" w:sz="0" w:space="0" w:color="auto"/>
            <w:right w:val="none" w:sz="0" w:space="0" w:color="auto"/>
          </w:divBdr>
        </w:div>
        <w:div w:id="405148465">
          <w:marLeft w:val="0"/>
          <w:marRight w:val="0"/>
          <w:marTop w:val="0"/>
          <w:marBottom w:val="0"/>
          <w:divBdr>
            <w:top w:val="none" w:sz="0" w:space="0" w:color="auto"/>
            <w:left w:val="none" w:sz="0" w:space="0" w:color="auto"/>
            <w:bottom w:val="none" w:sz="0" w:space="0" w:color="auto"/>
            <w:right w:val="none" w:sz="0" w:space="0" w:color="auto"/>
          </w:divBdr>
        </w:div>
        <w:div w:id="1256746181">
          <w:marLeft w:val="0"/>
          <w:marRight w:val="0"/>
          <w:marTop w:val="0"/>
          <w:marBottom w:val="0"/>
          <w:divBdr>
            <w:top w:val="none" w:sz="0" w:space="0" w:color="auto"/>
            <w:left w:val="none" w:sz="0" w:space="0" w:color="auto"/>
            <w:bottom w:val="none" w:sz="0" w:space="0" w:color="auto"/>
            <w:right w:val="none" w:sz="0" w:space="0" w:color="auto"/>
          </w:divBdr>
        </w:div>
        <w:div w:id="1677149277">
          <w:marLeft w:val="0"/>
          <w:marRight w:val="0"/>
          <w:marTop w:val="0"/>
          <w:marBottom w:val="0"/>
          <w:divBdr>
            <w:top w:val="none" w:sz="0" w:space="0" w:color="auto"/>
            <w:left w:val="none" w:sz="0" w:space="0" w:color="auto"/>
            <w:bottom w:val="none" w:sz="0" w:space="0" w:color="auto"/>
            <w:right w:val="none" w:sz="0" w:space="0" w:color="auto"/>
          </w:divBdr>
        </w:div>
        <w:div w:id="761754350">
          <w:marLeft w:val="0"/>
          <w:marRight w:val="0"/>
          <w:marTop w:val="0"/>
          <w:marBottom w:val="0"/>
          <w:divBdr>
            <w:top w:val="none" w:sz="0" w:space="0" w:color="auto"/>
            <w:left w:val="none" w:sz="0" w:space="0" w:color="auto"/>
            <w:bottom w:val="none" w:sz="0" w:space="0" w:color="auto"/>
            <w:right w:val="none" w:sz="0" w:space="0" w:color="auto"/>
          </w:divBdr>
        </w:div>
        <w:div w:id="899635699">
          <w:marLeft w:val="0"/>
          <w:marRight w:val="0"/>
          <w:marTop w:val="0"/>
          <w:marBottom w:val="0"/>
          <w:divBdr>
            <w:top w:val="none" w:sz="0" w:space="0" w:color="auto"/>
            <w:left w:val="none" w:sz="0" w:space="0" w:color="auto"/>
            <w:bottom w:val="none" w:sz="0" w:space="0" w:color="auto"/>
            <w:right w:val="none" w:sz="0" w:space="0" w:color="auto"/>
          </w:divBdr>
        </w:div>
        <w:div w:id="1602565460">
          <w:marLeft w:val="0"/>
          <w:marRight w:val="0"/>
          <w:marTop w:val="0"/>
          <w:marBottom w:val="0"/>
          <w:divBdr>
            <w:top w:val="none" w:sz="0" w:space="0" w:color="auto"/>
            <w:left w:val="none" w:sz="0" w:space="0" w:color="auto"/>
            <w:bottom w:val="none" w:sz="0" w:space="0" w:color="auto"/>
            <w:right w:val="none" w:sz="0" w:space="0" w:color="auto"/>
          </w:divBdr>
        </w:div>
        <w:div w:id="1630669386">
          <w:marLeft w:val="0"/>
          <w:marRight w:val="0"/>
          <w:marTop w:val="0"/>
          <w:marBottom w:val="0"/>
          <w:divBdr>
            <w:top w:val="none" w:sz="0" w:space="0" w:color="auto"/>
            <w:left w:val="none" w:sz="0" w:space="0" w:color="auto"/>
            <w:bottom w:val="none" w:sz="0" w:space="0" w:color="auto"/>
            <w:right w:val="none" w:sz="0" w:space="0" w:color="auto"/>
          </w:divBdr>
        </w:div>
        <w:div w:id="858667590">
          <w:marLeft w:val="0"/>
          <w:marRight w:val="0"/>
          <w:marTop w:val="0"/>
          <w:marBottom w:val="0"/>
          <w:divBdr>
            <w:top w:val="none" w:sz="0" w:space="0" w:color="auto"/>
            <w:left w:val="none" w:sz="0" w:space="0" w:color="auto"/>
            <w:bottom w:val="none" w:sz="0" w:space="0" w:color="auto"/>
            <w:right w:val="none" w:sz="0" w:space="0" w:color="auto"/>
          </w:divBdr>
        </w:div>
        <w:div w:id="642580602">
          <w:marLeft w:val="0"/>
          <w:marRight w:val="0"/>
          <w:marTop w:val="0"/>
          <w:marBottom w:val="0"/>
          <w:divBdr>
            <w:top w:val="none" w:sz="0" w:space="0" w:color="auto"/>
            <w:left w:val="none" w:sz="0" w:space="0" w:color="auto"/>
            <w:bottom w:val="none" w:sz="0" w:space="0" w:color="auto"/>
            <w:right w:val="none" w:sz="0" w:space="0" w:color="auto"/>
          </w:divBdr>
        </w:div>
        <w:div w:id="1472551570">
          <w:marLeft w:val="0"/>
          <w:marRight w:val="0"/>
          <w:marTop w:val="0"/>
          <w:marBottom w:val="0"/>
          <w:divBdr>
            <w:top w:val="none" w:sz="0" w:space="0" w:color="auto"/>
            <w:left w:val="none" w:sz="0" w:space="0" w:color="auto"/>
            <w:bottom w:val="none" w:sz="0" w:space="0" w:color="auto"/>
            <w:right w:val="none" w:sz="0" w:space="0" w:color="auto"/>
          </w:divBdr>
        </w:div>
        <w:div w:id="806313706">
          <w:marLeft w:val="0"/>
          <w:marRight w:val="0"/>
          <w:marTop w:val="0"/>
          <w:marBottom w:val="0"/>
          <w:divBdr>
            <w:top w:val="none" w:sz="0" w:space="0" w:color="auto"/>
            <w:left w:val="none" w:sz="0" w:space="0" w:color="auto"/>
            <w:bottom w:val="none" w:sz="0" w:space="0" w:color="auto"/>
            <w:right w:val="none" w:sz="0" w:space="0" w:color="auto"/>
          </w:divBdr>
        </w:div>
        <w:div w:id="1404183292">
          <w:marLeft w:val="0"/>
          <w:marRight w:val="0"/>
          <w:marTop w:val="0"/>
          <w:marBottom w:val="0"/>
          <w:divBdr>
            <w:top w:val="none" w:sz="0" w:space="0" w:color="auto"/>
            <w:left w:val="none" w:sz="0" w:space="0" w:color="auto"/>
            <w:bottom w:val="none" w:sz="0" w:space="0" w:color="auto"/>
            <w:right w:val="none" w:sz="0" w:space="0" w:color="auto"/>
          </w:divBdr>
        </w:div>
        <w:div w:id="994064221">
          <w:marLeft w:val="0"/>
          <w:marRight w:val="0"/>
          <w:marTop w:val="0"/>
          <w:marBottom w:val="0"/>
          <w:divBdr>
            <w:top w:val="none" w:sz="0" w:space="0" w:color="auto"/>
            <w:left w:val="none" w:sz="0" w:space="0" w:color="auto"/>
            <w:bottom w:val="none" w:sz="0" w:space="0" w:color="auto"/>
            <w:right w:val="none" w:sz="0" w:space="0" w:color="auto"/>
          </w:divBdr>
        </w:div>
        <w:div w:id="367802907">
          <w:marLeft w:val="0"/>
          <w:marRight w:val="0"/>
          <w:marTop w:val="0"/>
          <w:marBottom w:val="0"/>
          <w:divBdr>
            <w:top w:val="none" w:sz="0" w:space="0" w:color="auto"/>
            <w:left w:val="none" w:sz="0" w:space="0" w:color="auto"/>
            <w:bottom w:val="none" w:sz="0" w:space="0" w:color="auto"/>
            <w:right w:val="none" w:sz="0" w:space="0" w:color="auto"/>
          </w:divBdr>
        </w:div>
        <w:div w:id="960379550">
          <w:marLeft w:val="0"/>
          <w:marRight w:val="0"/>
          <w:marTop w:val="0"/>
          <w:marBottom w:val="0"/>
          <w:divBdr>
            <w:top w:val="none" w:sz="0" w:space="0" w:color="auto"/>
            <w:left w:val="none" w:sz="0" w:space="0" w:color="auto"/>
            <w:bottom w:val="none" w:sz="0" w:space="0" w:color="auto"/>
            <w:right w:val="none" w:sz="0" w:space="0" w:color="auto"/>
          </w:divBdr>
        </w:div>
        <w:div w:id="1693535462">
          <w:marLeft w:val="0"/>
          <w:marRight w:val="0"/>
          <w:marTop w:val="0"/>
          <w:marBottom w:val="0"/>
          <w:divBdr>
            <w:top w:val="none" w:sz="0" w:space="0" w:color="auto"/>
            <w:left w:val="none" w:sz="0" w:space="0" w:color="auto"/>
            <w:bottom w:val="none" w:sz="0" w:space="0" w:color="auto"/>
            <w:right w:val="none" w:sz="0" w:space="0" w:color="auto"/>
          </w:divBdr>
        </w:div>
        <w:div w:id="586694872">
          <w:marLeft w:val="0"/>
          <w:marRight w:val="0"/>
          <w:marTop w:val="0"/>
          <w:marBottom w:val="0"/>
          <w:divBdr>
            <w:top w:val="none" w:sz="0" w:space="0" w:color="auto"/>
            <w:left w:val="none" w:sz="0" w:space="0" w:color="auto"/>
            <w:bottom w:val="none" w:sz="0" w:space="0" w:color="auto"/>
            <w:right w:val="none" w:sz="0" w:space="0" w:color="auto"/>
          </w:divBdr>
        </w:div>
        <w:div w:id="699086045">
          <w:marLeft w:val="0"/>
          <w:marRight w:val="0"/>
          <w:marTop w:val="0"/>
          <w:marBottom w:val="0"/>
          <w:divBdr>
            <w:top w:val="none" w:sz="0" w:space="0" w:color="auto"/>
            <w:left w:val="none" w:sz="0" w:space="0" w:color="auto"/>
            <w:bottom w:val="none" w:sz="0" w:space="0" w:color="auto"/>
            <w:right w:val="none" w:sz="0" w:space="0" w:color="auto"/>
          </w:divBdr>
        </w:div>
        <w:div w:id="666517362">
          <w:marLeft w:val="0"/>
          <w:marRight w:val="0"/>
          <w:marTop w:val="0"/>
          <w:marBottom w:val="0"/>
          <w:divBdr>
            <w:top w:val="none" w:sz="0" w:space="0" w:color="auto"/>
            <w:left w:val="none" w:sz="0" w:space="0" w:color="auto"/>
            <w:bottom w:val="none" w:sz="0" w:space="0" w:color="auto"/>
            <w:right w:val="none" w:sz="0" w:space="0" w:color="auto"/>
          </w:divBdr>
        </w:div>
        <w:div w:id="39211847">
          <w:marLeft w:val="0"/>
          <w:marRight w:val="0"/>
          <w:marTop w:val="0"/>
          <w:marBottom w:val="0"/>
          <w:divBdr>
            <w:top w:val="none" w:sz="0" w:space="0" w:color="auto"/>
            <w:left w:val="none" w:sz="0" w:space="0" w:color="auto"/>
            <w:bottom w:val="none" w:sz="0" w:space="0" w:color="auto"/>
            <w:right w:val="none" w:sz="0" w:space="0" w:color="auto"/>
          </w:divBdr>
        </w:div>
        <w:div w:id="1636716488">
          <w:marLeft w:val="0"/>
          <w:marRight w:val="0"/>
          <w:marTop w:val="0"/>
          <w:marBottom w:val="0"/>
          <w:divBdr>
            <w:top w:val="none" w:sz="0" w:space="0" w:color="auto"/>
            <w:left w:val="none" w:sz="0" w:space="0" w:color="auto"/>
            <w:bottom w:val="none" w:sz="0" w:space="0" w:color="auto"/>
            <w:right w:val="none" w:sz="0" w:space="0" w:color="auto"/>
          </w:divBdr>
        </w:div>
        <w:div w:id="1462648917">
          <w:marLeft w:val="0"/>
          <w:marRight w:val="0"/>
          <w:marTop w:val="0"/>
          <w:marBottom w:val="0"/>
          <w:divBdr>
            <w:top w:val="none" w:sz="0" w:space="0" w:color="auto"/>
            <w:left w:val="none" w:sz="0" w:space="0" w:color="auto"/>
            <w:bottom w:val="none" w:sz="0" w:space="0" w:color="auto"/>
            <w:right w:val="none" w:sz="0" w:space="0" w:color="auto"/>
          </w:divBdr>
        </w:div>
        <w:div w:id="417752400">
          <w:marLeft w:val="0"/>
          <w:marRight w:val="0"/>
          <w:marTop w:val="0"/>
          <w:marBottom w:val="0"/>
          <w:divBdr>
            <w:top w:val="none" w:sz="0" w:space="0" w:color="auto"/>
            <w:left w:val="none" w:sz="0" w:space="0" w:color="auto"/>
            <w:bottom w:val="none" w:sz="0" w:space="0" w:color="auto"/>
            <w:right w:val="none" w:sz="0" w:space="0" w:color="auto"/>
          </w:divBdr>
        </w:div>
        <w:div w:id="1702435918">
          <w:marLeft w:val="0"/>
          <w:marRight w:val="0"/>
          <w:marTop w:val="0"/>
          <w:marBottom w:val="0"/>
          <w:divBdr>
            <w:top w:val="none" w:sz="0" w:space="0" w:color="auto"/>
            <w:left w:val="none" w:sz="0" w:space="0" w:color="auto"/>
            <w:bottom w:val="none" w:sz="0" w:space="0" w:color="auto"/>
            <w:right w:val="none" w:sz="0" w:space="0" w:color="auto"/>
          </w:divBdr>
        </w:div>
        <w:div w:id="1957176629">
          <w:marLeft w:val="0"/>
          <w:marRight w:val="0"/>
          <w:marTop w:val="0"/>
          <w:marBottom w:val="0"/>
          <w:divBdr>
            <w:top w:val="none" w:sz="0" w:space="0" w:color="auto"/>
            <w:left w:val="none" w:sz="0" w:space="0" w:color="auto"/>
            <w:bottom w:val="none" w:sz="0" w:space="0" w:color="auto"/>
            <w:right w:val="none" w:sz="0" w:space="0" w:color="auto"/>
          </w:divBdr>
        </w:div>
        <w:div w:id="1708682299">
          <w:marLeft w:val="0"/>
          <w:marRight w:val="0"/>
          <w:marTop w:val="0"/>
          <w:marBottom w:val="0"/>
          <w:divBdr>
            <w:top w:val="none" w:sz="0" w:space="0" w:color="auto"/>
            <w:left w:val="none" w:sz="0" w:space="0" w:color="auto"/>
            <w:bottom w:val="none" w:sz="0" w:space="0" w:color="auto"/>
            <w:right w:val="none" w:sz="0" w:space="0" w:color="auto"/>
          </w:divBdr>
        </w:div>
        <w:div w:id="1091511776">
          <w:marLeft w:val="0"/>
          <w:marRight w:val="0"/>
          <w:marTop w:val="0"/>
          <w:marBottom w:val="0"/>
          <w:divBdr>
            <w:top w:val="none" w:sz="0" w:space="0" w:color="auto"/>
            <w:left w:val="none" w:sz="0" w:space="0" w:color="auto"/>
            <w:bottom w:val="none" w:sz="0" w:space="0" w:color="auto"/>
            <w:right w:val="none" w:sz="0" w:space="0" w:color="auto"/>
          </w:divBdr>
        </w:div>
        <w:div w:id="280653267">
          <w:marLeft w:val="0"/>
          <w:marRight w:val="0"/>
          <w:marTop w:val="0"/>
          <w:marBottom w:val="0"/>
          <w:divBdr>
            <w:top w:val="none" w:sz="0" w:space="0" w:color="auto"/>
            <w:left w:val="none" w:sz="0" w:space="0" w:color="auto"/>
            <w:bottom w:val="none" w:sz="0" w:space="0" w:color="auto"/>
            <w:right w:val="none" w:sz="0" w:space="0" w:color="auto"/>
          </w:divBdr>
        </w:div>
        <w:div w:id="1783110715">
          <w:marLeft w:val="0"/>
          <w:marRight w:val="0"/>
          <w:marTop w:val="0"/>
          <w:marBottom w:val="0"/>
          <w:divBdr>
            <w:top w:val="none" w:sz="0" w:space="0" w:color="auto"/>
            <w:left w:val="none" w:sz="0" w:space="0" w:color="auto"/>
            <w:bottom w:val="none" w:sz="0" w:space="0" w:color="auto"/>
            <w:right w:val="none" w:sz="0" w:space="0" w:color="auto"/>
          </w:divBdr>
        </w:div>
        <w:div w:id="25715518">
          <w:marLeft w:val="0"/>
          <w:marRight w:val="0"/>
          <w:marTop w:val="0"/>
          <w:marBottom w:val="0"/>
          <w:divBdr>
            <w:top w:val="none" w:sz="0" w:space="0" w:color="auto"/>
            <w:left w:val="none" w:sz="0" w:space="0" w:color="auto"/>
            <w:bottom w:val="none" w:sz="0" w:space="0" w:color="auto"/>
            <w:right w:val="none" w:sz="0" w:space="0" w:color="auto"/>
          </w:divBdr>
        </w:div>
        <w:div w:id="1472595668">
          <w:marLeft w:val="0"/>
          <w:marRight w:val="0"/>
          <w:marTop w:val="0"/>
          <w:marBottom w:val="0"/>
          <w:divBdr>
            <w:top w:val="none" w:sz="0" w:space="0" w:color="auto"/>
            <w:left w:val="none" w:sz="0" w:space="0" w:color="auto"/>
            <w:bottom w:val="none" w:sz="0" w:space="0" w:color="auto"/>
            <w:right w:val="none" w:sz="0" w:space="0" w:color="auto"/>
          </w:divBdr>
        </w:div>
        <w:div w:id="2140875564">
          <w:marLeft w:val="0"/>
          <w:marRight w:val="0"/>
          <w:marTop w:val="0"/>
          <w:marBottom w:val="0"/>
          <w:divBdr>
            <w:top w:val="none" w:sz="0" w:space="0" w:color="auto"/>
            <w:left w:val="none" w:sz="0" w:space="0" w:color="auto"/>
            <w:bottom w:val="none" w:sz="0" w:space="0" w:color="auto"/>
            <w:right w:val="none" w:sz="0" w:space="0" w:color="auto"/>
          </w:divBdr>
        </w:div>
        <w:div w:id="1029720640">
          <w:marLeft w:val="0"/>
          <w:marRight w:val="0"/>
          <w:marTop w:val="0"/>
          <w:marBottom w:val="0"/>
          <w:divBdr>
            <w:top w:val="none" w:sz="0" w:space="0" w:color="auto"/>
            <w:left w:val="none" w:sz="0" w:space="0" w:color="auto"/>
            <w:bottom w:val="none" w:sz="0" w:space="0" w:color="auto"/>
            <w:right w:val="none" w:sz="0" w:space="0" w:color="auto"/>
          </w:divBdr>
        </w:div>
        <w:div w:id="220137496">
          <w:marLeft w:val="0"/>
          <w:marRight w:val="0"/>
          <w:marTop w:val="0"/>
          <w:marBottom w:val="0"/>
          <w:divBdr>
            <w:top w:val="none" w:sz="0" w:space="0" w:color="auto"/>
            <w:left w:val="none" w:sz="0" w:space="0" w:color="auto"/>
            <w:bottom w:val="none" w:sz="0" w:space="0" w:color="auto"/>
            <w:right w:val="none" w:sz="0" w:space="0" w:color="auto"/>
          </w:divBdr>
        </w:div>
        <w:div w:id="2019501519">
          <w:marLeft w:val="0"/>
          <w:marRight w:val="0"/>
          <w:marTop w:val="0"/>
          <w:marBottom w:val="0"/>
          <w:divBdr>
            <w:top w:val="none" w:sz="0" w:space="0" w:color="auto"/>
            <w:left w:val="none" w:sz="0" w:space="0" w:color="auto"/>
            <w:bottom w:val="none" w:sz="0" w:space="0" w:color="auto"/>
            <w:right w:val="none" w:sz="0" w:space="0" w:color="auto"/>
          </w:divBdr>
        </w:div>
        <w:div w:id="58942789">
          <w:marLeft w:val="0"/>
          <w:marRight w:val="0"/>
          <w:marTop w:val="0"/>
          <w:marBottom w:val="0"/>
          <w:divBdr>
            <w:top w:val="none" w:sz="0" w:space="0" w:color="auto"/>
            <w:left w:val="none" w:sz="0" w:space="0" w:color="auto"/>
            <w:bottom w:val="none" w:sz="0" w:space="0" w:color="auto"/>
            <w:right w:val="none" w:sz="0" w:space="0" w:color="auto"/>
          </w:divBdr>
        </w:div>
        <w:div w:id="682629342">
          <w:marLeft w:val="0"/>
          <w:marRight w:val="0"/>
          <w:marTop w:val="0"/>
          <w:marBottom w:val="0"/>
          <w:divBdr>
            <w:top w:val="none" w:sz="0" w:space="0" w:color="auto"/>
            <w:left w:val="none" w:sz="0" w:space="0" w:color="auto"/>
            <w:bottom w:val="none" w:sz="0" w:space="0" w:color="auto"/>
            <w:right w:val="none" w:sz="0" w:space="0" w:color="auto"/>
          </w:divBdr>
        </w:div>
        <w:div w:id="467861935">
          <w:marLeft w:val="0"/>
          <w:marRight w:val="0"/>
          <w:marTop w:val="0"/>
          <w:marBottom w:val="0"/>
          <w:divBdr>
            <w:top w:val="none" w:sz="0" w:space="0" w:color="auto"/>
            <w:left w:val="none" w:sz="0" w:space="0" w:color="auto"/>
            <w:bottom w:val="none" w:sz="0" w:space="0" w:color="auto"/>
            <w:right w:val="none" w:sz="0" w:space="0" w:color="auto"/>
          </w:divBdr>
        </w:div>
        <w:div w:id="821896989">
          <w:marLeft w:val="0"/>
          <w:marRight w:val="0"/>
          <w:marTop w:val="0"/>
          <w:marBottom w:val="0"/>
          <w:divBdr>
            <w:top w:val="none" w:sz="0" w:space="0" w:color="auto"/>
            <w:left w:val="none" w:sz="0" w:space="0" w:color="auto"/>
            <w:bottom w:val="none" w:sz="0" w:space="0" w:color="auto"/>
            <w:right w:val="none" w:sz="0" w:space="0" w:color="auto"/>
          </w:divBdr>
        </w:div>
        <w:div w:id="476918905">
          <w:marLeft w:val="0"/>
          <w:marRight w:val="0"/>
          <w:marTop w:val="0"/>
          <w:marBottom w:val="0"/>
          <w:divBdr>
            <w:top w:val="none" w:sz="0" w:space="0" w:color="auto"/>
            <w:left w:val="none" w:sz="0" w:space="0" w:color="auto"/>
            <w:bottom w:val="none" w:sz="0" w:space="0" w:color="auto"/>
            <w:right w:val="none" w:sz="0" w:space="0" w:color="auto"/>
          </w:divBdr>
        </w:div>
        <w:div w:id="322979044">
          <w:marLeft w:val="0"/>
          <w:marRight w:val="0"/>
          <w:marTop w:val="0"/>
          <w:marBottom w:val="0"/>
          <w:divBdr>
            <w:top w:val="none" w:sz="0" w:space="0" w:color="auto"/>
            <w:left w:val="none" w:sz="0" w:space="0" w:color="auto"/>
            <w:bottom w:val="none" w:sz="0" w:space="0" w:color="auto"/>
            <w:right w:val="none" w:sz="0" w:space="0" w:color="auto"/>
          </w:divBdr>
        </w:div>
        <w:div w:id="2033265521">
          <w:marLeft w:val="0"/>
          <w:marRight w:val="0"/>
          <w:marTop w:val="0"/>
          <w:marBottom w:val="0"/>
          <w:divBdr>
            <w:top w:val="none" w:sz="0" w:space="0" w:color="auto"/>
            <w:left w:val="none" w:sz="0" w:space="0" w:color="auto"/>
            <w:bottom w:val="none" w:sz="0" w:space="0" w:color="auto"/>
            <w:right w:val="none" w:sz="0" w:space="0" w:color="auto"/>
          </w:divBdr>
        </w:div>
        <w:div w:id="349842406">
          <w:marLeft w:val="0"/>
          <w:marRight w:val="0"/>
          <w:marTop w:val="0"/>
          <w:marBottom w:val="0"/>
          <w:divBdr>
            <w:top w:val="none" w:sz="0" w:space="0" w:color="auto"/>
            <w:left w:val="none" w:sz="0" w:space="0" w:color="auto"/>
            <w:bottom w:val="none" w:sz="0" w:space="0" w:color="auto"/>
            <w:right w:val="none" w:sz="0" w:space="0" w:color="auto"/>
          </w:divBdr>
        </w:div>
        <w:div w:id="451631581">
          <w:marLeft w:val="0"/>
          <w:marRight w:val="0"/>
          <w:marTop w:val="0"/>
          <w:marBottom w:val="0"/>
          <w:divBdr>
            <w:top w:val="none" w:sz="0" w:space="0" w:color="auto"/>
            <w:left w:val="none" w:sz="0" w:space="0" w:color="auto"/>
            <w:bottom w:val="none" w:sz="0" w:space="0" w:color="auto"/>
            <w:right w:val="none" w:sz="0" w:space="0" w:color="auto"/>
          </w:divBdr>
        </w:div>
        <w:div w:id="66148335">
          <w:marLeft w:val="0"/>
          <w:marRight w:val="0"/>
          <w:marTop w:val="0"/>
          <w:marBottom w:val="0"/>
          <w:divBdr>
            <w:top w:val="none" w:sz="0" w:space="0" w:color="auto"/>
            <w:left w:val="none" w:sz="0" w:space="0" w:color="auto"/>
            <w:bottom w:val="none" w:sz="0" w:space="0" w:color="auto"/>
            <w:right w:val="none" w:sz="0" w:space="0" w:color="auto"/>
          </w:divBdr>
        </w:div>
        <w:div w:id="348021810">
          <w:marLeft w:val="0"/>
          <w:marRight w:val="0"/>
          <w:marTop w:val="0"/>
          <w:marBottom w:val="0"/>
          <w:divBdr>
            <w:top w:val="none" w:sz="0" w:space="0" w:color="auto"/>
            <w:left w:val="none" w:sz="0" w:space="0" w:color="auto"/>
            <w:bottom w:val="none" w:sz="0" w:space="0" w:color="auto"/>
            <w:right w:val="none" w:sz="0" w:space="0" w:color="auto"/>
          </w:divBdr>
        </w:div>
        <w:div w:id="1693409373">
          <w:marLeft w:val="0"/>
          <w:marRight w:val="0"/>
          <w:marTop w:val="0"/>
          <w:marBottom w:val="0"/>
          <w:divBdr>
            <w:top w:val="none" w:sz="0" w:space="0" w:color="auto"/>
            <w:left w:val="none" w:sz="0" w:space="0" w:color="auto"/>
            <w:bottom w:val="none" w:sz="0" w:space="0" w:color="auto"/>
            <w:right w:val="none" w:sz="0" w:space="0" w:color="auto"/>
          </w:divBdr>
        </w:div>
        <w:div w:id="1799638004">
          <w:marLeft w:val="0"/>
          <w:marRight w:val="0"/>
          <w:marTop w:val="0"/>
          <w:marBottom w:val="0"/>
          <w:divBdr>
            <w:top w:val="none" w:sz="0" w:space="0" w:color="auto"/>
            <w:left w:val="none" w:sz="0" w:space="0" w:color="auto"/>
            <w:bottom w:val="none" w:sz="0" w:space="0" w:color="auto"/>
            <w:right w:val="none" w:sz="0" w:space="0" w:color="auto"/>
          </w:divBdr>
        </w:div>
        <w:div w:id="1635327299">
          <w:marLeft w:val="0"/>
          <w:marRight w:val="0"/>
          <w:marTop w:val="0"/>
          <w:marBottom w:val="0"/>
          <w:divBdr>
            <w:top w:val="none" w:sz="0" w:space="0" w:color="auto"/>
            <w:left w:val="none" w:sz="0" w:space="0" w:color="auto"/>
            <w:bottom w:val="none" w:sz="0" w:space="0" w:color="auto"/>
            <w:right w:val="none" w:sz="0" w:space="0" w:color="auto"/>
          </w:divBdr>
        </w:div>
        <w:div w:id="376583788">
          <w:marLeft w:val="0"/>
          <w:marRight w:val="0"/>
          <w:marTop w:val="0"/>
          <w:marBottom w:val="0"/>
          <w:divBdr>
            <w:top w:val="none" w:sz="0" w:space="0" w:color="auto"/>
            <w:left w:val="none" w:sz="0" w:space="0" w:color="auto"/>
            <w:bottom w:val="none" w:sz="0" w:space="0" w:color="auto"/>
            <w:right w:val="none" w:sz="0" w:space="0" w:color="auto"/>
          </w:divBdr>
        </w:div>
        <w:div w:id="1978758129">
          <w:marLeft w:val="0"/>
          <w:marRight w:val="0"/>
          <w:marTop w:val="0"/>
          <w:marBottom w:val="0"/>
          <w:divBdr>
            <w:top w:val="none" w:sz="0" w:space="0" w:color="auto"/>
            <w:left w:val="none" w:sz="0" w:space="0" w:color="auto"/>
            <w:bottom w:val="none" w:sz="0" w:space="0" w:color="auto"/>
            <w:right w:val="none" w:sz="0" w:space="0" w:color="auto"/>
          </w:divBdr>
        </w:div>
        <w:div w:id="256208992">
          <w:marLeft w:val="0"/>
          <w:marRight w:val="0"/>
          <w:marTop w:val="0"/>
          <w:marBottom w:val="0"/>
          <w:divBdr>
            <w:top w:val="none" w:sz="0" w:space="0" w:color="auto"/>
            <w:left w:val="none" w:sz="0" w:space="0" w:color="auto"/>
            <w:bottom w:val="none" w:sz="0" w:space="0" w:color="auto"/>
            <w:right w:val="none" w:sz="0" w:space="0" w:color="auto"/>
          </w:divBdr>
        </w:div>
        <w:div w:id="86023903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limatechoices.act.gov.au/__data/assets/pdf_file/0003/3102699/ACT-Climate-Change-Strategy-2026-36-Overarching-Framework.pdf" TargetMode="External"/><Relationship Id="rId2" Type="http://schemas.openxmlformats.org/officeDocument/2006/relationships/hyperlink" Target="https://actcoss.org.au/publication/energy-hardship-factsheet/" TargetMode="External"/><Relationship Id="rId1" Type="http://schemas.openxmlformats.org/officeDocument/2006/relationships/hyperlink" Target="https://actcoss.org.au/publication/factsheet-poverty-inequality-in-the-act/" TargetMode="External"/><Relationship Id="rId4" Type="http://schemas.openxmlformats.org/officeDocument/2006/relationships/hyperlink" Target="https://www.climatechoices.act.gov.au/__data/assets/pdf_file/0006/2509458/integrated-energy-plan-2024-20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4FEB93B0D38B3BDFE05400144FFB2061" version="1.0.0">
  <systemFields>
    <field name="Objective-Id">
      <value order="0">A68133770</value>
    </field>
    <field name="Objective-Title">
      <value order="0">RIS - Energy Efficiency (Cost of Living) Improvement (Priority Household Target) Determination 2026</value>
    </field>
    <field name="Objective-Description">
      <value order="0"/>
    </field>
    <field name="Objective-CreationStamp">
      <value order="0">2026-09-28T06:47:38Z</value>
    </field>
    <field name="Objective-IsApproved">
      <value order="0">false</value>
    </field>
    <field name="Objective-IsPublished">
      <value order="0">false</value>
    </field>
    <field name="Objective-DatePublished">
      <value order="0"/>
    </field>
    <field name="Objective-ModificationStamp">
      <value order="0">2026-09-28T06:55:27Z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law:2026:01. Disallowable Instruments:DI2026-209 - Energy Efficiency (Cost of Living) Improvement (Priority Household Target) Determination 2026</value>
    </field>
    <field name="Objective-Parent">
      <value order="0">DI2026-209 - Energy Efficiency (Cost of Living) Improvement (Priority Household Target) Determination 2026</value>
    </field>
    <field name="Objective-State">
      <value order="0">Being Edited</value>
    </field>
    <field name="Objective-VersionId">
      <value order="0">vA85405837</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31C10FA2-0089-4440-8C7D-C9591D227B16}">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2361</Words>
  <Characters>13155</Characters>
  <Application>Microsoft Office Word</Application>
  <DocSecurity>0</DocSecurity>
  <Lines>230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cp:lastModifiedBy>PCODCS</cp:lastModifiedBy>
  <cp:revision>4</cp:revision>
  <dcterms:created xsi:type="dcterms:W3CDTF">2026-09-29T05:26:00Z</dcterms:created>
  <dcterms:modified xsi:type="dcterms:W3CDTF">2026-09-29T05:26:00Z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MSIP_Label_69af8531-eb46-4968-8cb3-105d2f5ea87e_Enabled">
    <vt:lpwstr>true</vt:lpwstr>
  </property>
  <property fmtid="{D5CDD505-2E9C-101B-9397-08002B2CF9AE}" pid="5" name="MSIP_Label_69af8531-eb46-4968-8cb3-105d2f5ea87e_SetDate">
    <vt:lpwstr>2024-05-14T00:13:26Z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002d7e6a-c598-4c55-baf7-049832f40184</vt:lpwstr>
  </property>
  <property fmtid="{D5CDD505-2E9C-101B-9397-08002B2CF9AE}" pid="10" name="MSIP_Label_69af8531-eb46-4968-8cb3-105d2f5ea87e_ContentBits">
    <vt:lpwstr>0</vt:lpwstr>
  </property>
  <property fmtid="{D5CDD505-2E9C-101B-9397-08002B2CF9AE}" pid="11" name="CHECKEDOUTFROMJMS">
    <vt:lpwstr/>
  </property>
  <property fmtid="{D5CDD505-2E9C-101B-9397-08002B2CF9AE}" pid="12" name="DMSID">
    <vt:lpwstr>15994813</vt:lpwstr>
  </property>
  <property fmtid="{D5CDD505-2E9C-101B-9397-08002B2CF9AE}" pid="13" name="JMSREQUIREDCHECKIN">
    <vt:lpwstr/>
  </property>
  <property fmtid="{D5CDD505-2E9C-101B-9397-08002B2CF9AE}" pid="14" name="Customer-Id">
    <vt:lpwstr>4FEB93B0D38B3BDFE05400144FFB2061</vt:lpwstr>
  </property>
  <property fmtid="{D5CDD505-2E9C-101B-9397-08002B2CF9AE}" pid="15" name="Objective-Id">
    <vt:lpwstr>A68133770</vt:lpwstr>
  </property>
  <property fmtid="{D5CDD505-2E9C-101B-9397-08002B2CF9AE}" pid="16" name="Objective-Title">
    <vt:lpwstr>RIS - Energy Efficiency (Cost of Living) Improvement (Priority Household Target) Determination 2026</vt:lpwstr>
  </property>
  <property fmtid="{D5CDD505-2E9C-101B-9397-08002B2CF9AE}" pid="17" name="Objective-Description">
    <vt:lpwstr/>
  </property>
  <property fmtid="{D5CDD505-2E9C-101B-9397-08002B2CF9AE}" pid="18" name="Objective-CreationStamp">
    <vt:filetime>2026-09-28T06:47:38Z</vt:filetime>
  </property>
  <property fmtid="{D5CDD505-2E9C-101B-9397-08002B2CF9AE}" pid="19" name="Objective-IsApproved">
    <vt:bool>false</vt:bool>
  </property>
  <property fmtid="{D5CDD505-2E9C-101B-9397-08002B2CF9AE}" pid="20" name="Objective-IsPublished">
    <vt:bool>false</vt:bool>
  </property>
  <property fmtid="{D5CDD505-2E9C-101B-9397-08002B2CF9AE}" pid="21" name="Objective-DatePublished">
    <vt:lpwstr/>
  </property>
  <property fmtid="{D5CDD505-2E9C-101B-9397-08002B2CF9AE}" pid="22" name="Objective-ModificationStamp">
    <vt:filetime>2026-09-28T06:55:27Z</vt:filetime>
  </property>
  <property fmtid="{D5CDD505-2E9C-101B-9397-08002B2CF9AE}" pid="23" name="Objective-Owner">
    <vt:lpwstr>Ashleigh McInnes</vt:lpwstr>
  </property>
  <property fmtid="{D5CDD505-2E9C-101B-9397-08002B2CF9AE}" pid="24" name="Objective-Path">
    <vt:lpwstr>Whole of ACT Government:TCCS STRUCTURE - Content Restriction Hierarchy:DIVISION: Chief Operating Officer:BRANCH: Governance and Ministerial Services:SECTION: Ministerial Services Unit:09. Instruments and subordinate law:2026:01. Disallowable Instruments:DI2026-209 - Energy Efficiency (Cost of Living) Improvement (Priority Household Target) Determination 2026:</vt:lpwstr>
  </property>
  <property fmtid="{D5CDD505-2E9C-101B-9397-08002B2CF9AE}" pid="25" name="Objective-Parent">
    <vt:lpwstr>DI2026-209 - Energy Efficiency (Cost of Living) Improvement (Priority Household Target) Determination 2026</vt:lpwstr>
  </property>
  <property fmtid="{D5CDD505-2E9C-101B-9397-08002B2CF9AE}" pid="26" name="Objective-State">
    <vt:lpwstr>Being Edited</vt:lpwstr>
  </property>
  <property fmtid="{D5CDD505-2E9C-101B-9397-08002B2CF9AE}" pid="27" name="Objective-VersionId">
    <vt:lpwstr>vA85405837</vt:lpwstr>
  </property>
  <property fmtid="{D5CDD505-2E9C-101B-9397-08002B2CF9AE}" pid="28" name="Objective-Version">
    <vt:lpwstr>1.1</vt:lpwstr>
  </property>
  <property fmtid="{D5CDD505-2E9C-101B-9397-08002B2CF9AE}" pid="29" name="Objective-VersionNumber">
    <vt:r8>2</vt:r8>
  </property>
  <property fmtid="{D5CDD505-2E9C-101B-9397-08002B2CF9AE}" pid="30" name="Objective-VersionComment">
    <vt:lpwstr/>
  </property>
  <property fmtid="{D5CDD505-2E9C-101B-9397-08002B2CF9AE}" pid="31" name="Objective-FileNumber">
    <vt:lpwstr/>
  </property>
  <property fmtid="{D5CDD505-2E9C-101B-9397-08002B2CF9AE}" pid="32" name="Objective-Classification">
    <vt:lpwstr>[Inherited - none]</vt:lpwstr>
  </property>
  <property fmtid="{D5CDD505-2E9C-101B-9397-08002B2CF9AE}" pid="33" name="Objective-Caveats">
    <vt:lpwstr/>
  </property>
  <property fmtid="{D5CDD505-2E9C-101B-9397-08002B2CF9AE}" pid="34" name="Objective-Owner Agency">
    <vt:lpwstr>CED - City and Environment Directorate</vt:lpwstr>
  </property>
  <property fmtid="{D5CDD505-2E9C-101B-9397-08002B2CF9AE}" pid="35" name="Objective-Document Type">
    <vt:lpwstr>0-Document</vt:lpwstr>
  </property>
  <property fmtid="{D5CDD505-2E9C-101B-9397-08002B2CF9AE}" pid="36" name="Objective-Language">
    <vt:lpwstr>English (en)</vt:lpwstr>
  </property>
  <property fmtid="{D5CDD505-2E9C-101B-9397-08002B2CF9AE}" pid="37" name="Objective-Jurisdiction">
    <vt:lpwstr>ACT</vt:lpwstr>
  </property>
  <property fmtid="{D5CDD505-2E9C-101B-9397-08002B2CF9AE}" pid="38" name="Objective-Customers">
    <vt:lpwstr/>
  </property>
  <property fmtid="{D5CDD505-2E9C-101B-9397-08002B2CF9AE}" pid="39" name="Objective-Places">
    <vt:lpwstr/>
  </property>
  <property fmtid="{D5CDD505-2E9C-101B-9397-08002B2CF9AE}" pid="40" name="Objective-Transaction Reference">
    <vt:lpwstr/>
  </property>
  <property fmtid="{D5CDD505-2E9C-101B-9397-08002B2CF9AE}" pid="41" name="Objective-Document Created By">
    <vt:lpwstr/>
  </property>
  <property fmtid="{D5CDD505-2E9C-101B-9397-08002B2CF9AE}" pid="42" name="Objective-Document Created On">
    <vt:lpwstr/>
  </property>
  <property fmtid="{D5CDD505-2E9C-101B-9397-08002B2CF9AE}" pid="43" name="Objective-Covers Period From">
    <vt:lpwstr/>
  </property>
  <property fmtid="{D5CDD505-2E9C-101B-9397-08002B2CF9AE}" pid="44" name="Objective-Covers Period To">
    <vt:lpwstr/>
  </property>
  <property fmtid="{D5CDD505-2E9C-101B-9397-08002B2CF9AE}" pid="45" name="Objective-Status">
    <vt:lpwstr/>
  </property>
  <property fmtid="{D5CDD505-2E9C-101B-9397-08002B2CF9AE}" pid="46" name="Objective-S28 Exemption Number">
    <vt:lpwstr/>
  </property>
  <property fmtid="{D5CDD505-2E9C-101B-9397-08002B2CF9AE}" pid="47" name="Objective-S28 Exemption">
    <vt:lpwstr/>
  </property>
  <property fmtid="{D5CDD505-2E9C-101B-9397-08002B2CF9AE}" pid="48" name="Objective-S28 Exemption Reason">
    <vt:lpwstr/>
  </property>
  <property fmtid="{D5CDD505-2E9C-101B-9397-08002B2CF9AE}" pid="49" name="Objective-S28 Comments if partial exemption">
    <vt:lpwstr/>
  </property>
  <property fmtid="{D5CDD505-2E9C-101B-9397-08002B2CF9AE}" pid="50" name="Objective-S28 Date Approved">
    <vt:lpwstr/>
  </property>
</Properties>
</file>